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2BF75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60CBF23E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3A34A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A0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631BEB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7C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疾病控制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16A30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FD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B6E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岳阳市卫健委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4B5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D7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岳阳市疾病预防控制中心</w:t>
            </w:r>
          </w:p>
        </w:tc>
      </w:tr>
      <w:tr w14:paraId="084B9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DE01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29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4A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57D5D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F10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3F058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933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25EE2B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0B7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ED3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064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33C94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29D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F0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7A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24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74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28.11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05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A6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93.7%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5E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9.37</w:t>
            </w:r>
          </w:p>
        </w:tc>
      </w:tr>
      <w:tr w14:paraId="715F1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49F6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FD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DE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31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5C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28.11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DC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87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93.7%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C8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9.37</w:t>
            </w:r>
          </w:p>
        </w:tc>
      </w:tr>
      <w:tr w14:paraId="746C3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E47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AE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32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D8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39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33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F0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AF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430F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E8B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A2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C5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41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36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7D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7F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C9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5FD6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44E6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9467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47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099BB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4807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D640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1、切实做好传染病信息报告管理工作，提高监测预警能力。2、加强艾滋病经性传播综合防治，突出重点人群，扩大艾滋病筛查范围，积极推进经性传播综合干预。3、加强结核病防治体系建设，提升结核病实验室能力，巩固提升重点指标落实。4、加强免疫规划管理，夯实基础免疫，巩固无脊灰状态和推进消除麻疹，保持疫苗可预防性传染病低发态势。5、推进慢性病防治工作，组织开展全民健康生活方式“三减三健”专项行动。6、加强重点地区、重点人群环境、饮用水、职业病监测预警，风险评估、分析干预和危害健康因素排查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B8B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、已切实做好传染病信息报告管理工作，提高监测预警能力。2、已加强艾滋病经性传播综合防治，突出重点人群，扩大艾滋病筛查范围，积极推进经性传播综合干预。3、已加强结核病防治体系建设，提升结核病实验室能力，巩固提升重点指标落实。4、已加强免疫规划管理，夯实基础免疫，巩固无脊灰状态和推进消除麻疹，保持疫苗可预防性传染病低发态势。5、已实现推进慢性病防治工作，组织开展全民健康生活方式“三减三健”专项行动。6、已加强重点地区、重点人群环境、饮用水、职业病监测预警，风险评估、分析干预和危害健康因素排查。</w:t>
            </w:r>
          </w:p>
        </w:tc>
      </w:tr>
      <w:tr w14:paraId="5DDDB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BC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74C49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675B8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212B8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B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2DE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89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FD0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50151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E7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654E9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F3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75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82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2902D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F8D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C7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7BD52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13DB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5D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FB62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艾滋病自愿咨询检测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DBA5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1000人次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A7FD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1000人次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948E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F341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39A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3224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79D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FE0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3F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3F14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病原学阳性患者耐药筛查率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2984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90.00%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EA3B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96.43%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8CC8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7BF6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3D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6550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318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9AB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DA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9E23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重点传染病监测率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00B3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CB3D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2873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A2CC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7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A689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1D1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824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B7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C796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资金规模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3809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D721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28.11万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1218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E36E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F96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A517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3A1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9C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0CCD51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4DDD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11C94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63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592E6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CDBD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血液筛查检测覆盖率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B49C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8305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59CA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F3AE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3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4FA7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541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5AD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98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7CCC3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2C45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HIV常住人口检测比例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9F3F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24%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58E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25.84%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BE38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C64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95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A654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51D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6E7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37B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8E39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利福平耐药患者纳入治疗率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11A8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3E61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90%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7530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54E7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4B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EF97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50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77C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B5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44F3E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5318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人禽流感常规环境监测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42D7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40-50份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97B6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40份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56B9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A6AF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E8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9220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D3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B3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8E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E0C5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持续开展连续性监测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9CC1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持续开展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D5C9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持续开展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A4E1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4BDC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3E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754C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C5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02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5BE61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4BF28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3B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F11D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受益人群满意度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6F5A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≥95%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2235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E51C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6894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23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B2A41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DC4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07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1A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99.37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00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64082A26">
      <w:pPr>
        <w:rPr>
          <w:rFonts w:hint="eastAsia" w:ascii="Times New Roman" w:hAnsi="Times New Roman" w:eastAsia="仿宋_GB2312" w:cs="Times New Roman"/>
          <w:sz w:val="18"/>
          <w:szCs w:val="18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val="en-US" w:eastAsia="zh-CN"/>
        </w:rPr>
        <w:t xml:space="preserve"> </w:t>
      </w:r>
    </w:p>
    <w:p w14:paraId="3545E914"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bookmarkStart w:id="0" w:name="_GoBack"/>
      <w:bookmarkEnd w:id="0"/>
    </w:p>
    <w:p w14:paraId="52CD3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iYWViMjY4ZWE4Njc4YTk1MjUyNjYxOTllY2ZhMmYifQ=="/>
    <w:docVar w:name="KSO_WPS_MARK_KEY" w:val="73f2f41a-b7b5-405c-9cdf-361a83ed08f5"/>
  </w:docVars>
  <w:rsids>
    <w:rsidRoot w:val="59886344"/>
    <w:rsid w:val="04323D24"/>
    <w:rsid w:val="13536BD9"/>
    <w:rsid w:val="16607678"/>
    <w:rsid w:val="1690112D"/>
    <w:rsid w:val="27D86532"/>
    <w:rsid w:val="2C1C4DC4"/>
    <w:rsid w:val="310333AA"/>
    <w:rsid w:val="361E406A"/>
    <w:rsid w:val="365800C2"/>
    <w:rsid w:val="3D976CEA"/>
    <w:rsid w:val="3DB252DF"/>
    <w:rsid w:val="40D72DC7"/>
    <w:rsid w:val="41110C42"/>
    <w:rsid w:val="59886344"/>
    <w:rsid w:val="5C7F00B4"/>
    <w:rsid w:val="7CE41BEB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1"/>
    <w:qFormat/>
    <w:uiPriority w:val="0"/>
    <w:pPr>
      <w:ind w:firstLine="420" w:firstLineChars="200"/>
    </w:pPr>
    <w:rPr>
      <w:rFonts w:ascii="Times New Roman" w:hAnsi="Times New Roman" w:eastAsia="仿宋" w:cs="Times New Roman"/>
      <w:kern w:val="0"/>
      <w:sz w:val="20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913</Words>
  <Characters>1035</Characters>
  <Lines>0</Lines>
  <Paragraphs>0</Paragraphs>
  <TotalTime>7</TotalTime>
  <ScaleCrop>false</ScaleCrop>
  <LinksUpToDate>false</LinksUpToDate>
  <CharactersWithSpaces>1136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刘洋</cp:lastModifiedBy>
  <cp:lastPrinted>2024-06-27T09:48:00Z</cp:lastPrinted>
  <dcterms:modified xsi:type="dcterms:W3CDTF">2025-10-14T08:37:50Z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C8F4DB55251F4432BF9A9EA59DF7B0AC_13</vt:lpwstr>
  </property>
  <property fmtid="{D5CDD505-2E9C-101B-9397-08002B2CF9AE}" pid="4" name="KSOTemplateDocerSaveRecord">
    <vt:lpwstr>eyJoZGlkIjoiZDgxMDAwNDQyMjYxNGJmMTMzNmJmMGYxYzM5Y2YwMGYiLCJ1c2VySWQiOiIxNDkyNDEzNDQyIn0=</vt:lpwstr>
  </property>
</Properties>
</file>