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3C4FA">
      <w:pPr>
        <w:pStyle w:val="12"/>
        <w:jc w:val="center"/>
        <w:rPr>
          <w:sz w:val="56"/>
          <w:szCs w:val="56"/>
        </w:rPr>
      </w:pPr>
    </w:p>
    <w:p w14:paraId="34876583">
      <w:pPr>
        <w:pStyle w:val="12"/>
        <w:jc w:val="center"/>
        <w:rPr>
          <w:sz w:val="56"/>
          <w:szCs w:val="56"/>
        </w:rPr>
      </w:pPr>
    </w:p>
    <w:p w14:paraId="3B56794E">
      <w:pPr>
        <w:pStyle w:val="12"/>
        <w:jc w:val="center"/>
        <w:rPr>
          <w:sz w:val="84"/>
          <w:szCs w:val="84"/>
        </w:rPr>
      </w:pPr>
    </w:p>
    <w:p w14:paraId="431BBDEF">
      <w:pPr>
        <w:pStyle w:val="12"/>
        <w:jc w:val="center"/>
        <w:rPr>
          <w:sz w:val="84"/>
          <w:szCs w:val="84"/>
        </w:rPr>
      </w:pPr>
    </w:p>
    <w:p w14:paraId="38FFF8EF">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125E1B7F">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岳阳市妇幼保健院</w:t>
      </w:r>
    </w:p>
    <w:p w14:paraId="545D1991">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w:t>
      </w:r>
    </w:p>
    <w:p w14:paraId="32DDECF7">
      <w:pPr>
        <w:pStyle w:val="12"/>
        <w:jc w:val="center"/>
        <w:rPr>
          <w:rFonts w:hint="eastAsia" w:ascii="方正小标宋_GBK" w:hAnsi="方正小标宋_GBK" w:eastAsia="方正小标宋_GBK" w:cs="方正小标宋_GBK"/>
          <w:sz w:val="56"/>
          <w:szCs w:val="56"/>
        </w:rPr>
      </w:pPr>
    </w:p>
    <w:p w14:paraId="2E24BD0D">
      <w:pPr>
        <w:pStyle w:val="12"/>
        <w:jc w:val="center"/>
        <w:rPr>
          <w:sz w:val="56"/>
          <w:szCs w:val="56"/>
        </w:rPr>
      </w:pPr>
    </w:p>
    <w:p w14:paraId="7FF5D4FD">
      <w:pPr>
        <w:pStyle w:val="12"/>
        <w:jc w:val="center"/>
        <w:rPr>
          <w:sz w:val="56"/>
          <w:szCs w:val="56"/>
        </w:rPr>
      </w:pPr>
    </w:p>
    <w:p w14:paraId="369FAEF6">
      <w:pPr>
        <w:pStyle w:val="12"/>
        <w:jc w:val="center"/>
        <w:rPr>
          <w:sz w:val="56"/>
          <w:szCs w:val="56"/>
        </w:rPr>
      </w:pPr>
    </w:p>
    <w:p w14:paraId="7B52F16E">
      <w:pPr>
        <w:pStyle w:val="12"/>
        <w:jc w:val="center"/>
        <w:rPr>
          <w:sz w:val="32"/>
          <w:szCs w:val="32"/>
        </w:rPr>
      </w:pPr>
    </w:p>
    <w:p w14:paraId="41419F65">
      <w:pPr>
        <w:pStyle w:val="12"/>
        <w:jc w:val="center"/>
        <w:rPr>
          <w:sz w:val="32"/>
          <w:szCs w:val="32"/>
        </w:rPr>
      </w:pPr>
    </w:p>
    <w:p w14:paraId="7D09BBBE">
      <w:pPr>
        <w:pStyle w:val="12"/>
        <w:jc w:val="center"/>
        <w:rPr>
          <w:sz w:val="32"/>
          <w:szCs w:val="32"/>
        </w:rPr>
      </w:pPr>
    </w:p>
    <w:p w14:paraId="24068981">
      <w:pPr>
        <w:pStyle w:val="12"/>
        <w:jc w:val="center"/>
        <w:rPr>
          <w:sz w:val="32"/>
          <w:szCs w:val="32"/>
        </w:rPr>
      </w:pPr>
    </w:p>
    <w:p w14:paraId="26A1B338">
      <w:pPr>
        <w:pStyle w:val="12"/>
        <w:jc w:val="center"/>
        <w:rPr>
          <w:sz w:val="32"/>
          <w:szCs w:val="32"/>
        </w:rPr>
      </w:pPr>
    </w:p>
    <w:p w14:paraId="34357EEB">
      <w:pPr>
        <w:pStyle w:val="12"/>
        <w:spacing w:line="540" w:lineRule="exact"/>
        <w:jc w:val="center"/>
        <w:rPr>
          <w:sz w:val="56"/>
          <w:szCs w:val="56"/>
        </w:rPr>
      </w:pPr>
    </w:p>
    <w:p w14:paraId="3D13D160">
      <w:pPr>
        <w:pStyle w:val="12"/>
        <w:spacing w:line="500" w:lineRule="exact"/>
        <w:jc w:val="both"/>
        <w:rPr>
          <w:b/>
          <w:sz w:val="36"/>
          <w:szCs w:val="28"/>
        </w:rPr>
      </w:pPr>
    </w:p>
    <w:p w14:paraId="43DCFA29">
      <w:pPr>
        <w:pStyle w:val="12"/>
        <w:spacing w:line="500" w:lineRule="exact"/>
        <w:jc w:val="center"/>
        <w:rPr>
          <w:b/>
          <w:sz w:val="36"/>
          <w:szCs w:val="28"/>
        </w:rPr>
      </w:pPr>
      <w:r>
        <w:rPr>
          <w:rFonts w:hint="eastAsia"/>
          <w:b/>
          <w:sz w:val="36"/>
          <w:szCs w:val="28"/>
        </w:rPr>
        <w:t>目录</w:t>
      </w:r>
    </w:p>
    <w:p w14:paraId="260D967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岳阳市妇幼保健院</w:t>
      </w:r>
      <w:r>
        <w:rPr>
          <w:rFonts w:hint="eastAsia" w:ascii="黑体" w:hAnsi="黑体" w:eastAsia="黑体" w:cs="黑体"/>
          <w:b w:val="0"/>
          <w:bCs/>
          <w:sz w:val="28"/>
          <w:szCs w:val="28"/>
        </w:rPr>
        <w:t>单位概况</w:t>
      </w:r>
    </w:p>
    <w:p w14:paraId="188D1AB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C95721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66C4A851">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0752852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35976DF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9E5847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08E31E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7E13A7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53A7A7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3AF281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D8BDB1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05EB6AA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42781FA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3E48A8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67C983D">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785039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3C505A3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3EAEE1A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CA3746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2E74772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2A72BB0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2C738F2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498CA4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606D59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46E0CB2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4BFC51C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299607E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424EBE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8F91805">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15BB252">
      <w:pPr>
        <w:pStyle w:val="12"/>
        <w:jc w:val="center"/>
        <w:rPr>
          <w:rFonts w:hint="eastAsia" w:ascii="方正小标宋_GBK" w:hAnsi="方正小标宋_GBK" w:eastAsia="方正小标宋_GBK" w:cs="方正小标宋_GBK"/>
          <w:sz w:val="84"/>
          <w:szCs w:val="84"/>
        </w:rPr>
      </w:pPr>
    </w:p>
    <w:p w14:paraId="76B1A435">
      <w:pPr>
        <w:pStyle w:val="12"/>
        <w:jc w:val="center"/>
        <w:rPr>
          <w:rFonts w:hint="eastAsia" w:ascii="方正小标宋_GBK" w:hAnsi="方正小标宋_GBK" w:eastAsia="方正小标宋_GBK" w:cs="方正小标宋_GBK"/>
          <w:sz w:val="84"/>
          <w:szCs w:val="84"/>
        </w:rPr>
      </w:pPr>
    </w:p>
    <w:p w14:paraId="404C40AA">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04C32CAA">
      <w:pPr>
        <w:pStyle w:val="12"/>
        <w:jc w:val="center"/>
        <w:rPr>
          <w:rFonts w:hint="eastAsia" w:ascii="方正小标宋_GBK" w:hAnsi="方正小标宋_GBK" w:eastAsia="方正小标宋_GBK" w:cs="方正小标宋_GBK"/>
          <w:sz w:val="84"/>
          <w:szCs w:val="84"/>
        </w:rPr>
      </w:pPr>
    </w:p>
    <w:p w14:paraId="2405024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岳阳市妇幼保健院</w:t>
      </w:r>
      <w:r>
        <w:rPr>
          <w:rFonts w:hint="eastAsia" w:ascii="方正小标宋_GBK" w:hAnsi="方正小标宋_GBK" w:eastAsia="方正小标宋_GBK" w:cs="方正小标宋_GBK"/>
          <w:sz w:val="84"/>
          <w:szCs w:val="84"/>
        </w:rPr>
        <w:t>单位概况</w:t>
      </w:r>
    </w:p>
    <w:p w14:paraId="22CDF3B6">
      <w:pPr>
        <w:pStyle w:val="2"/>
        <w:rPr>
          <w:rFonts w:hint="eastAsia" w:ascii="方正小标宋_GBK" w:hAnsi="方正小标宋_GBK" w:eastAsia="方正小标宋_GBK" w:cs="方正小标宋_GBK"/>
          <w:sz w:val="84"/>
          <w:szCs w:val="84"/>
        </w:rPr>
      </w:pPr>
    </w:p>
    <w:p w14:paraId="4A74CC91">
      <w:pPr>
        <w:pStyle w:val="3"/>
        <w:rPr>
          <w:rFonts w:hint="eastAsia" w:ascii="方正小标宋_GBK" w:hAnsi="方正小标宋_GBK" w:eastAsia="方正小标宋_GBK" w:cs="方正小标宋_GBK"/>
          <w:sz w:val="84"/>
          <w:szCs w:val="84"/>
        </w:rPr>
      </w:pPr>
    </w:p>
    <w:p w14:paraId="1E87EC50">
      <w:pPr>
        <w:pStyle w:val="3"/>
        <w:ind w:left="0" w:leftChars="0" w:firstLine="0" w:firstLineChars="0"/>
        <w:rPr>
          <w:rFonts w:hint="eastAsia" w:ascii="方正小标宋_GBK" w:hAnsi="方正小标宋_GBK" w:eastAsia="方正小标宋_GBK" w:cs="方正小标宋_GBK"/>
          <w:sz w:val="84"/>
          <w:szCs w:val="84"/>
        </w:rPr>
      </w:pPr>
    </w:p>
    <w:p w14:paraId="33FBE6CD">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680008B9">
      <w:pPr>
        <w:keepNext w:val="0"/>
        <w:keepLines w:val="0"/>
        <w:pageBreakBefore w:val="0"/>
        <w:widowControl/>
        <w:kinsoku/>
        <w:wordWrap/>
        <w:overflowPunct/>
        <w:topLinePunct w:val="0"/>
        <w:autoSpaceDE/>
        <w:autoSpaceDN/>
        <w:bidi w:val="0"/>
        <w:adjustRightInd/>
        <w:snapToGrid/>
        <w:spacing w:line="600" w:lineRule="exact"/>
        <w:ind w:left="638" w:leftChars="304" w:firstLine="0" w:firstLineChars="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（一）负责指导全市妇幼保健工作，指导乡镇卫生院产 科建设，开展社区卫生服务。</w:t>
      </w:r>
    </w:p>
    <w:p w14:paraId="20A1155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（二）负责全市妇幼卫生干部培训工作。</w:t>
      </w:r>
    </w:p>
    <w:p w14:paraId="31BE0F1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（三）负责贯彻执行《母婴保健法》，开展母婴保健服务技术指导工作。</w:t>
      </w:r>
    </w:p>
    <w:p w14:paraId="3540F89E">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（四）负责全市孕产妇急救服务工作。</w:t>
      </w:r>
    </w:p>
    <w:p w14:paraId="6A9A985E">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（五）负责全市妇幼卫生信息统计分析。</w:t>
      </w:r>
    </w:p>
    <w:p w14:paraId="3E7EBE1E">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（六）负责全市爱婴医院创建、医疗、科研、健康教育等工作。</w:t>
      </w:r>
    </w:p>
    <w:p w14:paraId="1C69A1C6">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（七）协助卫生行政部门制定全市妇幼卫生工作规划并组织实施，提高出生人口素质以及全民族身体素质。</w:t>
      </w:r>
    </w:p>
    <w:p w14:paraId="32F998CA">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6775792">
      <w:pPr>
        <w:widowControl/>
        <w:numPr>
          <w:ilvl w:val="0"/>
          <w:numId w:val="0"/>
        </w:numPr>
        <w:spacing w:line="600" w:lineRule="exact"/>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（一）内设机构设置。</w:t>
      </w:r>
    </w:p>
    <w:p w14:paraId="4542EA6B">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岳阳市妇幼保健院的临床保健科室包括产科、新生儿科、儿童保健科、儿科、妇科、妇女保健科、生殖医学中心、小儿外科、泌尿外科、乳甲外科、急诊科、麻醉科、检验科、医学遗传科、功能科、病理科、门诊部、手术室、体检中心等，职能科室包括财务部、党办、办公室、组织人事部、医务部、护理部、医学装备部、医疗保险部、科教科、后勤服务部、药学办、院感科等。</w:t>
      </w:r>
    </w:p>
    <w:p w14:paraId="02AFE8DA">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医院现有职工920人，其中卫生技术人员800人，副高以上职称148人（其中正高27人，副高121人），有博士研究生5人（其中博士后3人）、硕士研究生72人，岳阳市首席专家4人，享受湖南省政府特殊津贴专家1人，湖南省名老中医1人，岳阳市名医8人，享受岳阳市政府特殊津贴专家4人，教授8人，硕士研究生导师7人，博士研究生导师1人。</w:t>
      </w:r>
    </w:p>
    <w:p w14:paraId="2A370584">
      <w:pPr>
        <w:widowControl/>
        <w:numPr>
          <w:ilvl w:val="0"/>
          <w:numId w:val="2"/>
        </w:numPr>
        <w:spacing w:line="600" w:lineRule="exact"/>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决算单位构成。</w:t>
      </w:r>
    </w:p>
    <w:p w14:paraId="42238C2F">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本单位无独立核算的下属单位，2023年部门决算汇总公开单位仅包括岳阳市妇幼保健院本级。</w:t>
      </w:r>
    </w:p>
    <w:p w14:paraId="35BFD254">
      <w:pPr>
        <w:pStyle w:val="2"/>
        <w:keepNext w:val="0"/>
        <w:keepLines w:val="0"/>
        <w:pageBreakBefore w:val="0"/>
        <w:kinsoku/>
        <w:wordWrap/>
        <w:overflowPunct/>
        <w:topLinePunct w:val="0"/>
        <w:autoSpaceDE/>
        <w:autoSpaceDN/>
        <w:bidi w:val="0"/>
        <w:adjustRightIn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14:paraId="36492E6C">
      <w:pPr>
        <w:pStyle w:val="2"/>
      </w:pPr>
    </w:p>
    <w:p w14:paraId="3F52B8EF">
      <w:pPr>
        <w:pStyle w:val="3"/>
      </w:pPr>
    </w:p>
    <w:p w14:paraId="0334F7F9"/>
    <w:p w14:paraId="7E646D81">
      <w:pPr>
        <w:pStyle w:val="2"/>
      </w:pPr>
    </w:p>
    <w:p w14:paraId="1252230A">
      <w:pPr>
        <w:pStyle w:val="3"/>
      </w:pPr>
    </w:p>
    <w:p w14:paraId="54C70D49"/>
    <w:p w14:paraId="571C4536">
      <w:pPr>
        <w:pStyle w:val="2"/>
      </w:pPr>
    </w:p>
    <w:p w14:paraId="68840D38">
      <w:pPr>
        <w:pStyle w:val="3"/>
      </w:pPr>
    </w:p>
    <w:p w14:paraId="551933E9"/>
    <w:p w14:paraId="11BB007B">
      <w:pPr>
        <w:pStyle w:val="2"/>
      </w:pPr>
    </w:p>
    <w:p w14:paraId="38A52D86">
      <w:pPr>
        <w:pStyle w:val="3"/>
      </w:pPr>
    </w:p>
    <w:p w14:paraId="00CFF8F3"/>
    <w:p w14:paraId="086ADFE2">
      <w:pPr>
        <w:pStyle w:val="2"/>
      </w:pPr>
    </w:p>
    <w:p w14:paraId="14C722D3">
      <w:pPr>
        <w:pStyle w:val="12"/>
        <w:jc w:val="both"/>
        <w:rPr>
          <w:rFonts w:hint="eastAsia" w:ascii="方正小标宋_GBK" w:hAnsi="方正小标宋_GBK" w:eastAsia="方正小标宋_GBK" w:cs="方正小标宋_GBK"/>
          <w:sz w:val="84"/>
          <w:szCs w:val="84"/>
        </w:rPr>
      </w:pPr>
    </w:p>
    <w:p w14:paraId="70C8FAE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C601E6C">
      <w:pPr>
        <w:pStyle w:val="12"/>
        <w:jc w:val="center"/>
        <w:rPr>
          <w:rFonts w:hint="eastAsia" w:ascii="方正小标宋_GBK" w:hAnsi="方正小标宋_GBK" w:eastAsia="方正小标宋_GBK" w:cs="方正小标宋_GBK"/>
          <w:sz w:val="84"/>
          <w:szCs w:val="84"/>
        </w:rPr>
      </w:pPr>
    </w:p>
    <w:p w14:paraId="398D632B">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9EFBFBD">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26FC47AA">
      <w:pPr>
        <w:pStyle w:val="12"/>
        <w:jc w:val="center"/>
        <w:rPr>
          <w:rFonts w:hint="eastAsia" w:ascii="仿宋_GB2312" w:hAnsi="仿宋_GB2312" w:eastAsia="仿宋_GB2312" w:cs="仿宋_GB2312"/>
          <w:b w:val="0"/>
          <w:bCs w:val="0"/>
          <w:sz w:val="72"/>
          <w:szCs w:val="72"/>
          <w:lang w:eastAsia="zh-CN"/>
        </w:rPr>
      </w:pPr>
    </w:p>
    <w:p w14:paraId="5E101E70">
      <w:pPr>
        <w:pStyle w:val="12"/>
        <w:jc w:val="center"/>
        <w:rPr>
          <w:rFonts w:hint="eastAsia" w:ascii="仿宋_GB2312" w:hAnsi="仿宋_GB2312" w:eastAsia="仿宋_GB2312" w:cs="仿宋_GB2312"/>
          <w:b w:val="0"/>
          <w:bCs w:val="0"/>
          <w:sz w:val="72"/>
          <w:szCs w:val="72"/>
          <w:lang w:eastAsia="zh-CN"/>
        </w:rPr>
      </w:pPr>
    </w:p>
    <w:p w14:paraId="060E59E4">
      <w:pPr>
        <w:pStyle w:val="12"/>
        <w:jc w:val="center"/>
        <w:rPr>
          <w:rFonts w:hint="eastAsia" w:ascii="仿宋_GB2312" w:hAnsi="仿宋_GB2312" w:eastAsia="仿宋_GB2312" w:cs="仿宋_GB2312"/>
          <w:b w:val="0"/>
          <w:bCs w:val="0"/>
          <w:sz w:val="72"/>
          <w:szCs w:val="72"/>
          <w:lang w:eastAsia="zh-CN"/>
        </w:rPr>
      </w:pPr>
    </w:p>
    <w:p w14:paraId="751D441F">
      <w:pPr>
        <w:pStyle w:val="12"/>
        <w:jc w:val="center"/>
        <w:rPr>
          <w:rFonts w:hint="eastAsia" w:ascii="仿宋_GB2312" w:hAnsi="仿宋_GB2312" w:eastAsia="仿宋_GB2312" w:cs="仿宋_GB2312"/>
          <w:b w:val="0"/>
          <w:bCs w:val="0"/>
          <w:sz w:val="72"/>
          <w:szCs w:val="72"/>
          <w:lang w:eastAsia="zh-CN"/>
        </w:rPr>
      </w:pPr>
    </w:p>
    <w:p w14:paraId="01021336">
      <w:pPr>
        <w:pStyle w:val="12"/>
        <w:jc w:val="center"/>
        <w:rPr>
          <w:rFonts w:hint="eastAsia" w:ascii="仿宋_GB2312" w:hAnsi="仿宋_GB2312" w:eastAsia="仿宋_GB2312" w:cs="仿宋_GB2312"/>
          <w:b w:val="0"/>
          <w:bCs w:val="0"/>
          <w:sz w:val="72"/>
          <w:szCs w:val="72"/>
          <w:lang w:eastAsia="zh-CN"/>
        </w:rPr>
      </w:pPr>
    </w:p>
    <w:p w14:paraId="19BD91A3">
      <w:pPr>
        <w:pStyle w:val="12"/>
        <w:jc w:val="center"/>
        <w:rPr>
          <w:rFonts w:hint="eastAsia" w:ascii="仿宋_GB2312" w:hAnsi="仿宋_GB2312" w:eastAsia="仿宋_GB2312" w:cs="仿宋_GB2312"/>
          <w:b w:val="0"/>
          <w:bCs w:val="0"/>
          <w:sz w:val="72"/>
          <w:szCs w:val="72"/>
          <w:lang w:eastAsia="zh-CN"/>
        </w:rPr>
      </w:pPr>
    </w:p>
    <w:p w14:paraId="6DF80513">
      <w:pPr>
        <w:pStyle w:val="12"/>
        <w:jc w:val="center"/>
        <w:rPr>
          <w:rFonts w:hint="eastAsia" w:ascii="仿宋_GB2312" w:hAnsi="仿宋_GB2312" w:eastAsia="仿宋_GB2312" w:cs="仿宋_GB2312"/>
          <w:b w:val="0"/>
          <w:bCs w:val="0"/>
          <w:sz w:val="72"/>
          <w:szCs w:val="72"/>
          <w:lang w:eastAsia="zh-CN"/>
        </w:rPr>
      </w:pPr>
    </w:p>
    <w:p w14:paraId="68A3510D">
      <w:pPr>
        <w:pStyle w:val="12"/>
        <w:jc w:val="center"/>
        <w:rPr>
          <w:rFonts w:hint="eastAsia" w:ascii="方正小标宋_GBK" w:hAnsi="方正小标宋_GBK" w:eastAsia="方正小标宋_GBK" w:cs="方正小标宋_GBK"/>
          <w:sz w:val="72"/>
          <w:szCs w:val="72"/>
        </w:rPr>
      </w:pPr>
    </w:p>
    <w:p w14:paraId="63258F9D">
      <w:pPr>
        <w:pStyle w:val="12"/>
        <w:jc w:val="both"/>
        <w:rPr>
          <w:rFonts w:hint="eastAsia" w:ascii="方正小标宋_GBK" w:hAnsi="方正小标宋_GBK" w:eastAsia="方正小标宋_GBK" w:cs="方正小标宋_GBK"/>
          <w:sz w:val="72"/>
          <w:szCs w:val="72"/>
        </w:rPr>
      </w:pPr>
    </w:p>
    <w:p w14:paraId="692FC29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1F74BA4">
      <w:pPr>
        <w:pStyle w:val="12"/>
        <w:jc w:val="center"/>
        <w:rPr>
          <w:rFonts w:hint="eastAsia" w:ascii="方正小标宋_GBK" w:hAnsi="方正小标宋_GBK" w:eastAsia="方正小标宋_GBK" w:cs="方正小标宋_GBK"/>
          <w:sz w:val="70"/>
          <w:szCs w:val="70"/>
        </w:rPr>
      </w:pPr>
    </w:p>
    <w:p w14:paraId="11339BB5">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A6D9AE8">
      <w:pPr>
        <w:pStyle w:val="12"/>
        <w:jc w:val="center"/>
        <w:rPr>
          <w:rFonts w:hint="eastAsia" w:ascii="方正小标宋_GBK" w:hAnsi="方正小标宋_GBK" w:eastAsia="方正小标宋_GBK" w:cs="方正小标宋_GBK"/>
          <w:sz w:val="70"/>
          <w:szCs w:val="70"/>
        </w:rPr>
      </w:pPr>
    </w:p>
    <w:p w14:paraId="46445401">
      <w:pPr>
        <w:pStyle w:val="12"/>
        <w:jc w:val="center"/>
        <w:rPr>
          <w:rFonts w:hint="eastAsia" w:ascii="方正小标宋_GBK" w:hAnsi="方正小标宋_GBK" w:eastAsia="方正小标宋_GBK" w:cs="方正小标宋_GBK"/>
          <w:sz w:val="70"/>
          <w:szCs w:val="70"/>
        </w:rPr>
      </w:pPr>
    </w:p>
    <w:p w14:paraId="104770D0">
      <w:pPr>
        <w:pStyle w:val="12"/>
        <w:jc w:val="both"/>
        <w:rPr>
          <w:rFonts w:hint="eastAsia" w:ascii="方正小标宋_GBK" w:hAnsi="方正小标宋_GBK" w:eastAsia="方正小标宋_GBK" w:cs="方正小标宋_GBK"/>
          <w:sz w:val="70"/>
          <w:szCs w:val="70"/>
        </w:rPr>
      </w:pPr>
    </w:p>
    <w:p w14:paraId="5617A242">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5731A27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6E409A8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年度收、支总计31728.49万元。与上年相比，减少</w:t>
      </w:r>
      <w:r>
        <w:rPr>
          <w:rFonts w:hint="eastAsia" w:ascii="仿宋_GB2312" w:hAnsi="仿宋_GB2312" w:eastAsia="仿宋_GB2312" w:cs="仿宋_GB2312"/>
          <w:sz w:val="32"/>
          <w:szCs w:val="32"/>
          <w:lang w:val="en-US" w:eastAsia="zh-CN"/>
        </w:rPr>
        <w:t>5888.96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15.65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eastAsia="zh-CN"/>
        </w:rPr>
        <w:t>其他收入下降，新院搬迁完成后，支出有所减少。</w:t>
      </w:r>
    </w:p>
    <w:p w14:paraId="19F88C0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7480DF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年度收入合计29808.58万元，其中：财政拨款收入3593.49万元，占</w:t>
      </w:r>
      <w:r>
        <w:rPr>
          <w:rFonts w:hint="eastAsia" w:ascii="仿宋_GB2312" w:hAnsi="仿宋_GB2312" w:eastAsia="仿宋_GB2312" w:cs="仿宋_GB2312"/>
          <w:sz w:val="32"/>
          <w:szCs w:val="32"/>
          <w:lang w:val="en-US" w:eastAsia="zh-CN"/>
        </w:rPr>
        <w:t>12.06</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%；事业收入26155.42万元，占</w:t>
      </w:r>
      <w:r>
        <w:rPr>
          <w:rFonts w:hint="eastAsia" w:ascii="仿宋_GB2312" w:hAnsi="仿宋_GB2312" w:eastAsia="仿宋_GB2312" w:cs="仿宋_GB2312"/>
          <w:sz w:val="32"/>
          <w:szCs w:val="32"/>
          <w:lang w:val="en-US" w:eastAsia="zh-CN"/>
        </w:rPr>
        <w:t>87.74</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%；其他收入59.66万元，占</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w:t>
      </w:r>
    </w:p>
    <w:p w14:paraId="0EF2FE1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86CAF6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年度支出合计31728.5万元，其中：基本支出25506.13万元，占</w:t>
      </w:r>
      <w:r>
        <w:rPr>
          <w:rFonts w:hint="eastAsia" w:ascii="仿宋_GB2312" w:hAnsi="仿宋_GB2312" w:eastAsia="仿宋_GB2312" w:cs="仿宋_GB2312"/>
          <w:sz w:val="32"/>
          <w:szCs w:val="32"/>
          <w:lang w:val="en-US" w:eastAsia="zh-CN"/>
        </w:rPr>
        <w:t>80.39</w:t>
      </w:r>
      <w:r>
        <w:rPr>
          <w:rFonts w:hint="eastAsia" w:ascii="仿宋_GB2312" w:hAnsi="仿宋_GB2312" w:eastAsia="仿宋_GB2312" w:cs="仿宋_GB2312"/>
          <w:sz w:val="32"/>
          <w:szCs w:val="32"/>
        </w:rPr>
        <w:t>%；项目支出6222.37万元，占</w:t>
      </w:r>
      <w:r>
        <w:rPr>
          <w:rFonts w:hint="eastAsia" w:ascii="仿宋_GB2312" w:hAnsi="仿宋_GB2312" w:eastAsia="仿宋_GB2312" w:cs="仿宋_GB2312"/>
          <w:sz w:val="32"/>
          <w:szCs w:val="32"/>
          <w:lang w:val="en-US" w:eastAsia="zh-CN"/>
        </w:rPr>
        <w:t>19.61</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1C68AD7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EC2BCDC">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年度财政拨款收、支总计3593.49万元，与上年相比，增加</w:t>
      </w:r>
      <w:r>
        <w:rPr>
          <w:rFonts w:hint="eastAsia" w:ascii="仿宋_GB2312" w:hAnsi="仿宋_GB2312" w:eastAsia="仿宋_GB2312" w:cs="仿宋_GB2312"/>
          <w:sz w:val="32"/>
          <w:szCs w:val="32"/>
          <w:lang w:val="en-US" w:eastAsia="zh-CN"/>
        </w:rPr>
        <w:t>1285.44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55.69</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val="en-US" w:eastAsia="zh-CN"/>
        </w:rPr>
        <w:t>2023年下拨新冠肺炎重症救治能力资金、托育建设资金、新生儿耳聋基因免费筛查检测经费。</w:t>
      </w:r>
    </w:p>
    <w:p w14:paraId="2F0F465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0FB8BFE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5575892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年度财政拨款支出3593.49万元，占本年支出合计的</w:t>
      </w:r>
      <w:r>
        <w:rPr>
          <w:rFonts w:hint="eastAsia" w:ascii="仿宋_GB2312" w:hAnsi="仿宋_GB2312" w:eastAsia="仿宋_GB2312" w:cs="仿宋_GB2312"/>
          <w:sz w:val="32"/>
          <w:szCs w:val="32"/>
          <w:lang w:val="en-US" w:eastAsia="zh-CN"/>
        </w:rPr>
        <w:t>11.33</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1285.44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55.69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在提升新冠肺炎重症救治能力、托育建设、新生儿耳聋免费筛查检测等方面使用了财政资金。</w:t>
      </w:r>
    </w:p>
    <w:p w14:paraId="7537580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7304FE3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年度财政拨款支出3593.49万元，主要用于以下方面：科学技术支出（类）支出29.98万元，占</w:t>
      </w:r>
      <w:r>
        <w:rPr>
          <w:rFonts w:hint="eastAsia" w:ascii="仿宋_GB2312" w:hAnsi="仿宋_GB2312" w:eastAsia="仿宋_GB2312" w:cs="仿宋_GB2312"/>
          <w:b w:val="0"/>
          <w:bCs w:val="0"/>
          <w:sz w:val="32"/>
          <w:szCs w:val="32"/>
          <w:lang w:val="en-US" w:eastAsia="zh-CN"/>
        </w:rPr>
        <w:t>0.83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sz w:val="32"/>
          <w:szCs w:val="32"/>
        </w:rPr>
        <w:t>社会保障和就业支出（类）支出395.23万元，占</w:t>
      </w:r>
      <w:r>
        <w:rPr>
          <w:rFonts w:hint="eastAsia" w:ascii="仿宋_GB2312" w:hAnsi="仿宋_GB2312" w:eastAsia="仿宋_GB2312" w:cs="仿宋_GB2312"/>
          <w:sz w:val="32"/>
          <w:szCs w:val="32"/>
          <w:lang w:val="en-US" w:eastAsia="zh-CN"/>
        </w:rPr>
        <w:t>11.00</w:t>
      </w:r>
      <w:r>
        <w:rPr>
          <w:rFonts w:hint="eastAsia" w:ascii="仿宋_GB2312" w:hAnsi="仿宋_GB2312" w:eastAsia="仿宋_GB2312" w:cs="仿宋_GB2312"/>
          <w:sz w:val="32"/>
          <w:szCs w:val="32"/>
        </w:rPr>
        <w:t>%;卫生健康支出2995.25万元，占</w:t>
      </w:r>
      <w:r>
        <w:rPr>
          <w:rFonts w:hint="eastAsia" w:ascii="仿宋_GB2312" w:hAnsi="仿宋_GB2312" w:eastAsia="仿宋_GB2312" w:cs="仿宋_GB2312"/>
          <w:sz w:val="32"/>
          <w:szCs w:val="32"/>
          <w:lang w:val="en-US" w:eastAsia="zh-CN"/>
        </w:rPr>
        <w:t>83.35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，住房保障支出173.03万元，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4.82</w:t>
      </w:r>
      <w:r>
        <w:rPr>
          <w:rFonts w:hint="eastAsia" w:ascii="仿宋_GB2312" w:hAnsi="仿宋_GB2312" w:eastAsia="仿宋_GB2312" w:cs="仿宋_GB2312"/>
          <w:sz w:val="32"/>
          <w:szCs w:val="32"/>
        </w:rPr>
        <w:t>%。</w:t>
      </w:r>
    </w:p>
    <w:p w14:paraId="2D13D54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74BEACB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2065.92</w:t>
      </w:r>
      <w:r>
        <w:rPr>
          <w:rFonts w:hint="eastAsia" w:ascii="仿宋_GB2312" w:hAnsi="仿宋_GB2312" w:eastAsia="仿宋_GB2312" w:cs="仿宋_GB2312"/>
          <w:sz w:val="32"/>
          <w:szCs w:val="32"/>
        </w:rPr>
        <w:t>万元，支出决算数为3593.49万元，完成年初预算的</w:t>
      </w:r>
      <w:r>
        <w:rPr>
          <w:rFonts w:hint="eastAsia" w:ascii="仿宋_GB2312" w:hAnsi="仿宋_GB2312" w:eastAsia="仿宋_GB2312" w:cs="仿宋_GB2312"/>
          <w:sz w:val="32"/>
          <w:szCs w:val="32"/>
          <w:lang w:val="en-US" w:eastAsia="zh-CN"/>
        </w:rPr>
        <w:t>173.94</w:t>
      </w:r>
      <w:r>
        <w:rPr>
          <w:rFonts w:hint="eastAsia" w:ascii="仿宋_GB2312" w:hAnsi="仿宋_GB2312" w:eastAsia="仿宋_GB2312" w:cs="仿宋_GB2312"/>
          <w:sz w:val="32"/>
          <w:szCs w:val="32"/>
        </w:rPr>
        <w:t>%，其中：</w:t>
      </w:r>
    </w:p>
    <w:p w14:paraId="42E6052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科学技术支出（类）基础研究（款）自然科学基金（项）</w:t>
      </w:r>
      <w:r>
        <w:rPr>
          <w:rFonts w:hint="eastAsia" w:ascii="仿宋_GB2312" w:hAnsi="仿宋_GB2312" w:eastAsia="仿宋_GB2312" w:cs="仿宋_GB2312"/>
          <w:sz w:val="32"/>
          <w:szCs w:val="32"/>
        </w:rPr>
        <w:t>。</w:t>
      </w:r>
    </w:p>
    <w:p w14:paraId="211785CA">
      <w:pPr>
        <w:pStyle w:val="12"/>
        <w:spacing w:line="600" w:lineRule="exact"/>
        <w:ind w:firstLine="800" w:firstLineChars="250"/>
        <w:rPr>
          <w:rFonts w:ascii="Times New Roman" w:hAnsi="Times New Roman" w:eastAsia="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万元，支出决算为14.7万元，决算数大于年初预算数的主要原因是：</w:t>
      </w:r>
      <w:r>
        <w:rPr>
          <w:rFonts w:hint="eastAsia" w:ascii="Times New Roman" w:hAnsi="Times New Roman" w:eastAsia="仿宋_GB2312"/>
          <w:sz w:val="32"/>
          <w:szCs w:val="32"/>
        </w:rPr>
        <w:t>年初没有预算，是上年结转的科研专项资金。</w:t>
      </w:r>
    </w:p>
    <w:p w14:paraId="02F09FE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2、科学技术支出（类）技术研究与开发（款）其他技术研究与开发支出（项）。</w:t>
      </w:r>
    </w:p>
    <w:p w14:paraId="36CC47D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15.28</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rPr>
        <w:t>年初没有预算，是上年结转的科研专项资金。</w:t>
      </w:r>
    </w:p>
    <w:p w14:paraId="08D77861">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社会保障和就业支出（类）行政事业单位养老支出（款）事业单位离退休（项）</w:t>
      </w:r>
    </w:p>
    <w:p w14:paraId="5C99AB0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22.52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18.63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82.73%，</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eastAsia="zh-CN"/>
        </w:rPr>
        <w:t>离退休人员的人员经费已用完，但公用经费未使用完，有结余。</w:t>
      </w:r>
    </w:p>
    <w:p w14:paraId="0BD69A18">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社会保障和就业支出（类）行政事业单位养老支出（款）机关事业单位基本养老保险缴费支出（项）</w:t>
      </w:r>
    </w:p>
    <w:p w14:paraId="136046D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财政拨付的在编人员基本养老保险费，已按时按量缴纳社保。</w:t>
      </w:r>
    </w:p>
    <w:p w14:paraId="5BF1AA04">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社会保障和就业支出（类）抚恤（款）其他优抚支出（项）</w:t>
      </w:r>
    </w:p>
    <w:p w14:paraId="5BC41D3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3.31</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根据实际情况</w:t>
      </w:r>
      <w:r>
        <w:rPr>
          <w:rFonts w:hint="eastAsia" w:ascii="Times New Roman" w:hAnsi="Times New Roman" w:eastAsia="仿宋_GB2312"/>
          <w:sz w:val="32"/>
          <w:szCs w:val="32"/>
        </w:rPr>
        <w:t>追加的一次性抚恤及遗属费</w:t>
      </w:r>
      <w:r>
        <w:rPr>
          <w:rFonts w:hint="eastAsia" w:ascii="Times New Roman" w:hAnsi="Times New Roman" w:eastAsia="仿宋_GB2312"/>
          <w:sz w:val="32"/>
          <w:szCs w:val="32"/>
          <w:lang w:eastAsia="zh-CN"/>
        </w:rPr>
        <w:t>。</w:t>
      </w:r>
    </w:p>
    <w:p w14:paraId="1FDCAFEC">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社会保障和就业支出（类）其他社会保障和就业支出（款）其他社会保障和就业支出（项）</w:t>
      </w:r>
    </w:p>
    <w:p w14:paraId="2C4C36B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7.59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142.59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1878.66%，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除了年初预算的工伤保险外，还有上年结转的</w:t>
      </w:r>
      <w:r>
        <w:rPr>
          <w:rFonts w:hint="eastAsia" w:ascii="仿宋_GB2312" w:hAnsi="仿宋_GB2312" w:eastAsia="仿宋_GB2312" w:cs="仿宋_GB2312"/>
          <w:color w:val="auto"/>
          <w:sz w:val="32"/>
          <w:szCs w:val="32"/>
          <w:lang w:val="en-US" w:eastAsia="zh-CN"/>
        </w:rPr>
        <w:t>托育建设资金</w:t>
      </w:r>
      <w:r>
        <w:rPr>
          <w:rFonts w:hint="eastAsia" w:ascii="Times New Roman" w:hAnsi="Times New Roman" w:eastAsia="仿宋_GB2312"/>
          <w:sz w:val="32"/>
          <w:szCs w:val="32"/>
          <w:lang w:eastAsia="zh-CN"/>
        </w:rPr>
        <w:t>。</w:t>
      </w:r>
    </w:p>
    <w:p w14:paraId="5D5EB7C3">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卫生健康支出（类）公立医院（款）妇幼保健医院（项）</w:t>
      </w:r>
    </w:p>
    <w:p w14:paraId="7D483C8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1510.67</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1245.71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完成年初预算的</w:t>
      </w:r>
      <w:r>
        <w:rPr>
          <w:rFonts w:hint="eastAsia" w:ascii="仿宋_GB2312" w:hAnsi="仿宋_GB2312" w:eastAsia="仿宋_GB2312" w:cs="仿宋_GB2312"/>
          <w:color w:val="auto"/>
          <w:sz w:val="32"/>
          <w:szCs w:val="32"/>
          <w:lang w:val="en-US" w:eastAsia="zh-CN"/>
        </w:rPr>
        <w:t>82.46%，</w:t>
      </w:r>
      <w:r>
        <w:rPr>
          <w:rFonts w:hint="eastAsia" w:ascii="仿宋_GB2312" w:hAnsi="仿宋_GB2312" w:eastAsia="仿宋_GB2312" w:cs="仿宋_GB2312"/>
          <w:color w:val="auto"/>
          <w:sz w:val="32"/>
          <w:szCs w:val="32"/>
        </w:rPr>
        <w:t>决算数</w:t>
      </w:r>
      <w:r>
        <w:rPr>
          <w:rFonts w:hint="eastAsia" w:ascii="仿宋_GB2312" w:hAnsi="仿宋_GB2312" w:eastAsia="仿宋_GB2312" w:cs="仿宋_GB2312"/>
          <w:color w:val="auto"/>
          <w:sz w:val="32"/>
          <w:szCs w:val="32"/>
          <w:lang w:eastAsia="zh-CN"/>
        </w:rPr>
        <w:t>大于</w:t>
      </w:r>
      <w:r>
        <w:rPr>
          <w:rFonts w:hint="eastAsia" w:ascii="仿宋_GB2312" w:hAnsi="仿宋_GB2312" w:eastAsia="仿宋_GB2312" w:cs="仿宋_GB2312"/>
          <w:color w:val="auto"/>
          <w:sz w:val="32"/>
          <w:szCs w:val="32"/>
        </w:rPr>
        <w:t>年初预算数的主要原因是：</w:t>
      </w:r>
      <w:r>
        <w:rPr>
          <w:rFonts w:hint="eastAsia" w:ascii="仿宋_GB2312" w:hAnsi="仿宋_GB2312" w:eastAsia="仿宋_GB2312" w:cs="仿宋_GB2312"/>
          <w:color w:val="auto"/>
          <w:sz w:val="32"/>
          <w:szCs w:val="32"/>
          <w:lang w:eastAsia="zh-CN"/>
        </w:rPr>
        <w:t>公务用车运行维护费结余，非税收入返还未下达。</w:t>
      </w:r>
    </w:p>
    <w:p w14:paraId="5EDA67B9">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卫生健康支出（类）公立医院（款）其他公立医院支出（项）</w:t>
      </w:r>
    </w:p>
    <w:p w14:paraId="248C055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922.13</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年中拨付项目资金，包括重点学科建设资金、新冠重症救治能力提升资金、公立医院改革补助。</w:t>
      </w:r>
    </w:p>
    <w:p w14:paraId="4E674BF3">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卫生健康支出（类）公共卫生（款）重大公共卫生服务（项）</w:t>
      </w:r>
    </w:p>
    <w:p w14:paraId="71BFC40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48.86</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上年结转和年中拨付的重大传染病防控经费。</w:t>
      </w:r>
    </w:p>
    <w:p w14:paraId="0F387886">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卫生健康支出（类）公共卫生（款）突发公共卫生事件应急处理（项）</w:t>
      </w:r>
    </w:p>
    <w:p w14:paraId="63D45A9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46.58</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上年结转和年中拨付的核酸检测能力提升。</w:t>
      </w:r>
    </w:p>
    <w:p w14:paraId="05F81110">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卫生健康支出（类）公共卫生（款）其他公共卫生支出（项）</w:t>
      </w:r>
    </w:p>
    <w:p w14:paraId="2ED8D5D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38.34</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上年结转和年中拨付的公卫经费。</w:t>
      </w:r>
    </w:p>
    <w:p w14:paraId="0420C356">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卫生健康支出（类）中医药（款）中医（民族医）药专项（项）</w:t>
      </w:r>
    </w:p>
    <w:p w14:paraId="0160FFC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4.73</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上年结转和年中拨付的中医药专项。</w:t>
      </w:r>
    </w:p>
    <w:p w14:paraId="59A63B14">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卫生健康支出（类）行政事业单位医疗（款）事业单位医疗（项）</w:t>
      </w:r>
    </w:p>
    <w:p w14:paraId="67D1944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年初预算为121.41万元，支出决算为</w:t>
      </w:r>
      <w:r>
        <w:rPr>
          <w:rFonts w:hint="eastAsia" w:ascii="仿宋_GB2312" w:hAnsi="仿宋_GB2312" w:eastAsia="仿宋_GB2312" w:cs="仿宋_GB2312"/>
          <w:sz w:val="32"/>
          <w:szCs w:val="32"/>
          <w:lang w:val="en-US" w:eastAsia="zh-CN"/>
        </w:rPr>
        <w:t>121.41</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财政拨付的在编人员医疗保险，已按时按量缴纳社保。</w:t>
      </w:r>
    </w:p>
    <w:p w14:paraId="39C1155B">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卫生健康支出（类）其他卫生健康支出（款）其他卫生健康支出（项）</w:t>
      </w:r>
    </w:p>
    <w:p w14:paraId="2FE7C47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567.5</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年初没有预算，年中拨付的新生儿耳聋基因筛查项目资金、新型冠状病毒感染疫情应急救治能力提升项目资金、医务人员补助资金。</w:t>
      </w:r>
    </w:p>
    <w:p w14:paraId="197884E3">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住房保障支出（类）住房改革支出（款）住房公积金（项）</w:t>
      </w:r>
    </w:p>
    <w:p w14:paraId="2BE100E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173.03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财政拨付的在编人员住房公积金，已按时按量缴纳。</w:t>
      </w:r>
    </w:p>
    <w:p w14:paraId="08A746C0">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72AD4B9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年度财政拨款基本支出1800.39万元，其中：</w:t>
      </w:r>
    </w:p>
    <w:p w14:paraId="7651C4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1745.27万元，占基本支出的</w:t>
      </w:r>
      <w:r>
        <w:rPr>
          <w:rFonts w:hint="eastAsia" w:ascii="仿宋_GB2312" w:hAnsi="仿宋_GB2312" w:eastAsia="仿宋_GB2312" w:cs="仿宋_GB2312"/>
          <w:sz w:val="32"/>
          <w:szCs w:val="32"/>
          <w:lang w:val="en-US" w:eastAsia="zh-CN"/>
        </w:rPr>
        <w:t>96.94</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val="en-US" w:eastAsia="zh-CN"/>
        </w:rPr>
        <w:t>1034.23万元</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val="en-US" w:eastAsia="zh-CN"/>
        </w:rPr>
        <w:t>4.44万元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51.3万元</w:t>
      </w:r>
      <w:r>
        <w:rPr>
          <w:rFonts w:hint="eastAsia" w:ascii="仿宋_GB2312" w:hAnsi="仿宋_GB2312" w:eastAsia="仿宋_GB2312" w:cs="仿宋_GB2312"/>
          <w:sz w:val="32"/>
          <w:szCs w:val="32"/>
          <w:lang w:eastAsia="zh-CN"/>
        </w:rPr>
        <w:t>、机关事业单位基本养老保险缴费</w:t>
      </w:r>
      <w:r>
        <w:rPr>
          <w:rFonts w:hint="eastAsia" w:ascii="仿宋_GB2312" w:hAnsi="仿宋_GB2312" w:eastAsia="仿宋_GB2312" w:cs="仿宋_GB2312"/>
          <w:sz w:val="32"/>
          <w:szCs w:val="32"/>
          <w:lang w:val="en-US" w:eastAsia="zh-CN"/>
        </w:rPr>
        <w:t>230.7万元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职工基本医疗保险缴费</w:t>
      </w:r>
      <w:r>
        <w:rPr>
          <w:rFonts w:hint="eastAsia" w:ascii="仿宋_GB2312" w:hAnsi="仿宋_GB2312" w:eastAsia="仿宋_GB2312" w:cs="仿宋_GB2312"/>
          <w:sz w:val="32"/>
          <w:szCs w:val="32"/>
          <w:lang w:val="en-US" w:eastAsia="zh-CN"/>
        </w:rPr>
        <w:t>121.41万元</w:t>
      </w:r>
      <w:r>
        <w:rPr>
          <w:rFonts w:hint="eastAsia" w:ascii="仿宋_GB2312" w:hAnsi="仿宋_GB2312" w:eastAsia="仿宋_GB2312" w:cs="仿宋_GB2312"/>
          <w:sz w:val="32"/>
          <w:szCs w:val="32"/>
          <w:lang w:eastAsia="zh-CN"/>
        </w:rPr>
        <w:t>、其他社会保障缴费</w:t>
      </w:r>
      <w:r>
        <w:rPr>
          <w:rFonts w:hint="eastAsia" w:ascii="仿宋_GB2312" w:hAnsi="仿宋_GB2312" w:eastAsia="仿宋_GB2312" w:cs="仿宋_GB2312"/>
          <w:sz w:val="32"/>
          <w:szCs w:val="32"/>
          <w:lang w:val="en-US" w:eastAsia="zh-CN"/>
        </w:rPr>
        <w:t>7.59万元</w:t>
      </w:r>
      <w:r>
        <w:rPr>
          <w:rFonts w:hint="eastAsia" w:ascii="仿宋_GB2312" w:hAnsi="仿宋_GB2312" w:eastAsia="仿宋_GB2312" w:cs="仿宋_GB2312"/>
          <w:sz w:val="32"/>
          <w:szCs w:val="32"/>
          <w:lang w:eastAsia="zh-CN"/>
        </w:rPr>
        <w:t>、住房公积金</w:t>
      </w:r>
      <w:r>
        <w:rPr>
          <w:rFonts w:hint="eastAsia" w:ascii="仿宋_GB2312" w:hAnsi="仿宋_GB2312" w:eastAsia="仿宋_GB2312" w:cs="仿宋_GB2312"/>
          <w:sz w:val="32"/>
          <w:szCs w:val="32"/>
          <w:lang w:val="en-US" w:eastAsia="zh-CN"/>
        </w:rPr>
        <w:t>173.03万元</w:t>
      </w:r>
      <w:r>
        <w:rPr>
          <w:rFonts w:hint="eastAsia" w:ascii="仿宋_GB2312" w:hAnsi="仿宋_GB2312" w:eastAsia="仿宋_GB2312" w:cs="仿宋_GB2312"/>
          <w:sz w:val="32"/>
          <w:szCs w:val="32"/>
          <w:lang w:eastAsia="zh-CN"/>
        </w:rPr>
        <w:t>、离休费</w:t>
      </w:r>
      <w:r>
        <w:rPr>
          <w:rFonts w:hint="eastAsia" w:ascii="仿宋_GB2312" w:hAnsi="仿宋_GB2312" w:eastAsia="仿宋_GB2312" w:cs="仿宋_GB2312"/>
          <w:sz w:val="32"/>
          <w:szCs w:val="32"/>
          <w:lang w:val="en-US" w:eastAsia="zh-CN"/>
        </w:rPr>
        <w:t>11.45万元</w:t>
      </w:r>
      <w:r>
        <w:rPr>
          <w:rFonts w:hint="eastAsia" w:ascii="仿宋_GB2312" w:hAnsi="仿宋_GB2312" w:eastAsia="仿宋_GB2312" w:cs="仿宋_GB2312"/>
          <w:sz w:val="32"/>
          <w:szCs w:val="32"/>
          <w:lang w:eastAsia="zh-CN"/>
        </w:rPr>
        <w:t>、退休费</w:t>
      </w:r>
      <w:r>
        <w:rPr>
          <w:rFonts w:hint="eastAsia" w:ascii="仿宋_GB2312" w:hAnsi="仿宋_GB2312" w:eastAsia="仿宋_GB2312" w:cs="仿宋_GB2312"/>
          <w:sz w:val="32"/>
          <w:szCs w:val="32"/>
          <w:lang w:val="en-US" w:eastAsia="zh-CN"/>
        </w:rPr>
        <w:t>104.67万元</w:t>
      </w:r>
      <w:r>
        <w:rPr>
          <w:rFonts w:hint="eastAsia"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6.44万元</w:t>
      </w:r>
      <w:r>
        <w:rPr>
          <w:rFonts w:hint="eastAsia" w:ascii="仿宋_GB2312" w:hAnsi="仿宋_GB2312" w:eastAsia="仿宋_GB2312" w:cs="仿宋_GB2312"/>
          <w:sz w:val="32"/>
          <w:szCs w:val="32"/>
          <w:lang w:eastAsia="zh-CN"/>
        </w:rPr>
        <w:t>。</w:t>
      </w:r>
    </w:p>
    <w:p w14:paraId="7EDC1DD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55.12万元，占基本支出的</w:t>
      </w:r>
      <w:r>
        <w:rPr>
          <w:rFonts w:hint="eastAsia" w:ascii="仿宋_GB2312" w:hAnsi="仿宋_GB2312" w:eastAsia="仿宋_GB2312" w:cs="仿宋_GB2312"/>
          <w:sz w:val="32"/>
          <w:szCs w:val="32"/>
          <w:lang w:val="en-US" w:eastAsia="zh-CN"/>
        </w:rPr>
        <w:t>3.06</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eastAsia="zh-CN"/>
        </w:rPr>
        <w:t>专用材料费</w:t>
      </w:r>
      <w:r>
        <w:rPr>
          <w:rFonts w:hint="eastAsia" w:ascii="仿宋_GB2312" w:hAnsi="仿宋_GB2312" w:eastAsia="仿宋_GB2312" w:cs="仿宋_GB2312"/>
          <w:sz w:val="32"/>
          <w:szCs w:val="32"/>
          <w:lang w:val="en-US" w:eastAsia="zh-CN"/>
        </w:rPr>
        <w:t>17.16万元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工会经费</w:t>
      </w:r>
      <w:r>
        <w:rPr>
          <w:rFonts w:hint="eastAsia" w:ascii="仿宋_GB2312" w:hAnsi="仿宋_GB2312" w:eastAsia="仿宋_GB2312" w:cs="仿宋_GB2312"/>
          <w:sz w:val="32"/>
          <w:szCs w:val="32"/>
          <w:lang w:val="en-US" w:eastAsia="zh-CN"/>
        </w:rPr>
        <w:t>15.89万元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公务用车运行维护费</w:t>
      </w:r>
      <w:r>
        <w:rPr>
          <w:rFonts w:hint="eastAsia" w:ascii="仿宋_GB2312" w:hAnsi="仿宋_GB2312" w:eastAsia="仿宋_GB2312" w:cs="仿宋_GB2312"/>
          <w:sz w:val="32"/>
          <w:szCs w:val="32"/>
          <w:lang w:val="en-US" w:eastAsia="zh-CN"/>
        </w:rPr>
        <w:t>13.99万元、其他商品和服务支出8.08万元</w:t>
      </w:r>
      <w:r>
        <w:rPr>
          <w:rFonts w:hint="eastAsia" w:ascii="仿宋_GB2312" w:hAnsi="仿宋_GB2312" w:eastAsia="仿宋_GB2312" w:cs="仿宋_GB2312"/>
          <w:sz w:val="32"/>
          <w:szCs w:val="32"/>
        </w:rPr>
        <w:t>。</w:t>
      </w:r>
    </w:p>
    <w:p w14:paraId="69904FA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64B66B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771932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C8E099E">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490BF2D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67A3BE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C1A45D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77.72</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公务用车运行维护费结余，</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由于上年决算为</w:t>
      </w:r>
      <w:r>
        <w:rPr>
          <w:rFonts w:hint="eastAsia" w:ascii="仿宋_GB2312" w:hAnsi="仿宋_GB2312" w:eastAsia="仿宋_GB2312" w:cs="仿宋_GB2312"/>
          <w:sz w:val="32"/>
          <w:szCs w:val="32"/>
          <w:lang w:val="en-US" w:eastAsia="zh-CN"/>
        </w:rPr>
        <w:t>0，无法计算增长率</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上年没有安排“三公”经费预算</w:t>
      </w:r>
      <w:r>
        <w:rPr>
          <w:rFonts w:hint="eastAsia" w:ascii="仿宋_GB2312" w:hAnsi="仿宋_GB2312" w:eastAsia="仿宋_GB2312" w:cs="仿宋_GB2312"/>
          <w:sz w:val="32"/>
          <w:szCs w:val="32"/>
        </w:rPr>
        <w:t>。其中：</w:t>
      </w:r>
    </w:p>
    <w:p w14:paraId="5073DCC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14:paraId="3567AD8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公务接待费支出预算为0万元，支出决算为0万元，决算数等于预算数，主要原因是严格执行中央八项规定；与上年一致，无增减变动，主要原因是按有关政策厉行节约，严控公务接待支出。 </w:t>
      </w:r>
    </w:p>
    <w:p w14:paraId="34AF579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公务用车购置费支出预算为0万元，支出决算为0万元，决算数等于预算数，主要原因是我单位严格按预算执行决算；与上年一致，无增减变动，主要原因是两年均未购置公务用车。</w:t>
      </w:r>
    </w:p>
    <w:p w14:paraId="754BC8A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77.72</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公务用车运行维护费有结余</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由于上年决算为</w:t>
      </w:r>
      <w:r>
        <w:rPr>
          <w:rFonts w:hint="eastAsia" w:ascii="仿宋_GB2312" w:hAnsi="仿宋_GB2312" w:eastAsia="仿宋_GB2312" w:cs="仿宋_GB2312"/>
          <w:sz w:val="32"/>
          <w:szCs w:val="32"/>
          <w:lang w:val="en-US" w:eastAsia="zh-CN"/>
        </w:rPr>
        <w:t>0，无法计算增长率</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上年未安排预算</w:t>
      </w:r>
      <w:r>
        <w:rPr>
          <w:rFonts w:hint="eastAsia" w:ascii="仿宋_GB2312" w:hAnsi="仿宋_GB2312" w:eastAsia="仿宋_GB2312" w:cs="仿宋_GB2312"/>
          <w:sz w:val="32"/>
          <w:szCs w:val="32"/>
        </w:rPr>
        <w:t>。</w:t>
      </w:r>
    </w:p>
    <w:p w14:paraId="0415531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032A59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w:t>
      </w:r>
    </w:p>
    <w:p w14:paraId="797F73DA">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因公出国（境）费支出决算为0万元，全年安排因公出国（境）团组0个，累计0人次，我单位2023年度无因公出国（境）费支出。  </w:t>
      </w:r>
    </w:p>
    <w:p w14:paraId="0E811627">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因公出国（境）费支出决算为0万元，全年安排因公出国（境）团组0个，累计0人次，我单位2023年度无因公出国（境）费支出。  </w:t>
      </w:r>
    </w:p>
    <w:p w14:paraId="2962BEA4">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车辆油费、维修费、保险</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sz w:val="32"/>
          <w:szCs w:val="32"/>
        </w:rPr>
        <w:t>辆。</w:t>
      </w:r>
    </w:p>
    <w:p w14:paraId="618F6B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7EC5EB6">
      <w:pPr>
        <w:pStyle w:val="12"/>
        <w:ind w:firstLine="640" w:firstLineChars="200"/>
        <w:rPr>
          <w:rFonts w:hint="eastAsia" w:ascii="楷体" w:hAnsi="楷体" w:eastAsia="楷体" w:cs="楷体"/>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55.12</w:t>
      </w:r>
      <w:r>
        <w:rPr>
          <w:rFonts w:hint="eastAsia" w:ascii="仿宋_GB2312" w:hAnsi="仿宋_GB2312" w:eastAsia="仿宋_GB2312" w:cs="仿宋_GB2312"/>
          <w:sz w:val="32"/>
          <w:szCs w:val="32"/>
        </w:rPr>
        <w:t>万元，比上年决算数减少</w:t>
      </w:r>
      <w:r>
        <w:rPr>
          <w:rFonts w:hint="eastAsia" w:ascii="仿宋_GB2312" w:hAnsi="仿宋_GB2312" w:eastAsia="仿宋_GB2312" w:cs="仿宋_GB2312"/>
          <w:sz w:val="32"/>
          <w:szCs w:val="32"/>
          <w:lang w:val="en-US" w:eastAsia="zh-CN"/>
        </w:rPr>
        <w:t>767.67</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93.3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基本支出缩减了机关运行经费预算，大部分科目未安排预算。</w:t>
      </w:r>
    </w:p>
    <w:p w14:paraId="18AA5073">
      <w:pPr>
        <w:pStyle w:val="12"/>
        <w:numPr>
          <w:ilvl w:val="0"/>
          <w:numId w:val="5"/>
        </w:numPr>
        <w:ind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印刷费今年决算数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万，上年决算数0.43万，减少</w:t>
      </w:r>
      <w:r>
        <w:rPr>
          <w:rFonts w:hint="eastAsia" w:ascii="Times New Roman" w:hAnsi="Times New Roman" w:eastAsia="仿宋_GB2312"/>
          <w:sz w:val="32"/>
          <w:szCs w:val="32"/>
          <w:lang w:val="en-US" w:eastAsia="zh-CN"/>
        </w:rPr>
        <w:t>0.43</w:t>
      </w:r>
      <w:r>
        <w:rPr>
          <w:rFonts w:hint="eastAsia" w:ascii="Times New Roman" w:hAnsi="Times New Roman" w:eastAsia="仿宋_GB2312"/>
          <w:sz w:val="32"/>
          <w:szCs w:val="32"/>
        </w:rPr>
        <w:t>万元，下降</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%，减少的主要原因是厉行节约，减少印刷品；</w:t>
      </w:r>
    </w:p>
    <w:p w14:paraId="04754C7F">
      <w:pPr>
        <w:pStyle w:val="12"/>
        <w:numPr>
          <w:ilvl w:val="0"/>
          <w:numId w:val="5"/>
        </w:numPr>
        <w:ind w:firstLine="640" w:firstLineChars="200"/>
        <w:jc w:val="both"/>
        <w:rPr>
          <w:rFonts w:hint="eastAsia" w:ascii="Times New Roman" w:hAnsi="Times New Roman" w:eastAsia="仿宋_GB2312"/>
          <w:sz w:val="32"/>
          <w:szCs w:val="32"/>
          <w:lang w:eastAsia="zh-CN"/>
        </w:rPr>
      </w:pPr>
      <w:r>
        <w:rPr>
          <w:rFonts w:hint="eastAsia" w:ascii="Times New Roman" w:hAnsi="Times New Roman" w:eastAsia="仿宋_GB2312"/>
          <w:sz w:val="32"/>
          <w:szCs w:val="32"/>
        </w:rPr>
        <w:t>水电费今年决算数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w:t>
      </w:r>
      <w:r>
        <w:rPr>
          <w:rFonts w:hint="eastAsia" w:ascii="Times New Roman" w:hAnsi="Times New Roman" w:eastAsia="仿宋_GB2312"/>
          <w:sz w:val="32"/>
          <w:szCs w:val="32"/>
          <w:lang w:val="en-US" w:eastAsia="zh-CN"/>
        </w:rPr>
        <w:t>10.4</w:t>
      </w:r>
      <w:r>
        <w:rPr>
          <w:rFonts w:hint="eastAsia" w:ascii="Times New Roman" w:hAnsi="Times New Roman" w:eastAsia="仿宋_GB2312"/>
          <w:sz w:val="32"/>
          <w:szCs w:val="32"/>
        </w:rPr>
        <w:t>万，减少</w:t>
      </w:r>
      <w:r>
        <w:rPr>
          <w:rFonts w:hint="eastAsia" w:ascii="Times New Roman" w:hAnsi="Times New Roman" w:eastAsia="仿宋_GB2312"/>
          <w:sz w:val="32"/>
          <w:szCs w:val="32"/>
          <w:lang w:val="en-US" w:eastAsia="zh-CN"/>
        </w:rPr>
        <w:t>10.4</w:t>
      </w:r>
      <w:r>
        <w:rPr>
          <w:rFonts w:hint="eastAsia" w:ascii="Times New Roman" w:hAnsi="Times New Roman" w:eastAsia="仿宋_GB2312"/>
          <w:sz w:val="32"/>
          <w:szCs w:val="32"/>
        </w:rPr>
        <w:t>万元，下降</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0%，减少的主要原因是厉行节约，节水节电；</w:t>
      </w:r>
    </w:p>
    <w:p w14:paraId="6C54214D">
      <w:pPr>
        <w:pStyle w:val="12"/>
        <w:numPr>
          <w:ilvl w:val="0"/>
          <w:numId w:val="5"/>
        </w:numPr>
        <w:ind w:left="0" w:leftChars="0" w:firstLine="640" w:firstLineChars="200"/>
        <w:jc w:val="both"/>
        <w:rPr>
          <w:rFonts w:hint="eastAsia" w:ascii="Times New Roman" w:hAnsi="Times New Roman" w:eastAsia="仿宋_GB2312"/>
          <w:bCs/>
          <w:sz w:val="32"/>
          <w:szCs w:val="32"/>
          <w:lang w:eastAsia="zh-CN"/>
        </w:rPr>
      </w:pPr>
      <w:r>
        <w:rPr>
          <w:rFonts w:hint="eastAsia" w:ascii="Times New Roman" w:hAnsi="Times New Roman" w:eastAsia="仿宋_GB2312"/>
          <w:sz w:val="32"/>
          <w:szCs w:val="32"/>
        </w:rPr>
        <w:t>差旅费今年决算数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万，上年决算数20.38万，</w:t>
      </w:r>
      <w:r>
        <w:rPr>
          <w:rFonts w:hint="eastAsia" w:ascii="Times New Roman" w:hAnsi="Times New Roman" w:eastAsia="仿宋_GB2312"/>
          <w:bCs/>
          <w:sz w:val="32"/>
          <w:szCs w:val="32"/>
          <w:lang w:eastAsia="zh-CN"/>
        </w:rPr>
        <w:t>减少</w:t>
      </w:r>
      <w:r>
        <w:rPr>
          <w:rFonts w:hint="eastAsia" w:ascii="Times New Roman" w:hAnsi="Times New Roman" w:eastAsia="仿宋_GB2312"/>
          <w:bCs/>
          <w:sz w:val="32"/>
          <w:szCs w:val="32"/>
          <w:lang w:val="en-US" w:eastAsia="zh-CN"/>
        </w:rPr>
        <w:t>20.38</w:t>
      </w:r>
      <w:r>
        <w:rPr>
          <w:rFonts w:hint="eastAsia" w:ascii="Times New Roman" w:hAnsi="Times New Roman" w:eastAsia="仿宋_GB2312"/>
          <w:bCs/>
          <w:sz w:val="32"/>
          <w:szCs w:val="32"/>
        </w:rPr>
        <w:t>万，</w:t>
      </w:r>
      <w:r>
        <w:rPr>
          <w:rFonts w:hint="eastAsia" w:ascii="Times New Roman" w:hAnsi="Times New Roman" w:eastAsia="仿宋_GB2312"/>
          <w:bCs/>
          <w:sz w:val="32"/>
          <w:szCs w:val="32"/>
          <w:lang w:eastAsia="zh-CN"/>
        </w:rPr>
        <w:t>下降</w:t>
      </w:r>
      <w:r>
        <w:rPr>
          <w:rFonts w:hint="eastAsia" w:ascii="Times New Roman" w:hAnsi="Times New Roman" w:eastAsia="仿宋_GB2312"/>
          <w:bCs/>
          <w:sz w:val="32"/>
          <w:szCs w:val="32"/>
          <w:lang w:val="en-US" w:eastAsia="zh-CN"/>
        </w:rPr>
        <w:t>100</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基本支出未安排差旅费预算；</w:t>
      </w:r>
    </w:p>
    <w:p w14:paraId="17126297">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sz w:val="32"/>
          <w:szCs w:val="32"/>
        </w:rPr>
        <w:t>会议费今年决算数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w:t>
      </w:r>
      <w:r>
        <w:rPr>
          <w:rFonts w:ascii="Times New Roman" w:hAnsi="Times New Roman" w:eastAsia="仿宋_GB2312"/>
          <w:sz w:val="32"/>
          <w:szCs w:val="32"/>
        </w:rPr>
        <w:t>23.68</w:t>
      </w:r>
      <w:r>
        <w:rPr>
          <w:rFonts w:hint="eastAsia" w:ascii="Times New Roman" w:hAnsi="Times New Roman" w:eastAsia="仿宋_GB2312"/>
          <w:sz w:val="32"/>
          <w:szCs w:val="32"/>
        </w:rPr>
        <w:t>万，</w:t>
      </w:r>
      <w:r>
        <w:rPr>
          <w:rFonts w:hint="eastAsia" w:ascii="Times New Roman" w:hAnsi="Times New Roman" w:eastAsia="仿宋_GB2312"/>
          <w:bCs/>
          <w:sz w:val="32"/>
          <w:szCs w:val="32"/>
        </w:rPr>
        <w:t>减少</w:t>
      </w:r>
      <w:r>
        <w:rPr>
          <w:rFonts w:hint="eastAsia" w:ascii="Times New Roman" w:hAnsi="Times New Roman" w:eastAsia="仿宋_GB2312"/>
          <w:bCs/>
          <w:sz w:val="32"/>
          <w:szCs w:val="32"/>
          <w:lang w:val="en-US" w:eastAsia="zh-CN"/>
        </w:rPr>
        <w:t>23.68</w:t>
      </w:r>
      <w:r>
        <w:rPr>
          <w:rFonts w:hint="eastAsia" w:ascii="Times New Roman" w:hAnsi="Times New Roman" w:eastAsia="仿宋_GB2312"/>
          <w:bCs/>
          <w:sz w:val="32"/>
          <w:szCs w:val="32"/>
        </w:rPr>
        <w:t>万，下降</w:t>
      </w:r>
      <w:r>
        <w:rPr>
          <w:rFonts w:hint="eastAsia" w:ascii="Times New Roman" w:hAnsi="Times New Roman" w:eastAsia="仿宋_GB2312"/>
          <w:bCs/>
          <w:sz w:val="32"/>
          <w:szCs w:val="32"/>
          <w:lang w:val="en-US" w:eastAsia="zh-CN"/>
        </w:rPr>
        <w:t>100</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基本支出未安排会议费预算；</w:t>
      </w:r>
    </w:p>
    <w:p w14:paraId="3875E774">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培训费今年决算数0万，上年决算数49.28万，减少49.28万，下降100%，主要原因是基本支出未安排培训费预算；</w:t>
      </w:r>
    </w:p>
    <w:p w14:paraId="4CA6FDBF">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劳务费今年决算数0万，上年决算数11.97万，减少11.97万，下降100%，主要原因是基本支出未安排劳务费预算；</w:t>
      </w:r>
    </w:p>
    <w:p w14:paraId="002381F4">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sz w:val="32"/>
          <w:szCs w:val="32"/>
        </w:rPr>
        <w:t>日常维修费今年决算数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万，上年决算数20万，</w:t>
      </w:r>
      <w:r>
        <w:rPr>
          <w:rFonts w:hint="eastAsia" w:ascii="Times New Roman" w:hAnsi="Times New Roman" w:eastAsia="仿宋_GB2312"/>
          <w:bCs/>
          <w:sz w:val="32"/>
          <w:szCs w:val="32"/>
        </w:rPr>
        <w:t>减少</w:t>
      </w:r>
      <w:r>
        <w:rPr>
          <w:rFonts w:hint="eastAsia" w:ascii="Times New Roman" w:hAnsi="Times New Roman" w:eastAsia="仿宋_GB2312"/>
          <w:bCs/>
          <w:sz w:val="32"/>
          <w:szCs w:val="32"/>
          <w:lang w:val="en-US" w:eastAsia="zh-CN"/>
        </w:rPr>
        <w:t>20</w:t>
      </w:r>
      <w:r>
        <w:rPr>
          <w:rFonts w:hint="eastAsia" w:ascii="Times New Roman" w:hAnsi="Times New Roman" w:eastAsia="仿宋_GB2312"/>
          <w:bCs/>
          <w:sz w:val="32"/>
          <w:szCs w:val="32"/>
        </w:rPr>
        <w:t>万，下降</w:t>
      </w:r>
      <w:r>
        <w:rPr>
          <w:rFonts w:hint="eastAsia" w:ascii="Times New Roman" w:hAnsi="Times New Roman" w:eastAsia="仿宋_GB2312"/>
          <w:bCs/>
          <w:sz w:val="32"/>
          <w:szCs w:val="32"/>
          <w:lang w:val="en-US" w:eastAsia="zh-CN"/>
        </w:rPr>
        <w:t>100</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基本支出未安排维修费预算；</w:t>
      </w:r>
    </w:p>
    <w:p w14:paraId="341450D8">
      <w:pPr>
        <w:pStyle w:val="12"/>
        <w:numPr>
          <w:ilvl w:val="0"/>
          <w:numId w:val="5"/>
        </w:numPr>
        <w:ind w:left="0" w:leftChars="0" w:firstLine="640" w:firstLineChars="200"/>
        <w:jc w:val="both"/>
        <w:rPr>
          <w:rFonts w:hint="eastAsia" w:ascii="Times New Roman" w:hAnsi="Times New Roman" w:eastAsia="仿宋_GB2312"/>
          <w:bCs/>
          <w:sz w:val="32"/>
          <w:szCs w:val="32"/>
        </w:rPr>
      </w:pPr>
      <w:r>
        <w:rPr>
          <w:rFonts w:hint="eastAsia" w:ascii="Times New Roman" w:hAnsi="Times New Roman" w:eastAsia="仿宋_GB2312"/>
          <w:sz w:val="32"/>
          <w:szCs w:val="32"/>
        </w:rPr>
        <w:t>专用材料费今年决算数</w:t>
      </w:r>
      <w:r>
        <w:rPr>
          <w:rFonts w:hint="eastAsia" w:ascii="Times New Roman" w:hAnsi="Times New Roman" w:eastAsia="仿宋_GB2312"/>
          <w:sz w:val="32"/>
          <w:szCs w:val="32"/>
          <w:lang w:val="en-US" w:eastAsia="zh-CN"/>
        </w:rPr>
        <w:t>17.16</w:t>
      </w:r>
      <w:r>
        <w:rPr>
          <w:rFonts w:hint="eastAsia" w:ascii="Times New Roman" w:hAnsi="Times New Roman" w:eastAsia="仿宋_GB2312"/>
          <w:sz w:val="32"/>
          <w:szCs w:val="32"/>
        </w:rPr>
        <w:t>万，上年决算数</w:t>
      </w:r>
      <w:r>
        <w:rPr>
          <w:rFonts w:ascii="Times New Roman" w:hAnsi="Times New Roman" w:eastAsia="仿宋_GB2312"/>
          <w:sz w:val="32"/>
          <w:szCs w:val="32"/>
        </w:rPr>
        <w:t>512.03</w:t>
      </w:r>
      <w:r>
        <w:rPr>
          <w:rFonts w:hint="eastAsia" w:ascii="Times New Roman" w:hAnsi="Times New Roman" w:eastAsia="仿宋_GB2312"/>
          <w:sz w:val="32"/>
          <w:szCs w:val="32"/>
        </w:rPr>
        <w:t>万，</w:t>
      </w:r>
      <w:r>
        <w:rPr>
          <w:rFonts w:hint="eastAsia" w:ascii="Times New Roman" w:hAnsi="Times New Roman" w:eastAsia="仿宋_GB2312"/>
          <w:bCs/>
          <w:sz w:val="32"/>
          <w:szCs w:val="32"/>
          <w:lang w:eastAsia="zh-CN"/>
        </w:rPr>
        <w:t>减少</w:t>
      </w:r>
      <w:r>
        <w:rPr>
          <w:rFonts w:hint="eastAsia" w:ascii="Times New Roman" w:hAnsi="Times New Roman" w:eastAsia="仿宋_GB2312"/>
          <w:bCs/>
          <w:sz w:val="32"/>
          <w:szCs w:val="32"/>
          <w:lang w:val="en-US" w:eastAsia="zh-CN"/>
        </w:rPr>
        <w:t>494.87</w:t>
      </w:r>
      <w:r>
        <w:rPr>
          <w:rFonts w:hint="eastAsia" w:ascii="Times New Roman" w:hAnsi="Times New Roman" w:eastAsia="仿宋_GB2312"/>
          <w:bCs/>
          <w:sz w:val="32"/>
          <w:szCs w:val="32"/>
        </w:rPr>
        <w:t>万，</w:t>
      </w:r>
      <w:r>
        <w:rPr>
          <w:rFonts w:hint="eastAsia" w:ascii="Times New Roman" w:hAnsi="Times New Roman" w:eastAsia="仿宋_GB2312"/>
          <w:bCs/>
          <w:sz w:val="32"/>
          <w:szCs w:val="32"/>
          <w:lang w:eastAsia="zh-CN"/>
        </w:rPr>
        <w:t>下降</w:t>
      </w:r>
      <w:r>
        <w:rPr>
          <w:rFonts w:hint="eastAsia" w:ascii="Times New Roman" w:hAnsi="Times New Roman" w:eastAsia="仿宋_GB2312"/>
          <w:bCs/>
          <w:sz w:val="32"/>
          <w:szCs w:val="32"/>
          <w:lang w:val="en-US" w:eastAsia="zh-CN"/>
        </w:rPr>
        <w:t>96.65</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基本支出安排专用材料费的预算减少；</w:t>
      </w:r>
    </w:p>
    <w:p w14:paraId="54EF0FB4">
      <w:pPr>
        <w:pStyle w:val="12"/>
        <w:numPr>
          <w:ilvl w:val="0"/>
          <w:numId w:val="5"/>
        </w:numPr>
        <w:ind w:left="0" w:leftChars="0" w:firstLine="640" w:firstLineChars="200"/>
        <w:jc w:val="both"/>
        <w:rPr>
          <w:rFonts w:hint="eastAsia" w:ascii="Times New Roman" w:hAnsi="Times New Roman" w:eastAsia="仿宋_GB2312"/>
          <w:bCs/>
          <w:sz w:val="32"/>
          <w:szCs w:val="32"/>
        </w:rPr>
      </w:pPr>
      <w:r>
        <w:rPr>
          <w:rFonts w:hint="eastAsia" w:ascii="Times New Roman" w:hAnsi="Times New Roman" w:eastAsia="仿宋_GB2312"/>
          <w:bCs/>
          <w:sz w:val="32"/>
          <w:szCs w:val="32"/>
          <w:lang w:eastAsia="zh-CN"/>
        </w:rPr>
        <w:t>工会经费今年决算数</w:t>
      </w:r>
      <w:r>
        <w:rPr>
          <w:rFonts w:hint="eastAsia" w:ascii="Times New Roman" w:hAnsi="Times New Roman" w:eastAsia="仿宋_GB2312"/>
          <w:bCs/>
          <w:sz w:val="32"/>
          <w:szCs w:val="32"/>
          <w:lang w:val="en-US" w:eastAsia="zh-CN"/>
        </w:rPr>
        <w:t>15.89万元，上年决算数0万元，增加15.89万元，由于上年决算数为0，无法计算增长率，增加的主要原因是因为今年安排了工会经费预算；</w:t>
      </w:r>
    </w:p>
    <w:p w14:paraId="06ECFAB7">
      <w:pPr>
        <w:pStyle w:val="12"/>
        <w:numPr>
          <w:ilvl w:val="0"/>
          <w:numId w:val="5"/>
        </w:numPr>
        <w:ind w:left="0" w:leftChars="0" w:firstLine="640" w:firstLineChars="200"/>
        <w:jc w:val="both"/>
        <w:rPr>
          <w:rFonts w:hint="eastAsia" w:ascii="Times New Roman" w:hAnsi="Times New Roman" w:eastAsia="仿宋_GB2312"/>
          <w:bCs/>
          <w:sz w:val="32"/>
          <w:szCs w:val="32"/>
        </w:rPr>
      </w:pPr>
      <w:r>
        <w:rPr>
          <w:rFonts w:hint="eastAsia" w:ascii="Times New Roman" w:hAnsi="Times New Roman" w:eastAsia="仿宋_GB2312"/>
          <w:bCs/>
          <w:sz w:val="32"/>
          <w:szCs w:val="32"/>
          <w:lang w:eastAsia="zh-CN"/>
        </w:rPr>
        <w:t>公务用车运行维护费</w:t>
      </w:r>
      <w:r>
        <w:rPr>
          <w:rFonts w:hint="eastAsia" w:ascii="Times New Roman" w:hAnsi="Times New Roman" w:eastAsia="仿宋_GB2312"/>
          <w:bCs/>
          <w:sz w:val="32"/>
          <w:szCs w:val="32"/>
          <w:lang w:val="en-US" w:eastAsia="zh-CN"/>
        </w:rPr>
        <w:t>13.99万元，上年决算数0万元，增加13.99万元，由于上年决算数为0，无法计算增长率，增加的主要原因是因为上年没有公务用车运行维护预算，今年安排了预算，有车辆相关的运行支出；</w:t>
      </w:r>
    </w:p>
    <w:p w14:paraId="1A43623C">
      <w:pPr>
        <w:pStyle w:val="12"/>
        <w:ind w:firstLine="640" w:firstLineChars="200"/>
        <w:jc w:val="both"/>
        <w:rPr>
          <w:rFonts w:hint="eastAsia" w:ascii="楷体" w:hAnsi="楷体" w:eastAsia="楷体" w:cs="楷体"/>
          <w:sz w:val="32"/>
          <w:szCs w:val="32"/>
        </w:rPr>
      </w:pPr>
      <w:r>
        <w:rPr>
          <w:rFonts w:hint="eastAsia" w:ascii="Times New Roman" w:hAnsi="Times New Roman" w:eastAsia="仿宋_GB2312"/>
          <w:sz w:val="32"/>
          <w:szCs w:val="32"/>
          <w:lang w:val="en-US" w:eastAsia="zh-CN"/>
        </w:rPr>
        <w:t>11、其他商品和服务支出今年决算数8.08万，上年决算数174.62万，减少166.54万，下降95.37%，主要原因是基本支出中仅离退休人员公用经费安排其他商品和服务支出预算。</w:t>
      </w:r>
    </w:p>
    <w:p w14:paraId="45B57F2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C224F0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本单位无会议费的预算和支出决算数；本单位无培训费的预算和支出决算数；本单位无举办节庆、晚会、论坛、赛事等活动的预算和支出决算数。</w:t>
      </w:r>
    </w:p>
    <w:p w14:paraId="36A74D8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p>
    <w:p w14:paraId="1477ED3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547F1E1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5141.04</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3161.15</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272.86</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1707.03</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2317.84</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45.09</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1008.24</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43.5</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66.44</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79.26</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0.08</w:t>
      </w:r>
      <w:r>
        <w:rPr>
          <w:rFonts w:hint="eastAsia" w:ascii="仿宋_GB2312" w:hAnsi="仿宋_GB2312" w:eastAsia="仿宋_GB2312" w:cs="仿宋_GB2312"/>
          <w:color w:val="auto"/>
          <w:sz w:val="32"/>
          <w:szCs w:val="32"/>
        </w:rPr>
        <w:t>%。</w:t>
      </w:r>
    </w:p>
    <w:p w14:paraId="0730B9C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4FA681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台（套）。</w:t>
      </w:r>
    </w:p>
    <w:p w14:paraId="2B0C751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702758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A0635D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175BF5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3593.49万元，政府性基金预算支出0万元，国有资本经营预算支出0万元。从评价情况来看，整体支出绩效评价中，2023年整体支出31728.5万元，其中：基本支出25506.13万元，项目支出6222.37万元，本单位整体支出绩效自评综合评分88.75分，评价结果等次为良好。</w:t>
      </w:r>
    </w:p>
    <w:p w14:paraId="2A1946F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组织对一般公共预算项目支出全面开展绩效自评，项目4个，共涉及资金450.43万元，占一般公共预算项目支出总额的25%。组织对政府性基金预算项目支出开展绩效自评，项目0个，共涉及资金0万元，</w:t>
      </w:r>
      <w:r>
        <w:rPr>
          <w:rFonts w:hint="eastAsia" w:ascii="仿宋_GB2312" w:hAnsi="仿宋_GB2312" w:eastAsia="仿宋_GB2312" w:cs="仿宋_GB2312"/>
          <w:b w:val="0"/>
          <w:bCs w:val="0"/>
          <w:color w:val="000000"/>
          <w:kern w:val="0"/>
          <w:sz w:val="32"/>
          <w:szCs w:val="32"/>
          <w:lang w:val="en-US" w:eastAsia="zh" w:bidi="ar-SA"/>
          <w:woUserID w:val="1"/>
        </w:rPr>
        <w:t>由于</w:t>
      </w:r>
      <w:r>
        <w:rPr>
          <w:rFonts w:hint="eastAsia" w:ascii="仿宋_GB2312" w:hAnsi="仿宋_GB2312" w:eastAsia="仿宋_GB2312" w:cs="仿宋_GB2312"/>
          <w:b w:val="0"/>
          <w:bCs w:val="0"/>
          <w:color w:val="000000"/>
          <w:kern w:val="0"/>
          <w:sz w:val="32"/>
          <w:szCs w:val="32"/>
          <w:lang w:val="en-US" w:eastAsia="zh-CN" w:bidi="ar-SA"/>
          <w:woUserID w:val="1"/>
        </w:rPr>
        <w:t>政府性基金预算项目</w:t>
      </w:r>
      <w:r>
        <w:rPr>
          <w:rFonts w:hint="eastAsia" w:ascii="仿宋_GB2312" w:hAnsi="仿宋_GB2312" w:eastAsia="仿宋_GB2312" w:cs="仿宋_GB2312"/>
          <w:b w:val="0"/>
          <w:bCs w:val="0"/>
          <w:color w:val="000000"/>
          <w:kern w:val="0"/>
          <w:sz w:val="32"/>
          <w:szCs w:val="32"/>
          <w:lang w:val="en-US" w:eastAsia="zh" w:bidi="ar-SA"/>
          <w:woUserID w:val="1"/>
        </w:rPr>
        <w:t>预算数为0，无法计算完成年初预算的百分比。</w:t>
      </w:r>
      <w:r>
        <w:rPr>
          <w:rFonts w:hint="eastAsia" w:ascii="仿宋_GB2312" w:hAnsi="仿宋_GB2312" w:eastAsia="仿宋_GB2312" w:cs="仿宋_GB2312"/>
          <w:b w:val="0"/>
          <w:bCs w:val="0"/>
          <w:color w:val="000000"/>
          <w:kern w:val="0"/>
          <w:sz w:val="32"/>
          <w:szCs w:val="32"/>
          <w:lang w:val="en-US" w:eastAsia="zh-CN" w:bidi="ar-SA"/>
        </w:rPr>
        <w:t>组织对国有资本经营预算项目支出开展绩效自评，项目0个，共涉及资金0万元，</w:t>
      </w:r>
      <w:r>
        <w:rPr>
          <w:rFonts w:hint="eastAsia" w:ascii="仿宋_GB2312" w:hAnsi="仿宋_GB2312" w:eastAsia="仿宋_GB2312" w:cs="仿宋_GB2312"/>
          <w:b w:val="0"/>
          <w:bCs w:val="0"/>
          <w:color w:val="000000"/>
          <w:kern w:val="0"/>
          <w:sz w:val="32"/>
          <w:szCs w:val="32"/>
          <w:lang w:val="en-US" w:eastAsia="zh" w:bidi="ar-SA"/>
          <w:woUserID w:val="1"/>
        </w:rPr>
        <w:t>由于</w:t>
      </w:r>
      <w:r>
        <w:rPr>
          <w:rFonts w:hint="eastAsia" w:ascii="仿宋_GB2312" w:hAnsi="仿宋_GB2312" w:eastAsia="仿宋_GB2312" w:cs="仿宋_GB2312"/>
          <w:b w:val="0"/>
          <w:bCs w:val="0"/>
          <w:color w:val="000000"/>
          <w:kern w:val="0"/>
          <w:sz w:val="32"/>
          <w:szCs w:val="32"/>
          <w:lang w:val="en-US" w:eastAsia="zh-CN" w:bidi="ar-SA"/>
          <w:woUserID w:val="1"/>
        </w:rPr>
        <w:t>国有资本经营预算项目</w:t>
      </w:r>
      <w:r>
        <w:rPr>
          <w:rFonts w:hint="eastAsia" w:ascii="仿宋_GB2312" w:hAnsi="仿宋_GB2312" w:eastAsia="仿宋_GB2312" w:cs="仿宋_GB2312"/>
          <w:b w:val="0"/>
          <w:bCs w:val="0"/>
          <w:color w:val="000000"/>
          <w:kern w:val="0"/>
          <w:sz w:val="32"/>
          <w:szCs w:val="32"/>
          <w:lang w:val="en-US" w:eastAsia="zh" w:bidi="ar-SA"/>
          <w:woUserID w:val="1"/>
        </w:rPr>
        <w:t>预算数为0，无法计算完成年初预算的百分比。</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从评价情况来看，项目绩效自评得分96.43分，评价结果等次为优秀。</w:t>
      </w:r>
    </w:p>
    <w:p w14:paraId="258B9E9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07367C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根据年初设定的绩效目标，绩效自评得分为88.75 分。全年预算数为40955.45万元，执行数为31728.5 万元，完成预算的77.47%。绩效目标完成情况：一是重点学科数量维持在3个以上；二是医疗服务质量提升，体现在医疗服务收入占医疗收入的占比提高；三是及时按量完成了2023年非税上缴任务；四是药占比稳定在16%；四是保障医务人员工资性收入，人员支出在40%以上，五是通过提高医疗技术、手术复杂度的方式，医疗收入小幅增长；六是完成新院搬迁工作，为服务对象提高更好的医疗环境；七是注重环境保护，废物排放未对环境造成负面影响。发现的主要问题及原因：一是服务对象满意度未达95%以上；二是就诊人次增加，但医疗服务收入较上年度增速缓慢。下一步改进措施：一是提升服务质量，根据满意度调查情况分析原因，有针对性地提出改进措施，责令相关科室改善服务质量；二是医疗技术提升，合理安排医务人员进修培训，与医联体密切合作，聘请省市级专家来访指导临床工作。</w:t>
      </w:r>
    </w:p>
    <w:p w14:paraId="587F7AD1">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51C8F2B4">
      <w:pPr>
        <w:autoSpaceDE w:val="0"/>
        <w:autoSpaceDN w:val="0"/>
        <w:adjustRightInd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通过绩效评价发现项目资金使用进度缓慢，集中在下半年使用，反映出资金使用率可能偏低，资金支付率与项目实际实施进度不相符的问题。由于项目实施由临床负责，而项目资金由财务管理，跨部门合作未建立良好的沟通反馈渠道，导致资金结余。为了让资金发挥最大效益，下一步措施：加强部门之间的沟通，打破“信息差”，保障资金在整个项目实施过程中及时按量使用。</w:t>
      </w:r>
    </w:p>
    <w:p w14:paraId="1666354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5BE7FB16">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B64364D">
      <w:pPr>
        <w:numPr>
          <w:ilvl w:val="0"/>
          <w:numId w:val="0"/>
        </w:numPr>
        <w:autoSpaceDE w:val="0"/>
        <w:autoSpaceDN w:val="0"/>
        <w:adjustRightInd w:val="0"/>
        <w:jc w:val="left"/>
        <w:rPr>
          <w:rFonts w:hint="default" w:ascii="楷体" w:hAnsi="楷体" w:eastAsia="楷体" w:cs="楷体"/>
          <w:b/>
          <w:bCs/>
          <w:i w:val="0"/>
          <w:iCs w:val="0"/>
          <w:color w:val="FF0000"/>
          <w:kern w:val="0"/>
          <w:sz w:val="36"/>
          <w:szCs w:val="36"/>
          <w:lang w:val="en-US" w:eastAsia="zh-CN"/>
        </w:rPr>
      </w:pPr>
    </w:p>
    <w:p w14:paraId="5764EA44">
      <w:pPr>
        <w:pStyle w:val="12"/>
        <w:jc w:val="both"/>
        <w:rPr>
          <w:sz w:val="72"/>
          <w:szCs w:val="72"/>
        </w:rPr>
      </w:pPr>
    </w:p>
    <w:p w14:paraId="7281CD41">
      <w:pPr>
        <w:pStyle w:val="12"/>
        <w:jc w:val="both"/>
        <w:rPr>
          <w:rFonts w:hint="eastAsia" w:ascii="方正小标宋_GBK" w:hAnsi="方正小标宋_GBK" w:eastAsia="方正小标宋_GBK" w:cs="方正小标宋_GBK"/>
          <w:sz w:val="72"/>
          <w:szCs w:val="72"/>
        </w:rPr>
      </w:pPr>
    </w:p>
    <w:p w14:paraId="1943C2F5">
      <w:pPr>
        <w:pStyle w:val="12"/>
        <w:jc w:val="center"/>
        <w:rPr>
          <w:rFonts w:hint="eastAsia" w:ascii="方正小标宋_GBK" w:hAnsi="方正小标宋_GBK" w:eastAsia="方正小标宋_GBK" w:cs="方正小标宋_GBK"/>
          <w:sz w:val="72"/>
          <w:szCs w:val="72"/>
        </w:rPr>
      </w:pPr>
    </w:p>
    <w:p w14:paraId="18FC3AC2">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54470605">
      <w:pPr>
        <w:jc w:val="center"/>
        <w:rPr>
          <w:rFonts w:hint="eastAsia" w:ascii="方正小标宋_GBK" w:hAnsi="方正小标宋_GBK" w:eastAsia="方正小标宋_GBK" w:cs="方正小标宋_GBK"/>
          <w:color w:val="000000"/>
          <w:kern w:val="0"/>
          <w:sz w:val="70"/>
          <w:szCs w:val="70"/>
        </w:rPr>
      </w:pPr>
    </w:p>
    <w:p w14:paraId="655A0E3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895D210">
      <w:pPr>
        <w:pStyle w:val="2"/>
      </w:pPr>
    </w:p>
    <w:p w14:paraId="49FC9FEA">
      <w:pPr>
        <w:pStyle w:val="3"/>
      </w:pPr>
    </w:p>
    <w:p w14:paraId="6A081EBD"/>
    <w:p w14:paraId="37DAD032">
      <w:pPr>
        <w:pStyle w:val="2"/>
      </w:pPr>
    </w:p>
    <w:p w14:paraId="12567F86">
      <w:pPr>
        <w:pStyle w:val="3"/>
      </w:pPr>
    </w:p>
    <w:p w14:paraId="4E3BACF7"/>
    <w:p w14:paraId="5EE6E858">
      <w:pPr>
        <w:pStyle w:val="2"/>
      </w:pPr>
    </w:p>
    <w:p w14:paraId="75E0E80B">
      <w:pPr>
        <w:pStyle w:val="3"/>
      </w:pPr>
    </w:p>
    <w:p w14:paraId="08B6DA4F"/>
    <w:p w14:paraId="0125934F">
      <w:pPr>
        <w:pStyle w:val="2"/>
      </w:pPr>
    </w:p>
    <w:p w14:paraId="0BDAADE5">
      <w:pPr>
        <w:pStyle w:val="3"/>
      </w:pPr>
    </w:p>
    <w:p w14:paraId="30C21119"/>
    <w:p w14:paraId="1F429FEA">
      <w:pPr>
        <w:pStyle w:val="2"/>
      </w:pPr>
    </w:p>
    <w:p w14:paraId="507F4B19">
      <w:pPr>
        <w:pStyle w:val="3"/>
      </w:pPr>
    </w:p>
    <w:p w14:paraId="34391B91">
      <w:pPr>
        <w:pStyle w:val="2"/>
      </w:pPr>
    </w:p>
    <w:p w14:paraId="444B62E0"/>
    <w:p w14:paraId="0BFC89C3">
      <w:pPr>
        <w:pStyle w:val="2"/>
      </w:pPr>
    </w:p>
    <w:p w14:paraId="374B029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9A573A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4C4325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0906561E">
      <w:pPr>
        <w:pStyle w:val="12"/>
        <w:jc w:val="center"/>
        <w:rPr>
          <w:rFonts w:hint="eastAsia" w:ascii="仿宋_GB2312" w:hAnsi="仿宋_GB2312" w:eastAsia="仿宋_GB2312" w:cs="仿宋_GB2312"/>
          <w:sz w:val="32"/>
          <w:szCs w:val="32"/>
        </w:rPr>
      </w:pPr>
    </w:p>
    <w:p w14:paraId="36D2A361">
      <w:pPr>
        <w:pStyle w:val="3"/>
      </w:pPr>
    </w:p>
    <w:p w14:paraId="033324C1"/>
    <w:p w14:paraId="48D5E979">
      <w:pPr>
        <w:pStyle w:val="2"/>
      </w:pPr>
    </w:p>
    <w:p w14:paraId="60A314DF">
      <w:pPr>
        <w:pStyle w:val="3"/>
      </w:pPr>
    </w:p>
    <w:p w14:paraId="6D35B9AC"/>
    <w:p w14:paraId="6422358B">
      <w:pPr>
        <w:pStyle w:val="2"/>
      </w:pPr>
    </w:p>
    <w:p w14:paraId="284CDFDC">
      <w:pPr>
        <w:pStyle w:val="3"/>
      </w:pPr>
    </w:p>
    <w:p w14:paraId="5ABE4757"/>
    <w:p w14:paraId="56046A87">
      <w:pPr>
        <w:pStyle w:val="2"/>
      </w:pPr>
    </w:p>
    <w:p w14:paraId="54BAE860">
      <w:pPr>
        <w:pStyle w:val="3"/>
      </w:pPr>
    </w:p>
    <w:p w14:paraId="1A55B281"/>
    <w:p w14:paraId="52EDF328">
      <w:pPr>
        <w:pStyle w:val="2"/>
      </w:pPr>
    </w:p>
    <w:p w14:paraId="47103F60">
      <w:pPr>
        <w:pStyle w:val="3"/>
      </w:pPr>
    </w:p>
    <w:p w14:paraId="4258BB9F"/>
    <w:p w14:paraId="75B8B328">
      <w:pPr>
        <w:pStyle w:val="2"/>
      </w:pPr>
    </w:p>
    <w:p w14:paraId="3CAE71B1">
      <w:pPr>
        <w:pStyle w:val="3"/>
      </w:pPr>
    </w:p>
    <w:p w14:paraId="7B29B5D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F808C9B">
      <w:pPr>
        <w:pStyle w:val="12"/>
        <w:jc w:val="both"/>
        <w:rPr>
          <w:rFonts w:hint="eastAsia" w:ascii="方正小标宋_GBK" w:hAnsi="方正小标宋_GBK" w:eastAsia="方正小标宋_GBK" w:cs="方正小标宋_GBK"/>
          <w:sz w:val="70"/>
          <w:szCs w:val="70"/>
          <w:lang w:eastAsia="zh-CN"/>
        </w:rPr>
      </w:pPr>
    </w:p>
    <w:p w14:paraId="5142366E">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C0DE79">
      <w:pPr>
        <w:ind w:firstLine="640" w:firstLineChars="200"/>
        <w:jc w:val="left"/>
        <w:rPr>
          <w:rFonts w:hint="eastAsia" w:ascii="宋体" w:hAnsi="宋体" w:eastAsia="宋体" w:cs="黑体"/>
          <w:b/>
          <w:color w:val="000000"/>
          <w:kern w:val="0"/>
          <w:sz w:val="32"/>
          <w:szCs w:val="32"/>
          <w:lang w:val="en-US" w:eastAsia="zh-CN"/>
        </w:rPr>
      </w:pPr>
    </w:p>
    <w:p w14:paraId="4F4D0C23">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0016983C">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70C77695"/>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小标宋_GBK">
    <w:altName w:val="华文中宋"/>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Times New Roman"/>
    <w:panose1 w:val="02010609030101010101"/>
    <w:charset w:val="86"/>
    <w:family w:val="modern"/>
    <w:pitch w:val="default"/>
    <w:sig w:usb0="00000000" w:usb1="00000000" w:usb2="00000000"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乐见体">
    <w:panose1 w:val="02020400000000000000"/>
    <w:charset w:val="86"/>
    <w:family w:val="auto"/>
    <w:pitch w:val="default"/>
    <w:sig w:usb0="80000003" w:usb1="08012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74155"/>
    <w:multiLevelType w:val="singleLevel"/>
    <w:tmpl w:val="CE374155"/>
    <w:lvl w:ilvl="0" w:tentative="0">
      <w:start w:val="1"/>
      <w:numFmt w:val="decimal"/>
      <w:suff w:val="nothing"/>
      <w:lvlText w:val="%1、"/>
      <w:lvlJc w:val="left"/>
      <w:pPr>
        <w:ind w:left="-10"/>
      </w:pPr>
      <w:rPr>
        <w:rFonts w:hint="default"/>
        <w:color w:val="auto"/>
      </w:rPr>
    </w:lvl>
  </w:abstractNum>
  <w:abstractNum w:abstractNumId="1">
    <w:nsid w:val="F5864A22"/>
    <w:multiLevelType w:val="singleLevel"/>
    <w:tmpl w:val="F5864A22"/>
    <w:lvl w:ilvl="0" w:tentative="0">
      <w:start w:val="1"/>
      <w:numFmt w:val="decimal"/>
      <w:suff w:val="nothing"/>
      <w:lvlText w:val="%1、"/>
      <w:lvlJc w:val="left"/>
    </w:lvl>
  </w:abstractNum>
  <w:abstractNum w:abstractNumId="2">
    <w:nsid w:val="1B6CB85F"/>
    <w:multiLevelType w:val="singleLevel"/>
    <w:tmpl w:val="1B6CB85F"/>
    <w:lvl w:ilvl="0" w:tentative="0">
      <w:start w:val="3"/>
      <w:numFmt w:val="decimal"/>
      <w:suff w:val="nothing"/>
      <w:lvlText w:val="%1、"/>
      <w:lvlJc w:val="left"/>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2323435"/>
    <w:multiLevelType w:val="singleLevel"/>
    <w:tmpl w:val="72323435"/>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E46029"/>
    <w:rsid w:val="02071A61"/>
    <w:rsid w:val="030C3556"/>
    <w:rsid w:val="043D4E77"/>
    <w:rsid w:val="04F4673E"/>
    <w:rsid w:val="05080E89"/>
    <w:rsid w:val="059958AD"/>
    <w:rsid w:val="05FE4F54"/>
    <w:rsid w:val="06FA6082"/>
    <w:rsid w:val="06FE229C"/>
    <w:rsid w:val="0738697C"/>
    <w:rsid w:val="09CB300D"/>
    <w:rsid w:val="0A3D2805"/>
    <w:rsid w:val="0ACF3DEB"/>
    <w:rsid w:val="0B6401BF"/>
    <w:rsid w:val="0BD61E90"/>
    <w:rsid w:val="0C32700E"/>
    <w:rsid w:val="0CB27F3A"/>
    <w:rsid w:val="0DA711A4"/>
    <w:rsid w:val="0F927274"/>
    <w:rsid w:val="107C4949"/>
    <w:rsid w:val="11A51879"/>
    <w:rsid w:val="122A0394"/>
    <w:rsid w:val="12583BA5"/>
    <w:rsid w:val="13BA5B9C"/>
    <w:rsid w:val="14C0309A"/>
    <w:rsid w:val="156B642A"/>
    <w:rsid w:val="157405BF"/>
    <w:rsid w:val="15A577C4"/>
    <w:rsid w:val="16F41D35"/>
    <w:rsid w:val="17256E13"/>
    <w:rsid w:val="175C68BA"/>
    <w:rsid w:val="17767A73"/>
    <w:rsid w:val="1A3D5452"/>
    <w:rsid w:val="1A7F18ED"/>
    <w:rsid w:val="1B197114"/>
    <w:rsid w:val="1B7E43A7"/>
    <w:rsid w:val="1C9D073B"/>
    <w:rsid w:val="1D97DEFF"/>
    <w:rsid w:val="1DE75A9B"/>
    <w:rsid w:val="1DFF72E5"/>
    <w:rsid w:val="1EFC6F07"/>
    <w:rsid w:val="22046BDF"/>
    <w:rsid w:val="223A7FB3"/>
    <w:rsid w:val="22572406"/>
    <w:rsid w:val="22AC03C2"/>
    <w:rsid w:val="231D2AC2"/>
    <w:rsid w:val="2378543C"/>
    <w:rsid w:val="24983315"/>
    <w:rsid w:val="24E472F0"/>
    <w:rsid w:val="25040446"/>
    <w:rsid w:val="27715FC1"/>
    <w:rsid w:val="27C94452"/>
    <w:rsid w:val="27D0783E"/>
    <w:rsid w:val="27EF0472"/>
    <w:rsid w:val="2A852C52"/>
    <w:rsid w:val="2D1107DD"/>
    <w:rsid w:val="2FDF85B8"/>
    <w:rsid w:val="2FFFEE04"/>
    <w:rsid w:val="313D27E9"/>
    <w:rsid w:val="31946E04"/>
    <w:rsid w:val="31B639EF"/>
    <w:rsid w:val="31C95635"/>
    <w:rsid w:val="34DF85B0"/>
    <w:rsid w:val="34E72711"/>
    <w:rsid w:val="36001C3A"/>
    <w:rsid w:val="37CE32A7"/>
    <w:rsid w:val="3B292ED4"/>
    <w:rsid w:val="3B8F36BC"/>
    <w:rsid w:val="3BD14C31"/>
    <w:rsid w:val="3F8810CB"/>
    <w:rsid w:val="412020E6"/>
    <w:rsid w:val="41B370D6"/>
    <w:rsid w:val="42B7691E"/>
    <w:rsid w:val="447E086E"/>
    <w:rsid w:val="44C335AB"/>
    <w:rsid w:val="459B28D7"/>
    <w:rsid w:val="4676245F"/>
    <w:rsid w:val="475F4F2A"/>
    <w:rsid w:val="4869465C"/>
    <w:rsid w:val="48846C5E"/>
    <w:rsid w:val="491FF225"/>
    <w:rsid w:val="49C65F48"/>
    <w:rsid w:val="4A061AFF"/>
    <w:rsid w:val="4B48662F"/>
    <w:rsid w:val="4D317F76"/>
    <w:rsid w:val="4DDF7D83"/>
    <w:rsid w:val="4E5A4B2F"/>
    <w:rsid w:val="4F267EE8"/>
    <w:rsid w:val="4FFD214C"/>
    <w:rsid w:val="508A08F4"/>
    <w:rsid w:val="52B93647"/>
    <w:rsid w:val="5352765A"/>
    <w:rsid w:val="559215A5"/>
    <w:rsid w:val="55DF2B6F"/>
    <w:rsid w:val="5777D4F5"/>
    <w:rsid w:val="59C42BCC"/>
    <w:rsid w:val="59DD8326"/>
    <w:rsid w:val="5A1C1946"/>
    <w:rsid w:val="5DEF3829"/>
    <w:rsid w:val="5DEF592A"/>
    <w:rsid w:val="5E7E038C"/>
    <w:rsid w:val="5FC6BB1E"/>
    <w:rsid w:val="5FEE32EF"/>
    <w:rsid w:val="5FF720F1"/>
    <w:rsid w:val="600D7286"/>
    <w:rsid w:val="61855105"/>
    <w:rsid w:val="638C4A5F"/>
    <w:rsid w:val="6399607A"/>
    <w:rsid w:val="64616B0E"/>
    <w:rsid w:val="654A44F6"/>
    <w:rsid w:val="67FF5C0B"/>
    <w:rsid w:val="690141F5"/>
    <w:rsid w:val="69620A20"/>
    <w:rsid w:val="6A4B4E73"/>
    <w:rsid w:val="6B172A82"/>
    <w:rsid w:val="6BAA4A2F"/>
    <w:rsid w:val="6C740CC0"/>
    <w:rsid w:val="6D9743BF"/>
    <w:rsid w:val="6DEF4C69"/>
    <w:rsid w:val="6EE67BF2"/>
    <w:rsid w:val="6EFC0924"/>
    <w:rsid w:val="6F60356E"/>
    <w:rsid w:val="6FA109E3"/>
    <w:rsid w:val="6FB74722"/>
    <w:rsid w:val="6FEF8B7E"/>
    <w:rsid w:val="712C3F43"/>
    <w:rsid w:val="718F64EF"/>
    <w:rsid w:val="71A6591B"/>
    <w:rsid w:val="72403538"/>
    <w:rsid w:val="72FB7A62"/>
    <w:rsid w:val="737D59BA"/>
    <w:rsid w:val="737F32B1"/>
    <w:rsid w:val="75E52B7B"/>
    <w:rsid w:val="77C37683"/>
    <w:rsid w:val="789A4C0A"/>
    <w:rsid w:val="79FF515B"/>
    <w:rsid w:val="7C0E2D42"/>
    <w:rsid w:val="7C336153"/>
    <w:rsid w:val="7CAF011B"/>
    <w:rsid w:val="7D1818C9"/>
    <w:rsid w:val="7D72325C"/>
    <w:rsid w:val="7E612002"/>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BB81CA"/>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17</Pages>
  <Words>7484</Words>
  <Characters>8289</Characters>
  <Lines>63</Lines>
  <Paragraphs>18</Paragraphs>
  <TotalTime>0</TotalTime>
  <ScaleCrop>false</ScaleCrop>
  <LinksUpToDate>false</LinksUpToDate>
  <CharactersWithSpaces>8314</CharactersWithSpaces>
  <Application>WPS Office WWO_wpscloud_20251010183206-22817e2cf8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Administrator</cp:lastModifiedBy>
  <cp:lastPrinted>2024-08-08T18:20:00Z</cp:lastPrinted>
  <dcterms:modified xsi:type="dcterms:W3CDTF">2025-10-13T10:40:59Z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2052-12.9.0.23240</vt:lpwstr>
  </property>
  <property fmtid="{D5CDD505-2E9C-101B-9397-08002B2CF9AE}" pid="3" name="ICV">
    <vt:lpwstr>08B1E66FE8B4A18EBB66EC688F5D38A3_43</vt:lpwstr>
  </property>
</Properties>
</file>