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E0D39"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3F62DD79"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6A1E73C8"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376FD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eastAsia="方正小标宋简体" w:cs="Times New Roman"/>
          <w:sz w:val="44"/>
          <w:szCs w:val="44"/>
          <w:lang w:eastAsia="zh-CN"/>
        </w:rPr>
        <w:t>岳阳市审计局</w:t>
      </w:r>
      <w:r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  <w:t>部门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</w:t>
      </w:r>
    </w:p>
    <w:p w14:paraId="5E7E6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 w14:paraId="48894A96"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344351CF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23BA9202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FEA7B0C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1ACFB83B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546614AB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DF6EE07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3395B18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3F4270F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9607DAD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063F7BB"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0E70C058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1674058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034FE764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183850B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 w14:paraId="6F31EC5D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29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 w14:paraId="34EC87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BB98D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一、基本情况</w:t>
      </w:r>
    </w:p>
    <w:p w14:paraId="514736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楷体_GB2312" w:cs="Times New Roman"/>
          <w:sz w:val="32"/>
          <w:szCs w:val="32"/>
          <w:lang w:eastAsia="zh-CN"/>
        </w:rPr>
      </w:pPr>
      <w:r>
        <w:rPr>
          <w:rFonts w:eastAsia="楷体_GB2312" w:cs="Times New Roman"/>
          <w:sz w:val="32"/>
          <w:szCs w:val="32"/>
        </w:rPr>
        <w:t>（一）部门基本情况</w:t>
      </w:r>
      <w:r>
        <w:rPr>
          <w:rFonts w:hint="eastAsia" w:eastAsia="楷体_GB2312" w:cs="Times New Roman"/>
          <w:sz w:val="32"/>
          <w:szCs w:val="32"/>
          <w:lang w:eastAsia="zh-CN"/>
        </w:rPr>
        <w:t>。</w:t>
      </w:r>
    </w:p>
    <w:p w14:paraId="5393FE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岳阳市审计局现有2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个科室，分别为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办公室、审计执行科、机关党委、机关纪委、审计技术科、自然资源和生态环境审计科、计划统计科、经贸外资审计科、农业农村审计科、固定资产投资审计一科、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固定资产投资审计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二科、财政金融审计科、行政事业审计科、法规科、重大项目审计科、党政领导干部经济责任审计科、国有企业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领导人员经济责任审计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科、政策跟踪审计科、秘书科、人事科、内审指导科、社会保障审计科、离退休人员管理服务科、园区审计科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、审计事务中心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审计监督服务中心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，共有在职人员8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人。</w:t>
      </w:r>
      <w:bookmarkStart w:id="0" w:name="_GoBack"/>
      <w:bookmarkEnd w:id="0"/>
    </w:p>
    <w:p w14:paraId="0382810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eastAsia="楷体_GB2312" w:cs="Times New Roman"/>
          <w:sz w:val="32"/>
          <w:szCs w:val="32"/>
        </w:rPr>
        <w:t>（二）部门年度整体支出绩效目标</w:t>
      </w:r>
      <w:r>
        <w:rPr>
          <w:rFonts w:hint="eastAsia" w:eastAsia="楷体_GB2312" w:cs="Times New Roman"/>
          <w:sz w:val="32"/>
          <w:szCs w:val="32"/>
          <w:lang w:eastAsia="zh-CN"/>
        </w:rPr>
        <w:t>，</w:t>
      </w:r>
      <w:r>
        <w:rPr>
          <w:rFonts w:eastAsia="楷体_GB2312" w:cs="Times New Roman"/>
          <w:sz w:val="32"/>
          <w:szCs w:val="32"/>
        </w:rPr>
        <w:t>其他项目支出绩效目标</w:t>
      </w:r>
      <w:r>
        <w:rPr>
          <w:rFonts w:hint="eastAsia" w:eastAsia="楷体_GB2312" w:cs="Times New Roman"/>
          <w:sz w:val="32"/>
          <w:szCs w:val="32"/>
          <w:lang w:eastAsia="zh-CN"/>
        </w:rPr>
        <w:t>。</w:t>
      </w:r>
      <w:r>
        <w:rPr>
          <w:rFonts w:hint="eastAsia" w:eastAsia="仿宋_GB2312"/>
          <w:sz w:val="32"/>
          <w:szCs w:val="32"/>
          <w:lang w:eastAsia="zh-CN"/>
        </w:rPr>
        <w:t>部门年度整体支出绩效目标为：</w:t>
      </w:r>
      <w:r>
        <w:rPr>
          <w:rFonts w:hint="eastAsia" w:eastAsia="仿宋_GB2312"/>
          <w:sz w:val="32"/>
          <w:szCs w:val="32"/>
        </w:rPr>
        <w:t>坚持依法审计、求真务实，加强对全部政府性资金运行的审计监督，着力促进重大政策措施落地生根，着力促进提升经济发展质量和效益，充分发挥审计在服务国家治理中的重要作用，为促进我市经济社会持续健康发展作出积极贡献。</w:t>
      </w:r>
      <w:r>
        <w:rPr>
          <w:rFonts w:hint="eastAsia" w:eastAsia="仿宋_GB2312"/>
          <w:sz w:val="32"/>
          <w:szCs w:val="32"/>
          <w:lang w:eastAsia="zh-CN"/>
        </w:rPr>
        <w:t>项目支出绩效目标为：按照年度审计项目计划完成</w:t>
      </w:r>
      <w:r>
        <w:rPr>
          <w:rFonts w:hint="eastAsia" w:eastAsia="仿宋_GB2312"/>
          <w:sz w:val="32"/>
          <w:szCs w:val="32"/>
          <w:lang w:val="en-US" w:eastAsia="zh-CN"/>
        </w:rPr>
        <w:t>年度预算执行审计、党政领导干部</w:t>
      </w:r>
      <w:r>
        <w:rPr>
          <w:rFonts w:hint="eastAsia" w:eastAsia="仿宋_GB2312"/>
          <w:sz w:val="32"/>
          <w:szCs w:val="32"/>
          <w:lang w:eastAsia="zh-CN"/>
        </w:rPr>
        <w:t>经济责任审计、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国有企业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领导人员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经济责任审计、</w:t>
      </w:r>
      <w:r>
        <w:rPr>
          <w:rFonts w:hint="eastAsia" w:eastAsia="仿宋_GB2312"/>
          <w:sz w:val="32"/>
          <w:szCs w:val="32"/>
          <w:lang w:eastAsia="zh-CN"/>
        </w:rPr>
        <w:t>政策跟踪审计、经济责任</w:t>
      </w:r>
      <w:r>
        <w:rPr>
          <w:rFonts w:hint="eastAsia" w:eastAsia="仿宋_GB2312"/>
          <w:sz w:val="32"/>
          <w:szCs w:val="32"/>
          <w:lang w:val="en-US" w:eastAsia="zh-CN"/>
        </w:rPr>
        <w:t>异地</w:t>
      </w:r>
      <w:r>
        <w:rPr>
          <w:rFonts w:hint="eastAsia" w:eastAsia="仿宋_GB2312"/>
          <w:sz w:val="32"/>
          <w:szCs w:val="32"/>
          <w:lang w:eastAsia="zh-CN"/>
        </w:rPr>
        <w:t>交叉审计、固定资产投资结算审计等等，对违规资金应收尽收，对违法违规线索移交有关部门进一步查实。揭示问题、防范风险，聚焦财政资金真实合法效益主责主业，开展常态化“经济体检”，促进经济社会高质量发展。</w:t>
      </w:r>
    </w:p>
    <w:p w14:paraId="65C312E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60B74DB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eastAsia="楷体_GB2312" w:cs="Times New Roman"/>
          <w:sz w:val="32"/>
          <w:szCs w:val="32"/>
          <w:lang w:eastAsia="zh-CN"/>
        </w:rPr>
      </w:pPr>
      <w:r>
        <w:rPr>
          <w:rFonts w:eastAsia="楷体_GB2312" w:cs="Times New Roman"/>
          <w:sz w:val="32"/>
          <w:szCs w:val="32"/>
        </w:rPr>
        <w:t>（一）基本支出情况</w:t>
      </w:r>
      <w:r>
        <w:rPr>
          <w:rFonts w:hint="eastAsia" w:eastAsia="楷体_GB2312" w:cs="Times New Roman"/>
          <w:sz w:val="32"/>
          <w:szCs w:val="32"/>
          <w:lang w:eastAsia="zh-CN"/>
        </w:rPr>
        <w:t>。</w:t>
      </w:r>
    </w:p>
    <w:p w14:paraId="2F73900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我局202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全年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基本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支出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合计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2049.68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万元，其中工资福利支出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492.89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万元，商品和服务支出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39.54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万元，对个人和家庭补助支出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317.25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，资本性支出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0万元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。</w:t>
      </w:r>
    </w:p>
    <w:p w14:paraId="7E2C5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（二）项目支出情况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9AC601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年专项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支出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714.03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万元，其中工资福利支出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25.8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占专项支出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3.61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%；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商品和服务支出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85.01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占专项支出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1.93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%；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对个人和家庭补助支出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，占专项支出的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%；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资本性支出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103.22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万元，占专项支出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14.46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。20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市审计局本着专款专用的原则，专项支出基本做到了按预算科目和项目资金的规定使用财政资金。</w:t>
      </w:r>
    </w:p>
    <w:p w14:paraId="027C8AC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三、政府性基金预算支出情况</w:t>
      </w:r>
    </w:p>
    <w:p w14:paraId="1D69F2D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我局2025年度无政府性基金预算支出。</w:t>
      </w:r>
    </w:p>
    <w:p w14:paraId="1E0C264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四、国有资本经营预算支出情况</w:t>
      </w:r>
    </w:p>
    <w:p w14:paraId="5CF85BC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我局2025年度国有资本经营预算支出12万元，其中商品和服务支出12万元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 w14:paraId="38F8F15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五、社会保险基金预算支出情况</w:t>
      </w:r>
    </w:p>
    <w:p w14:paraId="13C3D2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我局2025年度无社会保险基金预算支出。</w:t>
      </w:r>
    </w:p>
    <w:p w14:paraId="6F0DE0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 w14:paraId="187F3A4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0" w:firstLine="640" w:firstLineChars="200"/>
        <w:jc w:val="both"/>
        <w:textAlignment w:val="baseline"/>
        <w:outlineLvl w:val="9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持续擦亮“全国审计机关先进集体”这块品牌，主动担当作为，多次获得市委、市政府主要领导充分肯定以及上级审计机关高度认可，特别是在本年度市人大常委会开展的履职评议和依法行政测评中“满意度”分别排名第一名和第二名。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32"/>
          <w:szCs w:val="32"/>
        </w:rPr>
        <w:t>一是推动重大政策落地生效。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聚焦中央和地方重大政策措施贯彻落实情况，对“两重”“两新”政策落实、优化营商环境等开展跟踪监督，着力打通政策落实的“最后一公里”。在“两重”“两新”专项审计中，督促11个项目加快施工进度，2737万元项目资金足额拨付，追回违规套取、骗取补贴资金136.02万元，推动政策红利转化为发展实效。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32"/>
          <w:szCs w:val="32"/>
        </w:rPr>
        <w:t>二是推动财政资金提质增效。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围绕财政资金管理使用，持续深化预算执行、财政收支等审计，加大对零基预算改革、财政资源统筹、资金分配管理等审计力度，揭示了市本级9家执收单位非税收入征缴不到位，新港区1.28亿元土地出让金长期拖欠，市财政及经开区、新港区未将罚没收入、资产处置收入等3.96亿元及时解缴国库等问题，督促财政及时收回财政资金。对教育、农业、交通等专项资金管理使用情况开展审计，揭示了市教体局、市农业农村局717万元专项资金用于日常开支，农业专项资金“撒胡椒面”分配等问题，助推专项资金从“分散管理”向“统筹增效”转变。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32"/>
          <w:szCs w:val="32"/>
        </w:rPr>
        <w:t>三是推动风险防控务实见效。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发挥经济运行“探头”作用，围绕政府债务、园区发展、国资国企运营等开展审计，精准识别影响经济发展安全的风险隐患。在市级预算执行审计中，揭示了市本级拖欠企业账款26.33亿元未按要求锁定并纳入全口径债务系统管理，新港区、南湖新区挪用专项债券资金8.92亿元用于项目无关支出，经开区、绿色化工高新区等项目8.1亿元债券资金闲置等问题，督促加强债务管理和债券资金使用进度，有效防范经济风险。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32"/>
          <w:szCs w:val="32"/>
        </w:rPr>
        <w:t>四是推动民生福祉加力提效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。坚持以人民为中心的发展思想，紧盯人民群众最关心最直接最现实的利益问题，加大对医疗、教育、殡葬等民生资金审计力度。在医保基金专项审计中，揭示了市级统筹不到位，未上缴医保资金8568万元，平江县、市人民医院等挪用侵占医保基金1918.24等问题，医保部门追回医保基金并开展专项治理，制定完善管理制度。在教育资金审计方面，聚焦教育专项资金的投入、分配和使用，揭示了岳阳中学新建教学楼资金闲置、市一中校园改造项目超期未完工、向不符合条件的民办学校发放奖补等问题，助力教育事业高质量发展。加强殡葬领域监督力度，揭示了岳阳县殡葬项目建设程序不合规、馆区后期维护不善，华容县惠民殡葬政策落实不到位、殡仪馆收购苗木管护不当导致损失浪费243.9万元，市民政局对部分陵园违法经营行为监管不到位、白鹤陵园挪用建设资金7000万元用于旧城改造等问题，助力推动殡葬服务回归公益属性，保障群众合法权益。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32"/>
          <w:szCs w:val="32"/>
        </w:rPr>
        <w:t>五是推动权力运行规范高效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。紧盯权力运行和责任落实开展经责审计，促进领导干部依法规范用权、履职尽责。根据市委审计委员会安排，对13个单位17名领导干部实施了经责审计，尤其是在市水务集团审计中及时移送问题线索，该公司原董事长被留置，3名班子成员、5名中层干部被立案处理。同时，根据市纪委监委要求，对岳阳楼区九华山片区、易家路周边棚户、芭南两湖连通工程等棚改项目开展审计，揭示了项目部超标准列支工作经费3120.92万元、征拆把关不严，造成棚改资金流失501.21万元、欠缴被征地农民社保金1509.97万元等问题，向市纪委监委移送了相关问题线索15条，切实发挥了审计反腐治乱“尖兵”作用。  </w:t>
      </w:r>
    </w:p>
    <w:p w14:paraId="18C2004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 w14:paraId="4D906B8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存在的问题：一是预算编制以及预算执行不合理。预算编制与实际支出存在不小的差异，预算内经费不足，难以满足机关运转需要。二是固定资产管理有待加强。</w:t>
      </w:r>
    </w:p>
    <w:p w14:paraId="5FBE1E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原因分析：主要原因是根据预算编制规则，预算内资金缩减，公用经费不足，难以满足机关日常运转的需要。人员紧张，固定资产无专人管理，难以做到账账相符和账实相符。</w:t>
      </w:r>
    </w:p>
    <w:p w14:paraId="19CC24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八、下一步改进措施</w:t>
      </w:r>
    </w:p>
    <w:p w14:paraId="74612C7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一是按照预算规定的项目和用途严格财务审核，经费支出严格按预算规定项目的财务支出内容进行财务核算，在预算金额内严格控制费用的支出。</w:t>
      </w:r>
    </w:p>
    <w:p w14:paraId="2502B5A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二是预算财务分析常态化，定期做好预算支出财务分析，做好单位整体支出预算评价工作。</w:t>
      </w:r>
    </w:p>
    <w:p w14:paraId="2505C9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三是制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适用本局的固定资产管理制度，从资产采购、使用以及报废各环节规范固定资产的管理，提高固定资产使用效率，减少资金浪费。</w:t>
      </w:r>
    </w:p>
    <w:p w14:paraId="05C7C3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九、部门整体支出绩效自评结果拟应用和公开情况</w:t>
      </w:r>
    </w:p>
    <w:p w14:paraId="6E92D1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绩效自评的结果将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广泛运用于机关年度绩效考核，及科室评先评优。并按照有关规定，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局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门户网站上公开，接受社会大众的监督。</w:t>
      </w:r>
    </w:p>
    <w:p w14:paraId="6496DD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 w14:paraId="2E50C0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无。</w:t>
      </w:r>
    </w:p>
    <w:p w14:paraId="6D5444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报告需要以下附件：</w:t>
      </w:r>
    </w:p>
    <w:p w14:paraId="7BA9D9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 w14:paraId="48C3D6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 w14:paraId="18F74F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项目支出绩效自评表（一个一级项目支出一张表）</w:t>
      </w:r>
    </w:p>
    <w:p w14:paraId="69E175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5A7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44BDB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44BDB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ZWE3MGIwNDVmZTQ4MWEzMWM1ZmRmOWE2Y2Y3NTUifQ=="/>
  </w:docVars>
  <w:rsids>
    <w:rsidRoot w:val="71EC5EDE"/>
    <w:rsid w:val="2F946B4B"/>
    <w:rsid w:val="30D96334"/>
    <w:rsid w:val="551B0CE1"/>
    <w:rsid w:val="6EA70DAC"/>
    <w:rsid w:val="71EC5EDE"/>
    <w:rsid w:val="72982E2B"/>
    <w:rsid w:val="7EB7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2263</Words>
  <Characters>2457</Characters>
  <Lines>0</Lines>
  <Paragraphs>0</Paragraphs>
  <TotalTime>1</TotalTime>
  <ScaleCrop>false</ScaleCrop>
  <LinksUpToDate>false</LinksUpToDate>
  <CharactersWithSpaces>2458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2024-06-09T02:48:00Z</dcterms:created>
  <dc:creator>大S</dc:creator>
  <cp:lastModifiedBy>Quinice 罗</cp:lastModifiedBy>
  <cp:lastPrinted>2024-06-12T06:30:00Z</cp:lastPrinted>
  <dcterms:modified xsi:type="dcterms:W3CDTF">2026-06-29T07:50:51Z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72367BCDCF574256B5FC54732DA3056E_13</vt:lpwstr>
  </property>
  <property fmtid="{D5CDD505-2E9C-101B-9397-08002B2CF9AE}" pid="4" name="KSOTemplateDocerSaveRecord">
    <vt:lpwstr>eyJoZGlkIjoiOTE4ZWE3MGIwNDVmZTQ4MWEzMWM1ZmRmOWE2Y2Y3NTUiLCJ1c2VySWQiOiIyMTY2NDk2NzkifQ==</vt:lpwstr>
  </property>
</Properties>
</file>