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89BF9"/>
    <w:p w14:paraId="65BFF660"/>
    <w:p w14:paraId="232B0D95"/>
    <w:p w14:paraId="79506D06"/>
    <w:p w14:paraId="3771E238"/>
    <w:p w14:paraId="03394ABC"/>
    <w:p w14:paraId="131F46A2">
      <w:pPr>
        <w:spacing w:line="348" w:lineRule="auto"/>
        <w:jc w:val="center"/>
        <w:rPr>
          <w:rFonts w:eastAsia="方正小标宋简体"/>
          <w:bCs/>
          <w:sz w:val="42"/>
          <w:szCs w:val="42"/>
        </w:rPr>
      </w:pPr>
    </w:p>
    <w:p w14:paraId="2235CAB5">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年度岳阳市统计局整体支出</w:t>
      </w:r>
    </w:p>
    <w:p w14:paraId="495B183C">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14:paraId="0D17AD71">
      <w:pPr>
        <w:spacing w:line="800" w:lineRule="exact"/>
        <w:jc w:val="center"/>
        <w:rPr>
          <w:rFonts w:eastAsia="方正小标宋简体"/>
          <w:bCs/>
          <w:sz w:val="46"/>
          <w:szCs w:val="46"/>
        </w:rPr>
      </w:pPr>
    </w:p>
    <w:p w14:paraId="198A032D">
      <w:pPr>
        <w:rPr>
          <w:rFonts w:eastAsia="仿宋_GB2312"/>
          <w:b/>
          <w:sz w:val="32"/>
        </w:rPr>
      </w:pPr>
    </w:p>
    <w:p w14:paraId="33D5DA2C">
      <w:pPr>
        <w:rPr>
          <w:rFonts w:eastAsia="仿宋_GB2312"/>
          <w:b/>
          <w:sz w:val="32"/>
        </w:rPr>
      </w:pPr>
    </w:p>
    <w:p w14:paraId="530AAEC5">
      <w:pPr>
        <w:rPr>
          <w:rFonts w:eastAsia="仿宋_GB2312"/>
          <w:b/>
          <w:sz w:val="32"/>
        </w:rPr>
      </w:pPr>
    </w:p>
    <w:p w14:paraId="7D32EC49">
      <w:pPr>
        <w:spacing w:beforeLines="50" w:line="348" w:lineRule="auto"/>
        <w:ind w:firstLine="480" w:firstLineChars="150"/>
        <w:rPr>
          <w:rFonts w:eastAsia="仿宋_GB2312"/>
          <w:sz w:val="32"/>
          <w:szCs w:val="32"/>
        </w:rPr>
      </w:pPr>
    </w:p>
    <w:p w14:paraId="55AC70BC">
      <w:pPr>
        <w:spacing w:beforeLines="50" w:line="348" w:lineRule="auto"/>
        <w:ind w:firstLine="480" w:firstLineChars="150"/>
        <w:rPr>
          <w:rFonts w:eastAsia="仿宋_GB2312"/>
          <w:sz w:val="32"/>
          <w:szCs w:val="32"/>
        </w:rPr>
      </w:pPr>
    </w:p>
    <w:p w14:paraId="75B2E5FA">
      <w:pPr>
        <w:spacing w:beforeLines="50" w:line="348" w:lineRule="auto"/>
        <w:ind w:firstLine="480" w:firstLineChars="150"/>
        <w:rPr>
          <w:rFonts w:eastAsia="仿宋_GB2312"/>
          <w:sz w:val="32"/>
          <w:szCs w:val="32"/>
        </w:rPr>
      </w:pPr>
    </w:p>
    <w:p w14:paraId="5993C511">
      <w:pPr>
        <w:spacing w:beforeLines="50" w:line="348" w:lineRule="auto"/>
        <w:ind w:firstLine="480" w:firstLineChars="150"/>
        <w:rPr>
          <w:rFonts w:eastAsia="仿宋_GB2312"/>
          <w:sz w:val="32"/>
          <w:szCs w:val="32"/>
        </w:rPr>
      </w:pPr>
    </w:p>
    <w:p w14:paraId="1B5C93CA">
      <w:pPr>
        <w:spacing w:beforeLines="50" w:line="348" w:lineRule="auto"/>
        <w:ind w:firstLine="480" w:firstLineChars="150"/>
        <w:rPr>
          <w:rFonts w:eastAsia="仿宋_GB2312"/>
          <w:sz w:val="32"/>
          <w:szCs w:val="32"/>
        </w:rPr>
      </w:pPr>
    </w:p>
    <w:p w14:paraId="3F59A9D8">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rPr>
        <w:t>岳阳市统计局</w:t>
      </w:r>
    </w:p>
    <w:p w14:paraId="10035FDE">
      <w:pPr>
        <w:spacing w:line="600" w:lineRule="exact"/>
        <w:jc w:val="center"/>
        <w:rPr>
          <w:rFonts w:eastAsia="楷体_GB2312"/>
          <w:sz w:val="32"/>
          <w:szCs w:val="32"/>
        </w:rPr>
      </w:pPr>
      <w:r>
        <w:rPr>
          <w:rFonts w:hint="eastAsia" w:eastAsia="楷体_GB2312"/>
          <w:sz w:val="32"/>
          <w:szCs w:val="32"/>
        </w:rPr>
        <w:t>202</w:t>
      </w:r>
      <w:r>
        <w:rPr>
          <w:rFonts w:hint="eastAsia" w:eastAsia="楷体_GB2312"/>
          <w:sz w:val="32"/>
          <w:szCs w:val="32"/>
          <w:lang w:val="en-US" w:eastAsia="zh-CN"/>
        </w:rPr>
        <w:t>6</w:t>
      </w:r>
      <w:r>
        <w:rPr>
          <w:rFonts w:eastAsia="楷体_GB2312"/>
          <w:sz w:val="32"/>
          <w:szCs w:val="32"/>
        </w:rPr>
        <w:t>年</w:t>
      </w:r>
      <w:r>
        <w:rPr>
          <w:rFonts w:hint="eastAsia" w:eastAsia="楷体_GB2312"/>
          <w:sz w:val="32"/>
          <w:szCs w:val="32"/>
        </w:rPr>
        <w:t>6</w:t>
      </w:r>
      <w:r>
        <w:rPr>
          <w:rFonts w:eastAsia="楷体_GB2312"/>
          <w:sz w:val="32"/>
          <w:szCs w:val="32"/>
        </w:rPr>
        <w:t>月</w:t>
      </w:r>
      <w:r>
        <w:rPr>
          <w:rFonts w:hint="eastAsia" w:eastAsia="楷体_GB2312"/>
          <w:sz w:val="32"/>
          <w:szCs w:val="32"/>
          <w:lang w:val="en-US" w:eastAsia="zh-CN"/>
        </w:rPr>
        <w:t>25</w:t>
      </w:r>
      <w:r>
        <w:rPr>
          <w:rFonts w:eastAsia="楷体_GB2312"/>
          <w:sz w:val="32"/>
          <w:szCs w:val="32"/>
        </w:rPr>
        <w:t>日</w:t>
      </w:r>
    </w:p>
    <w:p w14:paraId="2A7819B3">
      <w:pPr>
        <w:spacing w:beforeLines="50" w:line="348" w:lineRule="auto"/>
        <w:ind w:firstLine="480" w:firstLineChars="150"/>
        <w:rPr>
          <w:rFonts w:eastAsia="仿宋_GB2312"/>
          <w:sz w:val="32"/>
          <w:szCs w:val="32"/>
          <w:u w:val="single"/>
        </w:rPr>
      </w:pPr>
    </w:p>
    <w:p w14:paraId="69DD688F">
      <w:pPr>
        <w:rPr>
          <w:rFonts w:ascii="黑体" w:hAnsi="黑体" w:eastAsia="黑体" w:cs="黑体"/>
          <w:bCs/>
          <w:sz w:val="28"/>
          <w:szCs w:val="28"/>
        </w:rPr>
      </w:pPr>
    </w:p>
    <w:p w14:paraId="20EBB9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根据《岳阳市财政局关于开展202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年度市级预算绩效支出绩效自评工作的通知》（岳财函〔202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25</w:t>
      </w:r>
      <w:r>
        <w:rPr>
          <w:rFonts w:hint="eastAsia" w:ascii="仿宋_GB2312" w:hAnsi="仿宋_GB2312" w:eastAsia="仿宋_GB2312" w:cs="仿宋_GB2312"/>
          <w:bCs/>
          <w:sz w:val="32"/>
          <w:szCs w:val="32"/>
        </w:rPr>
        <w:t>号）的要求，现对岳阳市统计局202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年度的部门整体支出开展绩效自评，现将情况汇报如下：</w:t>
      </w:r>
    </w:p>
    <w:p w14:paraId="043F29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一、部门（单位）概况</w:t>
      </w:r>
    </w:p>
    <w:p w14:paraId="4B5AAB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（一）单位基本情况</w:t>
      </w:r>
    </w:p>
    <w:p w14:paraId="2A8304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岳阳市统计局系财政全额预算拨款单位。</w:t>
      </w:r>
      <w:bookmarkStart w:id="0" w:name="_Hlk105348697"/>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年末编制人数5</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人，其中：行政编制27人</w:t>
      </w:r>
      <w:r>
        <w:rPr>
          <w:rFonts w:hint="eastAsia" w:ascii="仿宋_GB2312" w:hAnsi="仿宋_GB2312" w:eastAsia="仿宋_GB2312" w:cs="仿宋_GB2312"/>
          <w:bCs/>
          <w:sz w:val="32"/>
          <w:szCs w:val="32"/>
          <w:lang w:val="en-US" w:eastAsia="zh-CN"/>
        </w:rPr>
        <w:t>,工勤编制1人，</w:t>
      </w:r>
      <w:r>
        <w:rPr>
          <w:rFonts w:hint="eastAsia" w:ascii="仿宋_GB2312" w:hAnsi="仿宋_GB2312" w:eastAsia="仿宋_GB2312" w:cs="仿宋_GB2312"/>
          <w:bCs/>
          <w:sz w:val="32"/>
          <w:szCs w:val="32"/>
        </w:rPr>
        <w:t>参公编制8人，事业编制19人。在职实有人数5</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人，其中：行政人员</w:t>
      </w: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人，参公人员</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rPr>
        <w:t>人，事业人员19人。退休人员</w:t>
      </w:r>
      <w:r>
        <w:rPr>
          <w:rFonts w:hint="eastAsia" w:ascii="仿宋_GB2312" w:hAnsi="仿宋_GB2312" w:eastAsia="仿宋_GB2312" w:cs="仿宋_GB2312"/>
          <w:bCs/>
          <w:sz w:val="32"/>
          <w:szCs w:val="32"/>
          <w:lang w:val="en-US" w:eastAsia="zh-CN"/>
        </w:rPr>
        <w:t>41</w:t>
      </w:r>
      <w:r>
        <w:rPr>
          <w:rFonts w:hint="eastAsia" w:ascii="仿宋_GB2312" w:hAnsi="仿宋_GB2312" w:eastAsia="仿宋_GB2312" w:cs="仿宋_GB2312"/>
          <w:bCs/>
          <w:sz w:val="32"/>
          <w:szCs w:val="32"/>
        </w:rPr>
        <w:t>人。</w:t>
      </w:r>
    </w:p>
    <w:bookmarkEnd w:id="0"/>
    <w:p w14:paraId="50CCE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局机关本级内设机构有11个：办公室、统计执法监督科（岳阳市统计执法监督局）、综合统计与经济研究室、国民经济核算科、工业统计科、能源统计科、投资贸易外经统计科、人口和就业统计科（社会和科技统计科）、服务业统计调查科、普查科、人事科（离退休人员管理服务科）；下设二级机构3个：市统计信息处理中心、市农村抽样调查队、市统计局民意调查中心。</w:t>
      </w:r>
    </w:p>
    <w:p w14:paraId="0E186AA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市统计信息处理中心、市农村抽样调查队、市统计局民意调查中心的人员经费与办公经费一并列入局机关预算。</w:t>
      </w:r>
    </w:p>
    <w:p w14:paraId="72D81C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（二）202</w:t>
      </w:r>
      <w:r>
        <w:rPr>
          <w:rFonts w:hint="eastAsia" w:ascii="楷体" w:hAnsi="楷体" w:eastAsia="楷体" w:cs="楷体"/>
          <w:bCs/>
          <w:sz w:val="32"/>
          <w:szCs w:val="32"/>
          <w:lang w:val="en-US" w:eastAsia="zh-CN"/>
        </w:rPr>
        <w:t>5</w:t>
      </w:r>
      <w:r>
        <w:rPr>
          <w:rFonts w:hint="eastAsia" w:ascii="楷体" w:hAnsi="楷体" w:eastAsia="楷体" w:cs="楷体"/>
          <w:bCs/>
          <w:sz w:val="32"/>
          <w:szCs w:val="32"/>
        </w:rPr>
        <w:t>年度绩效目标情况</w:t>
      </w:r>
    </w:p>
    <w:p w14:paraId="7FA904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1.整体支出绩效目标：</w:t>
      </w:r>
    </w:p>
    <w:p w14:paraId="400A8F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（1）开展常规统计工作，及时分析经济运行情况，撰写统计分析，编印统计产品。</w:t>
      </w:r>
    </w:p>
    <w:p w14:paraId="720F56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（2）抓好高质量发展、统计监测、提升统计执法监督效能。</w:t>
      </w:r>
    </w:p>
    <w:p w14:paraId="491AE0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开展全国第五次经济普查、全国1%人口抽样调查工作。</w:t>
      </w:r>
    </w:p>
    <w:p w14:paraId="570513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（4</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开展各项民意调查工作</w:t>
      </w:r>
      <w:r>
        <w:rPr>
          <w:rFonts w:hint="eastAsia" w:ascii="仿宋_GB2312" w:hAnsi="仿宋_GB2312" w:eastAsia="仿宋_GB2312" w:cs="仿宋_GB2312"/>
          <w:bCs/>
          <w:sz w:val="32"/>
          <w:szCs w:val="32"/>
          <w:lang w:eastAsia="zh-CN"/>
        </w:rPr>
        <w:t>。</w:t>
      </w:r>
    </w:p>
    <w:p w14:paraId="57E473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（5）确保数据安全，联网直报顺畅、准确安全。</w:t>
      </w:r>
    </w:p>
    <w:p w14:paraId="43633B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2.项目支出绩效目标：</w:t>
      </w:r>
    </w:p>
    <w:p w14:paraId="39FF52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日常工作经费</w:t>
      </w:r>
      <w:r>
        <w:rPr>
          <w:rFonts w:hint="eastAsia" w:ascii="仿宋_GB2312" w:hAnsi="仿宋_GB2312" w:eastAsia="仿宋_GB2312" w:cs="仿宋_GB2312"/>
          <w:bCs/>
          <w:sz w:val="32"/>
          <w:szCs w:val="32"/>
        </w:rPr>
        <w:t>的绩效目标：</w:t>
      </w:r>
      <w:r>
        <w:rPr>
          <w:rFonts w:hint="eastAsia" w:ascii="仿宋_GB2312" w:hAnsi="仿宋_GB2312" w:eastAsia="仿宋_GB2312" w:cs="仿宋_GB2312"/>
          <w:bCs/>
          <w:sz w:val="32"/>
          <w:szCs w:val="32"/>
          <w:lang w:eastAsia="zh-CN"/>
        </w:rPr>
        <w:t>一是</w:t>
      </w:r>
      <w:r>
        <w:rPr>
          <w:rFonts w:hint="eastAsia" w:ascii="仿宋_GB2312" w:hAnsi="仿宋_GB2312" w:eastAsia="仿宋_GB2312" w:cs="仿宋_GB2312"/>
          <w:bCs/>
          <w:sz w:val="32"/>
          <w:szCs w:val="32"/>
        </w:rPr>
        <w:t>开展常规统计工作，及时分析经济运行情况，撰写统计分析，编印统计产品。</w:t>
      </w:r>
      <w:r>
        <w:rPr>
          <w:rFonts w:hint="eastAsia" w:ascii="仿宋_GB2312" w:hAnsi="仿宋_GB2312" w:eastAsia="仿宋_GB2312" w:cs="仿宋_GB2312"/>
          <w:bCs/>
          <w:sz w:val="32"/>
          <w:szCs w:val="32"/>
          <w:lang w:eastAsia="zh-CN"/>
        </w:rPr>
        <w:t>二是</w:t>
      </w:r>
      <w:r>
        <w:rPr>
          <w:rFonts w:hint="eastAsia" w:ascii="仿宋_GB2312" w:hAnsi="仿宋_GB2312" w:eastAsia="仿宋_GB2312" w:cs="仿宋_GB2312"/>
          <w:bCs/>
          <w:sz w:val="32"/>
          <w:szCs w:val="32"/>
        </w:rPr>
        <w:t>抓好高质量发展、统计监测、提升统计执法监督效能。</w:t>
      </w:r>
      <w:r>
        <w:rPr>
          <w:rFonts w:hint="eastAsia" w:ascii="仿宋_GB2312" w:hAnsi="仿宋_GB2312" w:eastAsia="仿宋_GB2312" w:cs="仿宋_GB2312"/>
          <w:bCs/>
          <w:sz w:val="32"/>
          <w:szCs w:val="32"/>
          <w:lang w:eastAsia="zh-CN"/>
        </w:rPr>
        <w:t>三是</w:t>
      </w:r>
      <w:r>
        <w:rPr>
          <w:rFonts w:hint="eastAsia" w:ascii="仿宋_GB2312" w:hAnsi="仿宋_GB2312" w:eastAsia="仿宋_GB2312" w:cs="仿宋_GB2312"/>
          <w:bCs/>
          <w:sz w:val="32"/>
          <w:szCs w:val="32"/>
        </w:rPr>
        <w:t>开展各项民意调查工作。</w:t>
      </w:r>
    </w:p>
    <w:p w14:paraId="350EFE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二、一般公共预算支出情况</w:t>
      </w:r>
    </w:p>
    <w:p w14:paraId="18D4C4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w:t>
      </w:r>
      <w:r>
        <w:rPr>
          <w:rFonts w:ascii="仿宋_GB2312" w:hAnsi="仿宋_GB2312" w:eastAsia="仿宋_GB2312" w:cs="仿宋_GB2312"/>
          <w:bCs/>
          <w:sz w:val="32"/>
          <w:szCs w:val="32"/>
        </w:rPr>
        <w:t>统计局部门</w:t>
      </w:r>
      <w:r>
        <w:rPr>
          <w:rFonts w:hint="eastAsia" w:ascii="仿宋_GB2312" w:hAnsi="仿宋_GB2312" w:eastAsia="仿宋_GB2312" w:cs="仿宋_GB2312"/>
          <w:bCs/>
          <w:sz w:val="32"/>
          <w:szCs w:val="32"/>
        </w:rPr>
        <w:t>决算</w:t>
      </w:r>
      <w:r>
        <w:rPr>
          <w:rFonts w:ascii="仿宋_GB2312" w:hAnsi="仿宋_GB2312" w:eastAsia="仿宋_GB2312" w:cs="仿宋_GB2312"/>
          <w:bCs/>
          <w:sz w:val="32"/>
          <w:szCs w:val="32"/>
        </w:rPr>
        <w:t>整体支出</w:t>
      </w:r>
      <w:r>
        <w:rPr>
          <w:rFonts w:hint="eastAsia" w:ascii="仿宋_GB2312" w:hAnsi="仿宋_GB2312" w:eastAsia="仿宋_GB2312" w:cs="仿宋_GB2312"/>
          <w:bCs/>
          <w:sz w:val="32"/>
          <w:szCs w:val="32"/>
          <w:lang w:val="en-US" w:eastAsia="zh-CN"/>
        </w:rPr>
        <w:t>1351.68</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，其中基本支出</w:t>
      </w:r>
      <w:r>
        <w:rPr>
          <w:rFonts w:hint="eastAsia" w:ascii="仿宋_GB2312" w:hAnsi="仿宋_GB2312" w:eastAsia="仿宋_GB2312" w:cs="仿宋_GB2312"/>
          <w:bCs/>
          <w:sz w:val="32"/>
          <w:szCs w:val="32"/>
          <w:lang w:val="en-US" w:eastAsia="zh-CN"/>
        </w:rPr>
        <w:t>1126.38</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占总支出</w:t>
      </w:r>
      <w:r>
        <w:rPr>
          <w:rFonts w:hint="eastAsia" w:ascii="仿宋_GB2312" w:hAnsi="仿宋_GB2312" w:eastAsia="仿宋_GB2312" w:cs="仿宋_GB2312"/>
          <w:bCs/>
          <w:sz w:val="32"/>
          <w:szCs w:val="32"/>
          <w:lang w:val="en-US" w:eastAsia="zh-CN"/>
        </w:rPr>
        <w:t>83.33</w:t>
      </w:r>
      <w:r>
        <w:rPr>
          <w:rFonts w:ascii="仿宋_GB2312" w:hAnsi="仿宋_GB2312" w:eastAsia="仿宋_GB2312" w:cs="仿宋_GB2312"/>
          <w:bCs/>
          <w:sz w:val="32"/>
          <w:szCs w:val="32"/>
        </w:rPr>
        <w:t>%，人员支出</w:t>
      </w:r>
      <w:r>
        <w:rPr>
          <w:rFonts w:hint="eastAsia" w:ascii="仿宋_GB2312" w:hAnsi="仿宋_GB2312" w:eastAsia="仿宋_GB2312" w:cs="仿宋_GB2312"/>
          <w:bCs/>
          <w:sz w:val="32"/>
          <w:szCs w:val="32"/>
          <w:lang w:val="en-US" w:eastAsia="zh-CN"/>
        </w:rPr>
        <w:t>1004.3</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，占基本支出</w:t>
      </w:r>
      <w:r>
        <w:rPr>
          <w:rFonts w:hint="eastAsia" w:ascii="仿宋_GB2312" w:hAnsi="仿宋_GB2312" w:eastAsia="仿宋_GB2312" w:cs="仿宋_GB2312"/>
          <w:bCs/>
          <w:sz w:val="32"/>
          <w:szCs w:val="32"/>
          <w:lang w:val="en-US" w:eastAsia="zh-CN"/>
        </w:rPr>
        <w:t>89.16</w:t>
      </w:r>
      <w:r>
        <w:rPr>
          <w:rFonts w:ascii="仿宋_GB2312" w:hAnsi="仿宋_GB2312" w:eastAsia="仿宋_GB2312" w:cs="仿宋_GB2312"/>
          <w:bCs/>
          <w:sz w:val="32"/>
          <w:szCs w:val="32"/>
        </w:rPr>
        <w:t>%，公用支出</w:t>
      </w:r>
      <w:r>
        <w:rPr>
          <w:rFonts w:hint="eastAsia" w:ascii="仿宋_GB2312" w:hAnsi="仿宋_GB2312" w:eastAsia="仿宋_GB2312" w:cs="仿宋_GB2312"/>
          <w:bCs/>
          <w:sz w:val="32"/>
          <w:szCs w:val="32"/>
          <w:lang w:val="en-US" w:eastAsia="zh-CN"/>
        </w:rPr>
        <w:t>122.08</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，占基本支出</w:t>
      </w:r>
      <w:r>
        <w:rPr>
          <w:rFonts w:hint="eastAsia" w:ascii="仿宋_GB2312" w:hAnsi="仿宋_GB2312" w:eastAsia="仿宋_GB2312" w:cs="仿宋_GB2312"/>
          <w:bCs/>
          <w:sz w:val="32"/>
          <w:szCs w:val="32"/>
          <w:lang w:val="en-US" w:eastAsia="zh-CN"/>
        </w:rPr>
        <w:t>10.84</w:t>
      </w:r>
      <w:r>
        <w:rPr>
          <w:rFonts w:ascii="仿宋_GB2312" w:hAnsi="仿宋_GB2312" w:eastAsia="仿宋_GB2312" w:cs="仿宋_GB2312"/>
          <w:bCs/>
          <w:sz w:val="32"/>
          <w:szCs w:val="32"/>
        </w:rPr>
        <w:t>%，项目支出</w:t>
      </w:r>
      <w:r>
        <w:rPr>
          <w:rFonts w:hint="eastAsia" w:ascii="仿宋_GB2312" w:hAnsi="仿宋_GB2312" w:eastAsia="仿宋_GB2312" w:cs="仿宋_GB2312"/>
          <w:bCs/>
          <w:sz w:val="32"/>
          <w:szCs w:val="32"/>
          <w:lang w:val="en-US" w:eastAsia="zh-CN"/>
        </w:rPr>
        <w:t>225.3</w:t>
      </w:r>
      <w:r>
        <w:rPr>
          <w:rFonts w:hint="eastAsia" w:ascii="仿宋_GB2312" w:hAnsi="仿宋_GB2312" w:eastAsia="仿宋_GB2312" w:cs="仿宋_GB2312"/>
          <w:bCs/>
          <w:sz w:val="32"/>
          <w:szCs w:val="32"/>
        </w:rPr>
        <w:t>万元</w:t>
      </w:r>
      <w:r>
        <w:rPr>
          <w:rFonts w:ascii="仿宋_GB2312" w:hAnsi="仿宋_GB2312" w:eastAsia="仿宋_GB2312" w:cs="仿宋_GB2312"/>
          <w:bCs/>
          <w:sz w:val="32"/>
          <w:szCs w:val="32"/>
        </w:rPr>
        <w:t>，占总支出</w:t>
      </w:r>
      <w:r>
        <w:rPr>
          <w:rFonts w:hint="eastAsia" w:ascii="仿宋_GB2312" w:hAnsi="仿宋_GB2312" w:eastAsia="仿宋_GB2312" w:cs="仿宋_GB2312"/>
          <w:bCs/>
          <w:sz w:val="32"/>
          <w:szCs w:val="32"/>
          <w:lang w:val="en-US" w:eastAsia="zh-CN"/>
        </w:rPr>
        <w:t>16.67</w:t>
      </w:r>
      <w:r>
        <w:rPr>
          <w:rFonts w:ascii="仿宋_GB2312" w:hAnsi="仿宋_GB2312" w:eastAsia="仿宋_GB2312" w:cs="仿宋_GB2312"/>
          <w:bCs/>
          <w:sz w:val="32"/>
          <w:szCs w:val="32"/>
        </w:rPr>
        <w:t>%，明细情况如下：</w:t>
      </w:r>
    </w:p>
    <w:p w14:paraId="34488C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（一）基本支出</w:t>
      </w:r>
    </w:p>
    <w:p w14:paraId="76CD59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基本支出用于保障单位各科室、二级机构正常运转、完成日常工作任务而发生的支出，包括人员经费和日常公用经费。</w:t>
      </w:r>
    </w:p>
    <w:p w14:paraId="1488D0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年决算基本支出</w:t>
      </w:r>
      <w:r>
        <w:rPr>
          <w:rFonts w:hint="eastAsia" w:ascii="仿宋_GB2312" w:hAnsi="仿宋_GB2312" w:eastAsia="仿宋_GB2312" w:cs="仿宋_GB2312"/>
          <w:bCs/>
          <w:sz w:val="32"/>
          <w:szCs w:val="32"/>
          <w:lang w:val="en-US" w:eastAsia="zh-CN"/>
        </w:rPr>
        <w:t>1126.38</w:t>
      </w:r>
      <w:r>
        <w:rPr>
          <w:rFonts w:hint="eastAsia" w:ascii="仿宋_GB2312" w:hAnsi="仿宋_GB2312" w:eastAsia="仿宋_GB2312" w:cs="仿宋_GB2312"/>
          <w:bCs/>
          <w:sz w:val="32"/>
          <w:szCs w:val="32"/>
        </w:rPr>
        <w:t>万元，其中工资福利性支出</w:t>
      </w:r>
      <w:r>
        <w:rPr>
          <w:rFonts w:hint="eastAsia" w:ascii="仿宋_GB2312" w:hAnsi="仿宋_GB2312" w:eastAsia="仿宋_GB2312" w:cs="仿宋_GB2312"/>
          <w:bCs/>
          <w:sz w:val="32"/>
          <w:szCs w:val="32"/>
          <w:lang w:val="en-US" w:eastAsia="zh-CN"/>
        </w:rPr>
        <w:t>802.62</w:t>
      </w:r>
      <w:r>
        <w:rPr>
          <w:rFonts w:hint="eastAsia" w:ascii="仿宋_GB2312" w:hAnsi="仿宋_GB2312" w:eastAsia="仿宋_GB2312" w:cs="仿宋_GB2312"/>
          <w:bCs/>
          <w:sz w:val="32"/>
          <w:szCs w:val="32"/>
        </w:rPr>
        <w:t>万元、商品和服务支出</w:t>
      </w:r>
      <w:r>
        <w:rPr>
          <w:rFonts w:hint="eastAsia" w:ascii="仿宋_GB2312" w:hAnsi="仿宋_GB2312" w:eastAsia="仿宋_GB2312" w:cs="仿宋_GB2312"/>
          <w:bCs/>
          <w:sz w:val="32"/>
          <w:szCs w:val="32"/>
          <w:lang w:val="en-US" w:eastAsia="zh-CN"/>
        </w:rPr>
        <w:t>122.08</w:t>
      </w:r>
      <w:r>
        <w:rPr>
          <w:rFonts w:hint="eastAsia" w:ascii="仿宋_GB2312" w:hAnsi="仿宋_GB2312" w:eastAsia="仿宋_GB2312" w:cs="仿宋_GB2312"/>
          <w:bCs/>
          <w:sz w:val="32"/>
          <w:szCs w:val="32"/>
        </w:rPr>
        <w:t>万元、对个人和家庭的补助</w:t>
      </w:r>
      <w:r>
        <w:rPr>
          <w:rFonts w:hint="eastAsia" w:ascii="仿宋_GB2312" w:hAnsi="仿宋_GB2312" w:eastAsia="仿宋_GB2312" w:cs="仿宋_GB2312"/>
          <w:bCs/>
          <w:sz w:val="32"/>
          <w:szCs w:val="32"/>
          <w:lang w:val="en-US" w:eastAsia="zh-CN"/>
        </w:rPr>
        <w:t>201.68</w:t>
      </w:r>
      <w:r>
        <w:rPr>
          <w:rFonts w:hint="eastAsia" w:ascii="仿宋_GB2312" w:hAnsi="仿宋_GB2312" w:eastAsia="仿宋_GB2312" w:cs="仿宋_GB2312"/>
          <w:bCs/>
          <w:sz w:val="32"/>
          <w:szCs w:val="32"/>
        </w:rPr>
        <w:t>万元。</w:t>
      </w:r>
    </w:p>
    <w:p w14:paraId="300EE8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（二）项目支出</w:t>
      </w:r>
    </w:p>
    <w:p w14:paraId="0BD017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项目支出是在基本支出之外为完成各项统计业务工作任务而发生的支出，主要用于常规统计业务、</w:t>
      </w:r>
      <w:r>
        <w:rPr>
          <w:rFonts w:ascii="仿宋_GB2312" w:hAnsi="仿宋_GB2312" w:eastAsia="仿宋_GB2312" w:cs="仿宋_GB2312"/>
          <w:bCs/>
          <w:sz w:val="32"/>
          <w:szCs w:val="32"/>
        </w:rPr>
        <w:t>专项统计</w:t>
      </w:r>
      <w:r>
        <w:rPr>
          <w:rFonts w:hint="eastAsia" w:ascii="仿宋_GB2312" w:hAnsi="仿宋_GB2312" w:eastAsia="仿宋_GB2312" w:cs="仿宋_GB2312"/>
          <w:bCs/>
          <w:sz w:val="32"/>
          <w:szCs w:val="32"/>
        </w:rPr>
        <w:t>调查、大型普查等，均属于业务工作经费。</w:t>
      </w:r>
    </w:p>
    <w:p w14:paraId="3D060B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1.专项资金安排落实、总投入等情况分析。</w:t>
      </w:r>
    </w:p>
    <w:p w14:paraId="768939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年全年预算数项目支出为</w:t>
      </w:r>
      <w:r>
        <w:rPr>
          <w:rFonts w:hint="eastAsia" w:ascii="仿宋_GB2312" w:hAnsi="仿宋_GB2312" w:eastAsia="仿宋_GB2312" w:cs="仿宋_GB2312"/>
          <w:bCs/>
          <w:sz w:val="32"/>
          <w:szCs w:val="32"/>
          <w:lang w:val="en-US" w:eastAsia="zh-CN"/>
        </w:rPr>
        <w:t>225.304</w:t>
      </w:r>
      <w:r>
        <w:rPr>
          <w:rFonts w:hint="eastAsia" w:ascii="仿宋_GB2312" w:hAnsi="仿宋_GB2312" w:eastAsia="仿宋_GB2312" w:cs="仿宋_GB2312"/>
          <w:bCs/>
          <w:sz w:val="32"/>
          <w:szCs w:val="32"/>
        </w:rPr>
        <w:t>万元，实际决算支出</w:t>
      </w:r>
      <w:r>
        <w:rPr>
          <w:rFonts w:hint="eastAsia" w:ascii="仿宋_GB2312" w:hAnsi="仿宋_GB2312" w:eastAsia="仿宋_GB2312" w:cs="仿宋_GB2312"/>
          <w:bCs/>
          <w:sz w:val="32"/>
          <w:szCs w:val="32"/>
          <w:lang w:val="en-US" w:eastAsia="zh-CN"/>
        </w:rPr>
        <w:t>225.3</w:t>
      </w:r>
      <w:r>
        <w:rPr>
          <w:rFonts w:hint="eastAsia" w:ascii="仿宋_GB2312" w:hAnsi="仿宋_GB2312" w:eastAsia="仿宋_GB2312" w:cs="仿宋_GB2312"/>
          <w:bCs/>
          <w:sz w:val="32"/>
          <w:szCs w:val="32"/>
        </w:rPr>
        <w:t>万元，年终结余0.004万元。</w:t>
      </w:r>
    </w:p>
    <w:p w14:paraId="2F4F71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2.专项资金实际使用情况分析</w:t>
      </w:r>
    </w:p>
    <w:p w14:paraId="523DA4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年决算的项目支出为</w:t>
      </w:r>
      <w:r>
        <w:rPr>
          <w:rFonts w:hint="eastAsia" w:ascii="仿宋_GB2312" w:hAnsi="仿宋_GB2312" w:eastAsia="仿宋_GB2312" w:cs="仿宋_GB2312"/>
          <w:bCs/>
          <w:sz w:val="32"/>
          <w:szCs w:val="32"/>
          <w:lang w:val="en-US" w:eastAsia="zh-CN"/>
        </w:rPr>
        <w:t>225.3</w:t>
      </w:r>
      <w:r>
        <w:rPr>
          <w:rFonts w:hint="eastAsia" w:ascii="仿宋_GB2312" w:hAnsi="仿宋_GB2312" w:eastAsia="仿宋_GB2312" w:cs="仿宋_GB2312"/>
          <w:bCs/>
          <w:sz w:val="32"/>
          <w:szCs w:val="32"/>
        </w:rPr>
        <w:t>万元，其中：一般行政管理</w:t>
      </w:r>
      <w:r>
        <w:rPr>
          <w:rFonts w:ascii="仿宋_GB2312" w:hAnsi="仿宋_GB2312" w:eastAsia="仿宋_GB2312" w:cs="仿宋_GB2312"/>
          <w:bCs/>
          <w:sz w:val="32"/>
          <w:szCs w:val="32"/>
        </w:rPr>
        <w:t>事务</w:t>
      </w:r>
      <w:r>
        <w:rPr>
          <w:rFonts w:hint="eastAsia" w:ascii="仿宋_GB2312" w:hAnsi="仿宋_GB2312" w:eastAsia="仿宋_GB2312" w:cs="仿宋_GB2312"/>
          <w:bCs/>
          <w:sz w:val="32"/>
          <w:szCs w:val="32"/>
          <w:lang w:val="en-US" w:eastAsia="zh-CN"/>
        </w:rPr>
        <w:t>192.3</w:t>
      </w:r>
      <w:r>
        <w:rPr>
          <w:rFonts w:hint="eastAsia" w:ascii="仿宋_GB2312" w:hAnsi="仿宋_GB2312" w:eastAsia="仿宋_GB2312" w:cs="仿宋_GB2312"/>
          <w:bCs/>
          <w:sz w:val="32"/>
          <w:szCs w:val="32"/>
        </w:rPr>
        <w:t>万元，主要用于统计资料印刷、统计业务培训、民意调查、常规统计调查、经济普查等工作。其他环境监测与监察支出</w:t>
      </w: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万元，主要用于民意调查。其他交通运输支出</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万元，主要用于</w:t>
      </w:r>
      <w:r>
        <w:rPr>
          <w:rFonts w:hint="eastAsia" w:ascii="仿宋_GB2312" w:hAnsi="仿宋_GB2312" w:eastAsia="仿宋_GB2312" w:cs="仿宋_GB2312"/>
          <w:bCs/>
          <w:sz w:val="32"/>
          <w:szCs w:val="32"/>
          <w:lang w:val="en-US" w:eastAsia="zh-CN"/>
        </w:rPr>
        <w:t>2024年物流统计</w:t>
      </w:r>
      <w:r>
        <w:rPr>
          <w:rFonts w:hint="eastAsia" w:ascii="仿宋_GB2312" w:hAnsi="仿宋_GB2312" w:eastAsia="仿宋_GB2312" w:cs="仿宋_GB2312"/>
          <w:bCs/>
          <w:sz w:val="32"/>
          <w:szCs w:val="32"/>
        </w:rPr>
        <w:t>。其他商业服务业等支出</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万元，主要用于</w:t>
      </w:r>
      <w:r>
        <w:rPr>
          <w:rFonts w:hint="eastAsia" w:ascii="仿宋_GB2312" w:hAnsi="仿宋_GB2312" w:eastAsia="仿宋_GB2312" w:cs="仿宋_GB2312"/>
          <w:bCs/>
          <w:sz w:val="32"/>
          <w:szCs w:val="32"/>
          <w:lang w:val="en-US" w:eastAsia="zh-CN"/>
        </w:rPr>
        <w:t>2023年物流统计</w:t>
      </w:r>
      <w:r>
        <w:rPr>
          <w:rFonts w:hint="eastAsia" w:ascii="仿宋_GB2312" w:hAnsi="仿宋_GB2312" w:eastAsia="仿宋_GB2312" w:cs="仿宋_GB2312"/>
          <w:bCs/>
          <w:sz w:val="32"/>
          <w:szCs w:val="32"/>
        </w:rPr>
        <w:t>。</w:t>
      </w:r>
    </w:p>
    <w:p w14:paraId="2E8D22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3.专项资金管理情况分析</w:t>
      </w:r>
    </w:p>
    <w:p w14:paraId="112C1493">
      <w:pPr>
        <w:keepNext w:val="0"/>
        <w:keepLines w:val="0"/>
        <w:pageBreakBefore w:val="0"/>
        <w:widowControl w:val="0"/>
        <w:kinsoku/>
        <w:wordWrap/>
        <w:overflowPunct/>
        <w:topLinePunct w:val="0"/>
        <w:autoSpaceDE/>
        <w:autoSpaceDN/>
        <w:bidi w:val="0"/>
        <w:adjustRightInd/>
        <w:snapToGrid/>
        <w:spacing w:line="600" w:lineRule="exact"/>
        <w:ind w:firstLine="6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严格执行资金使用管理的相关规定，对资金实行“专款专用”，严控风险防范，保障资金安全和高效运行。</w:t>
      </w:r>
    </w:p>
    <w:p w14:paraId="616956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黑体"/>
          <w:sz w:val="32"/>
          <w:szCs w:val="32"/>
        </w:rPr>
      </w:pPr>
      <w:r>
        <w:rPr>
          <w:rFonts w:eastAsia="黑体"/>
          <w:sz w:val="32"/>
          <w:szCs w:val="32"/>
        </w:rPr>
        <w:t>三、政府性基金预算支出情况</w:t>
      </w:r>
    </w:p>
    <w:p w14:paraId="346DC0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无</w:t>
      </w:r>
    </w:p>
    <w:p w14:paraId="5A6B01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黑体"/>
          <w:sz w:val="32"/>
          <w:szCs w:val="32"/>
        </w:rPr>
      </w:pPr>
      <w:r>
        <w:rPr>
          <w:rFonts w:eastAsia="黑体"/>
          <w:sz w:val="32"/>
          <w:szCs w:val="32"/>
        </w:rPr>
        <w:t>四、国有资本经营预算支出情况</w:t>
      </w:r>
    </w:p>
    <w:p w14:paraId="19E81C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无</w:t>
      </w:r>
    </w:p>
    <w:p w14:paraId="13CF7F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黑体"/>
          <w:sz w:val="32"/>
          <w:szCs w:val="32"/>
        </w:rPr>
      </w:pPr>
      <w:r>
        <w:rPr>
          <w:rFonts w:eastAsia="黑体"/>
          <w:sz w:val="32"/>
          <w:szCs w:val="32"/>
        </w:rPr>
        <w:t>五、社会保险基金预算支出情况</w:t>
      </w:r>
    </w:p>
    <w:p w14:paraId="581839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无</w:t>
      </w:r>
    </w:p>
    <w:p w14:paraId="28C46B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黑体"/>
          <w:sz w:val="32"/>
          <w:szCs w:val="32"/>
        </w:rPr>
      </w:pPr>
      <w:r>
        <w:rPr>
          <w:rFonts w:eastAsia="黑体"/>
          <w:sz w:val="32"/>
          <w:szCs w:val="32"/>
        </w:rPr>
        <w:t>六、部门整体支出绩效情况</w:t>
      </w:r>
    </w:p>
    <w:p w14:paraId="77ED00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2025年度财政资金有序投入、规范使用，有效保障市统计局机关平稳有序运转，为各项统计业务工作高质量开展筑牢资金保障。全年深入贯彻落实党中央、国务院及省委省政府、市委市政府关于统计工作的各项决策部署，从严推进全面从严治党走深走实，提质增效优化统计服务质效，常态长效推进依法治统工作，夯实筑牢基层统计工作根基，圆满完成</w:t>
      </w:r>
      <w:r>
        <w:rPr>
          <w:rFonts w:hint="eastAsia" w:ascii="仿宋_GB2312" w:hAnsi="仿宋_GB2312" w:eastAsia="仿宋_GB2312" w:cs="仿宋_GB2312"/>
          <w:bCs/>
          <w:sz w:val="32"/>
          <w:szCs w:val="32"/>
          <w:lang w:eastAsia="zh-CN"/>
        </w:rPr>
        <w:t>了</w:t>
      </w:r>
      <w:r>
        <w:rPr>
          <w:rFonts w:hint="eastAsia" w:ascii="仿宋_GB2312" w:hAnsi="仿宋_GB2312" w:eastAsia="仿宋_GB2312" w:cs="仿宋_GB2312"/>
          <w:bCs/>
          <w:sz w:val="32"/>
          <w:szCs w:val="32"/>
        </w:rPr>
        <w:t>年度各项履职目标。</w:t>
      </w:r>
    </w:p>
    <w:p w14:paraId="3A5A79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kern w:val="2"/>
          <w:sz w:val="32"/>
          <w:szCs w:val="32"/>
          <w:lang w:val="en-US" w:eastAsia="zh-CN" w:bidi="ar-SA"/>
        </w:rPr>
        <w:t>（一）</w:t>
      </w:r>
      <w:r>
        <w:rPr>
          <w:rFonts w:hint="eastAsia" w:ascii="楷体" w:hAnsi="楷体" w:eastAsia="楷体" w:cs="楷体"/>
          <w:bCs/>
          <w:sz w:val="32"/>
          <w:szCs w:val="32"/>
        </w:rPr>
        <w:t>严守预算管控，规范经费开支</w:t>
      </w:r>
    </w:p>
    <w:p w14:paraId="16570B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严格贯彻落实中央厉行节约、反对浪费工作要求，常态化推进节约型机关建设，持续健全成本管控体系，严格执行“无预算不支出、超预算不列支”原则，从严管控预算调整事项，实现经费支出精细化、规范化管理。2025年部门全年预算数1351.68万元，决算数1351.6</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万元，预算执行率达</w:t>
      </w:r>
      <w:r>
        <w:rPr>
          <w:rFonts w:hint="eastAsia" w:ascii="仿宋_GB2312" w:hAnsi="仿宋_GB2312" w:eastAsia="仿宋_GB2312" w:cs="仿宋_GB2312"/>
          <w:bCs/>
          <w:sz w:val="32"/>
          <w:szCs w:val="32"/>
          <w:lang w:val="en-US" w:eastAsia="zh-CN"/>
        </w:rPr>
        <w:t>100</w:t>
      </w:r>
      <w:r>
        <w:rPr>
          <w:rFonts w:hint="eastAsia" w:ascii="仿宋_GB2312" w:hAnsi="仿宋_GB2312" w:eastAsia="仿宋_GB2312" w:cs="仿宋_GB2312"/>
          <w:bCs/>
          <w:sz w:val="32"/>
          <w:szCs w:val="32"/>
        </w:rPr>
        <w:t>%，预算执行精准高效。同时，从严</w:t>
      </w:r>
      <w:r>
        <w:rPr>
          <w:rFonts w:hint="eastAsia" w:ascii="仿宋_GB2312" w:hAnsi="仿宋_GB2312" w:eastAsia="仿宋_GB2312" w:cs="仿宋_GB2312"/>
          <w:bCs/>
          <w:sz w:val="32"/>
          <w:szCs w:val="32"/>
          <w:lang w:eastAsia="zh-CN"/>
        </w:rPr>
        <w:t>控制</w:t>
      </w:r>
      <w:r>
        <w:rPr>
          <w:rFonts w:hint="eastAsia" w:ascii="仿宋_GB2312" w:hAnsi="仿宋_GB2312" w:eastAsia="仿宋_GB2312" w:cs="仿宋_GB2312"/>
          <w:bCs/>
          <w:sz w:val="32"/>
          <w:szCs w:val="32"/>
        </w:rPr>
        <w:t>“三公”经费支出，2025年“三公”经费预算支出6万元，实际支出3.5万元，严格控制在预算额度内。其中，公务接待费0.52万元，较上年下降73.33%，厉行节约成效显著；公务用车运行维护费2.98万元，较上年增长81.5%，</w:t>
      </w:r>
      <w:r>
        <w:rPr>
          <w:rFonts w:hint="eastAsia" w:ascii="仿宋_GB2312" w:hAnsi="仿宋_GB2312" w:eastAsia="仿宋_GB2312" w:cs="仿宋_GB2312"/>
          <w:bCs/>
          <w:sz w:val="32"/>
          <w:szCs w:val="32"/>
          <w:lang w:eastAsia="zh-CN"/>
        </w:rPr>
        <w:t>增长过快的原因是</w:t>
      </w:r>
      <w:r>
        <w:rPr>
          <w:rFonts w:hint="eastAsia" w:ascii="仿宋_GB2312" w:hAnsi="仿宋_GB2312" w:eastAsia="仿宋_GB2312" w:cs="仿宋_GB2312"/>
          <w:bCs/>
          <w:sz w:val="32"/>
          <w:szCs w:val="32"/>
          <w:lang w:val="en-US" w:eastAsia="zh-CN"/>
        </w:rPr>
        <w:t>2024年</w:t>
      </w:r>
      <w:r>
        <w:rPr>
          <w:rFonts w:hint="eastAsia" w:ascii="仿宋_GB2312" w:hAnsi="仿宋_GB2312" w:eastAsia="仿宋_GB2312" w:cs="仿宋_GB2312"/>
          <w:bCs/>
          <w:sz w:val="32"/>
          <w:szCs w:val="32"/>
          <w:lang w:val="en-US" w:eastAsia="zh-CN"/>
        </w:rPr>
        <w:t>提前关闭</w:t>
      </w:r>
      <w:r>
        <w:rPr>
          <w:rFonts w:hint="eastAsia" w:ascii="仿宋_GB2312" w:hAnsi="仿宋_GB2312" w:eastAsia="仿宋_GB2312" w:cs="仿宋_GB2312"/>
          <w:bCs/>
          <w:sz w:val="32"/>
          <w:szCs w:val="32"/>
          <w:lang w:val="en-US" w:eastAsia="zh-CN"/>
        </w:rPr>
        <w:t>国库集中支付系统三公经费支付通道，部分费用在2025年度结算</w:t>
      </w:r>
      <w:r>
        <w:rPr>
          <w:rFonts w:hint="eastAsia" w:ascii="仿宋_GB2312" w:hAnsi="仿宋_GB2312" w:eastAsia="仿宋_GB2312" w:cs="仿宋_GB2312"/>
          <w:bCs/>
          <w:sz w:val="32"/>
          <w:szCs w:val="32"/>
        </w:rPr>
        <w:t>。</w:t>
      </w:r>
    </w:p>
    <w:p w14:paraId="6AE843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（二）规范资产管理，盘活资产效能</w:t>
      </w:r>
    </w:p>
    <w:p w14:paraId="35401B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rPr>
        <w:t>截至2025年12月31日，单位固定资产净值</w:t>
      </w:r>
      <w:r>
        <w:rPr>
          <w:rFonts w:hint="eastAsia" w:ascii="仿宋_GB2312" w:hAnsi="仿宋_GB2312" w:eastAsia="仿宋_GB2312" w:cs="仿宋_GB2312"/>
          <w:bCs/>
          <w:sz w:val="32"/>
          <w:szCs w:val="32"/>
          <w:highlight w:val="none"/>
          <w:lang w:val="en-US" w:eastAsia="zh-CN"/>
        </w:rPr>
        <w:t>618.05</w:t>
      </w:r>
      <w:r>
        <w:rPr>
          <w:rFonts w:hint="eastAsia" w:ascii="仿宋_GB2312" w:hAnsi="仿宋_GB2312" w:eastAsia="仿宋_GB2312" w:cs="仿宋_GB2312"/>
          <w:bCs/>
          <w:sz w:val="32"/>
          <w:szCs w:val="32"/>
          <w:highlight w:val="none"/>
        </w:rPr>
        <w:t>万元</w:t>
      </w:r>
      <w:r>
        <w:rPr>
          <w:rFonts w:hint="eastAsia" w:ascii="仿宋_GB2312" w:hAnsi="仿宋_GB2312" w:eastAsia="仿宋_GB2312" w:cs="仿宋_GB2312"/>
          <w:bCs/>
          <w:sz w:val="32"/>
          <w:szCs w:val="32"/>
          <w:highlight w:val="none"/>
          <w:lang w:eastAsia="zh-CN"/>
        </w:rPr>
        <w:t>，无形资产净值</w:t>
      </w:r>
      <w:r>
        <w:rPr>
          <w:rFonts w:hint="eastAsia" w:ascii="仿宋_GB2312" w:hAnsi="仿宋_GB2312" w:eastAsia="仿宋_GB2312" w:cs="仿宋_GB2312"/>
          <w:bCs/>
          <w:sz w:val="32"/>
          <w:szCs w:val="32"/>
          <w:highlight w:val="none"/>
          <w:lang w:val="en-US" w:eastAsia="zh-CN"/>
        </w:rPr>
        <w:t>66.58万元</w:t>
      </w:r>
      <w:r>
        <w:rPr>
          <w:rFonts w:hint="eastAsia" w:ascii="仿宋_GB2312" w:hAnsi="仿宋_GB2312" w:eastAsia="仿宋_GB2312" w:cs="仿宋_GB2312"/>
          <w:bCs/>
          <w:sz w:val="32"/>
          <w:szCs w:val="32"/>
          <w:highlight w:val="none"/>
        </w:rPr>
        <w:t>。落实资产台账统建统管，划分归口管理岗位，明确专人管护，压实资产使用追溯责任。</w:t>
      </w:r>
    </w:p>
    <w:p w14:paraId="7FF039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highlight w:val="none"/>
        </w:rPr>
        <w:t>由办公室排查闲置资产，统筹内部调剂共享，提升存量资产利用率。资产购置按规定报审，达标项目实施政府采购；资产报废依规上报</w:t>
      </w:r>
      <w:r>
        <w:rPr>
          <w:rFonts w:hint="eastAsia" w:ascii="仿宋_GB2312" w:hAnsi="仿宋_GB2312" w:eastAsia="仿宋_GB2312" w:cs="仿宋_GB2312"/>
          <w:bCs/>
          <w:sz w:val="32"/>
          <w:szCs w:val="32"/>
          <w:highlight w:val="none"/>
          <w:lang w:eastAsia="zh-CN"/>
        </w:rPr>
        <w:t>市</w:t>
      </w:r>
      <w:r>
        <w:rPr>
          <w:rFonts w:hint="eastAsia" w:ascii="仿宋_GB2312" w:hAnsi="仿宋_GB2312" w:eastAsia="仿宋_GB2312" w:cs="仿宋_GB2312"/>
          <w:bCs/>
          <w:sz w:val="32"/>
          <w:szCs w:val="32"/>
          <w:highlight w:val="none"/>
        </w:rPr>
        <w:t>机关事务</w:t>
      </w:r>
      <w:r>
        <w:rPr>
          <w:rFonts w:hint="eastAsia" w:ascii="仿宋_GB2312" w:hAnsi="仿宋_GB2312" w:eastAsia="仿宋_GB2312" w:cs="仿宋_GB2312"/>
          <w:bCs/>
          <w:sz w:val="32"/>
          <w:szCs w:val="32"/>
          <w:highlight w:val="none"/>
          <w:lang w:eastAsia="zh-CN"/>
        </w:rPr>
        <w:t>局</w:t>
      </w:r>
      <w:r>
        <w:rPr>
          <w:rFonts w:hint="eastAsia" w:ascii="仿宋_GB2312" w:hAnsi="仿宋_GB2312" w:eastAsia="仿宋_GB2312" w:cs="仿宋_GB2312"/>
          <w:bCs/>
          <w:sz w:val="32"/>
          <w:szCs w:val="32"/>
          <w:highlight w:val="none"/>
        </w:rPr>
        <w:t>审批后处置，筑牢国有资产监管防线，严防资产流失。</w:t>
      </w:r>
    </w:p>
    <w:p w14:paraId="312868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（三）</w:t>
      </w:r>
      <w:r>
        <w:rPr>
          <w:rFonts w:hint="eastAsia" w:ascii="楷体" w:hAnsi="楷体" w:eastAsia="楷体" w:cs="楷体"/>
          <w:bCs/>
          <w:sz w:val="32"/>
          <w:szCs w:val="32"/>
        </w:rPr>
        <w:t>紧盯运行走势，绘好“晴雨表”</w:t>
      </w:r>
    </w:p>
    <w:p w14:paraId="603EE1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坚持落实“周对接、月分析、季总结”工作机制，强化专业联动、县区联动、部门联动，全面掌握GDP核算基础指标运行态势，及时预警示警。多次主动对接各行业经济主管部门，开展专题经济形势分析，助力主要经济指标“整体回升、趋势向好、总体平稳、稳中提质”。</w:t>
      </w:r>
    </w:p>
    <w:p w14:paraId="11B0F6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（四）</w:t>
      </w:r>
      <w:r>
        <w:rPr>
          <w:rFonts w:hint="eastAsia" w:ascii="楷体" w:hAnsi="楷体" w:eastAsia="楷体" w:cs="楷体"/>
          <w:bCs/>
          <w:sz w:val="32"/>
          <w:szCs w:val="32"/>
        </w:rPr>
        <w:t>紧跟主题主线，做好“监测器”</w:t>
      </w:r>
    </w:p>
    <w:p w14:paraId="68340F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紧紧围绕“七个岳阳”建设和高质量发展两条主线，聚焦重点行业、重点企业、重大项目，深入一线了解企业生产情况和项目建设进度，多维度、深层次、系统性开展分析研究，切实做到“事前有研判，事中有监测，事后有分析”，撰写统计综合分析报告20余篇，专业性分析报告50余篇，统计信息200余条，有力服务市委、市政府科学决策。</w:t>
      </w:r>
    </w:p>
    <w:p w14:paraId="52A9E7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（五）</w:t>
      </w:r>
      <w:r>
        <w:rPr>
          <w:rFonts w:hint="eastAsia" w:ascii="楷体" w:hAnsi="楷体" w:eastAsia="楷体" w:cs="楷体"/>
          <w:bCs/>
          <w:sz w:val="32"/>
          <w:szCs w:val="32"/>
        </w:rPr>
        <w:t>紧扣公众需求，建好“智数库”</w:t>
      </w:r>
    </w:p>
    <w:p w14:paraId="153295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把握数据生产节点，做好“深加工”，全天候响应部门和群众需求，“快、准、精、实”提供统计数据信息，高质量编印《岳阳经济动态》《数据岳阳2020-2024》《2024年岳阳市国民经济与社会发展统计公报》《岳阳统计数据集（2024-2025）》等具有岳阳统计辨识度的产品，准确提供各类咨询数据300余次。</w:t>
      </w:r>
    </w:p>
    <w:p w14:paraId="3F28B2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（六）</w:t>
      </w:r>
      <w:r>
        <w:rPr>
          <w:rFonts w:hint="eastAsia" w:ascii="楷体" w:hAnsi="楷体" w:eastAsia="楷体" w:cs="楷体"/>
          <w:bCs/>
          <w:sz w:val="32"/>
          <w:szCs w:val="32"/>
        </w:rPr>
        <w:t>统筹推进1%人口抽样调查，筑牢数据质量防线</w:t>
      </w:r>
    </w:p>
    <w:p w14:paraId="17D33C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高标准推进1%人口抽样调查工作，圆满完成全市1.74万户样本住户入户登记任务，累计开展入户调查5.33万人次。登记工作完成后，持续抓实数据复核、交叉校验、事后质量抽查等闭环工作，全方位核查校验调查数据真实性、准确性、完整性，有效排查数据偏差、补齐工作短板，切实筑牢人口统计数据质量防线，确保调查数据客观真实、符合实际。</w:t>
      </w:r>
    </w:p>
    <w:p w14:paraId="30F05E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lang w:eastAsia="zh-CN"/>
        </w:rPr>
        <w:t>（七）</w:t>
      </w:r>
      <w:r>
        <w:rPr>
          <w:rFonts w:hint="eastAsia" w:ascii="楷体" w:hAnsi="楷体" w:eastAsia="楷体" w:cs="楷体"/>
          <w:bCs/>
          <w:sz w:val="32"/>
          <w:szCs w:val="32"/>
        </w:rPr>
        <w:t>强化执法监督与规范建设</w:t>
      </w:r>
    </w:p>
    <w:p w14:paraId="091D58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持续深化统计法治宣传教育，全市各县市区累计开展“统计法进党校”宣讲活动16次，培训干部近2000人次。围绕国家、省通报的统计违纪违法典型案例，市、县两级开展警示教育20余次。同步完成全市统计领域行政执法事项目录梳理、行政处罚裁量权基准修订完善工作，并按规定全面公示，规范行政执法标准。严格落实年度统计执法检查工作计划，常态化开展企业、项目统计执法监督检查，同步推进“送法入企”服务，有效规范基层统计工作秩序，持续净化统计法治环境。</w:t>
      </w:r>
    </w:p>
    <w:p w14:paraId="306C93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七、存在的问题及原因分析</w:t>
      </w:r>
    </w:p>
    <w:p w14:paraId="21C14F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lang w:eastAsia="zh-CN"/>
        </w:rPr>
      </w:pPr>
      <w:r>
        <w:rPr>
          <w:rFonts w:hint="eastAsia" w:ascii="楷体" w:hAnsi="楷体" w:eastAsia="楷体" w:cs="楷体"/>
          <w:bCs/>
          <w:sz w:val="32"/>
          <w:szCs w:val="32"/>
        </w:rPr>
        <w:t>（一）预算支出绩效指标</w:t>
      </w:r>
      <w:r>
        <w:rPr>
          <w:rFonts w:hint="eastAsia" w:ascii="楷体" w:hAnsi="楷体" w:eastAsia="楷体" w:cs="楷体"/>
          <w:bCs/>
          <w:sz w:val="32"/>
          <w:szCs w:val="32"/>
          <w:lang w:eastAsia="zh-CN"/>
        </w:rPr>
        <w:t>精细化、全面化不足</w:t>
      </w:r>
    </w:p>
    <w:p w14:paraId="731093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预算绩效目标</w:t>
      </w:r>
      <w:r>
        <w:rPr>
          <w:rFonts w:hint="eastAsia" w:ascii="仿宋_GB2312" w:hAnsi="仿宋_GB2312" w:eastAsia="仿宋_GB2312" w:cs="仿宋_GB2312"/>
          <w:bCs/>
          <w:sz w:val="32"/>
          <w:szCs w:val="32"/>
        </w:rPr>
        <w:t>主要依据年度常规工作及重点任务统筹设置。由于年度统计工作存在临时性、动态性调整，年度工作任务存在不可预判的变动情况，导致年初设定的绩效目标与年度实际履职工作存在小幅偏差，绩效指标细化程度、全面性有待进一步提升。</w:t>
      </w:r>
    </w:p>
    <w:p w14:paraId="6EB203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（二）部分预算绩效指标未按期完成</w:t>
      </w:r>
    </w:p>
    <w:p w14:paraId="7CA716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民调项目未完成</w:t>
      </w:r>
      <w:r>
        <w:rPr>
          <w:rFonts w:hint="eastAsia" w:ascii="仿宋_GB2312" w:hAnsi="仿宋_GB2312" w:eastAsia="仿宋_GB2312" w:cs="仿宋_GB2312"/>
          <w:bCs/>
          <w:sz w:val="32"/>
          <w:szCs w:val="32"/>
        </w:rPr>
        <w:t>,原因是</w:t>
      </w:r>
      <w:r>
        <w:rPr>
          <w:rFonts w:hint="eastAsia" w:ascii="仿宋_GB2312" w:hAnsi="仿宋_GB2312" w:eastAsia="仿宋_GB2312" w:cs="仿宋_GB2312"/>
          <w:bCs/>
          <w:sz w:val="32"/>
          <w:szCs w:val="32"/>
          <w:lang w:eastAsia="zh-CN"/>
        </w:rPr>
        <w:t>落实基层减负政策，减少了部分民调项目</w:t>
      </w:r>
      <w:r>
        <w:rPr>
          <w:rFonts w:hint="eastAsia" w:ascii="仿宋_GB2312" w:hAnsi="仿宋_GB2312" w:eastAsia="仿宋_GB2312" w:cs="仿宋_GB2312"/>
          <w:bCs/>
          <w:sz w:val="32"/>
          <w:szCs w:val="32"/>
        </w:rPr>
        <w:t>。</w:t>
      </w:r>
    </w:p>
    <w:p w14:paraId="52F8A8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八</w:t>
      </w:r>
      <w:r>
        <w:rPr>
          <w:rFonts w:ascii="黑体" w:hAnsi="黑体" w:eastAsia="黑体" w:cs="黑体"/>
          <w:bCs/>
          <w:sz w:val="32"/>
          <w:szCs w:val="32"/>
        </w:rPr>
        <w:t>、</w:t>
      </w:r>
      <w:r>
        <w:rPr>
          <w:rFonts w:hint="eastAsia" w:ascii="黑体" w:hAnsi="黑体" w:eastAsia="黑体" w:cs="黑体"/>
          <w:bCs/>
          <w:sz w:val="32"/>
          <w:szCs w:val="32"/>
        </w:rPr>
        <w:t>改进措施和有关建议</w:t>
      </w:r>
    </w:p>
    <w:p w14:paraId="3B7AE2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（一）细化绩效指标设置，提升目标匹配度</w:t>
      </w:r>
    </w:p>
    <w:p w14:paraId="681DE7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优化年初绩效指标编制工作，全面梳理年度工作计划、重点任务、专项工作，充分结合统计工作动态履职特点，细化量化各项绩效指标。建立绩效指标动态调整机制，针对年中工作任务调整、政策变动等情况，及时优化修正绩效目标指标，确保绩效指标贴合工作实际。</w:t>
      </w:r>
    </w:p>
    <w:p w14:paraId="4085AD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bCs/>
          <w:sz w:val="32"/>
          <w:szCs w:val="32"/>
        </w:rPr>
      </w:pPr>
      <w:r>
        <w:rPr>
          <w:rFonts w:hint="eastAsia" w:ascii="楷体" w:hAnsi="楷体" w:eastAsia="楷体" w:cs="楷体"/>
          <w:bCs/>
          <w:sz w:val="32"/>
          <w:szCs w:val="32"/>
        </w:rPr>
        <w:t>（二）健全绩效管理体系，完善长效工作机制</w:t>
      </w:r>
    </w:p>
    <w:p w14:paraId="6CFA8E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强化预算绩效管理工作统筹部署，压实主体工作责任，持续优化预算编制、执行、监控、评价全流程管理体系，完善单位内部控制管理制度。厘清财务岗位与业务科室绩效管理职责分工，健全绩效目标申报、审核、动态监控、自评全链条工作机制，深化财务工作与业务工作深度融合，持续提升部门绩效管理水平。</w:t>
      </w:r>
    </w:p>
    <w:p w14:paraId="723AD74D">
      <w:pPr>
        <w:keepNext w:val="0"/>
        <w:keepLines w:val="0"/>
        <w:pageBreakBefore w:val="0"/>
        <w:widowControl w:val="0"/>
        <w:kinsoku/>
        <w:wordWrap/>
        <w:overflowPunct/>
        <w:topLinePunct w:val="0"/>
        <w:autoSpaceDE/>
        <w:autoSpaceDN/>
        <w:bidi w:val="0"/>
        <w:adjustRightInd/>
        <w:snapToGrid/>
        <w:spacing w:line="600" w:lineRule="exact"/>
        <w:textAlignment w:val="auto"/>
        <w:rPr>
          <w:rFonts w:eastAsia="黑体"/>
          <w:sz w:val="32"/>
          <w:szCs w:val="32"/>
        </w:rPr>
      </w:pPr>
      <w:r>
        <w:rPr>
          <w:rFonts w:hint="eastAsia" w:eastAsia="黑体"/>
          <w:sz w:val="32"/>
          <w:szCs w:val="32"/>
        </w:rPr>
        <w:t xml:space="preserve">    </w:t>
      </w:r>
      <w:r>
        <w:rPr>
          <w:rFonts w:eastAsia="黑体"/>
          <w:sz w:val="32"/>
          <w:szCs w:val="32"/>
        </w:rPr>
        <w:t>九、绩效自评结果拟应用和公开情况</w:t>
      </w:r>
    </w:p>
    <w:p w14:paraId="7AD606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楷体" w:hAnsi="楷体" w:eastAsia="楷体" w:cs="楷体"/>
          <w:bCs/>
          <w:sz w:val="32"/>
          <w:szCs w:val="32"/>
        </w:rPr>
        <w:t>（一）结果应用情况</w:t>
      </w:r>
    </w:p>
    <w:p w14:paraId="19F4FB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深化绩效闭环管理，提升预算管控质效。常态化抓实预算绩效评价工作，持续优化部门整体绩效目标全周期管理。严格遵照《预算法》及财政管理相关规定，高质量完成年度预决算编制、上报、公开等工作。在预算执行全过程规范开展资金申报、审批、使用、核销等工作，持续完善资金管理、内部控制等制度体系，严守财经纪律，确保账账相符、账实相符、账款相符，保障财政资金安全规范、高效使用。</w:t>
      </w:r>
    </w:p>
    <w:p w14:paraId="29CDFE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深化绩效成果转化，推进节约型机关建设。严格落实中央八项规定及其实施细则精神，从严管控“三公”经费、一般性支出，常态化厉行勤俭节约，所有“三公”经费支出严格按照要求在指定平台按时公示，主动接受监督。扎实推进机关节能降耗常态化，细化日常管理举措：严格管控用电能耗，倡导充分利用自然光照，杜绝长明灯、无效耗电等浪费现象，做到人走灯灭；严格规范用水管理，及时关闭用水设备，杜绝长流水及跑冒滴漏问题，全方位降低机关运行能耗成本。</w:t>
      </w:r>
    </w:p>
    <w:p w14:paraId="6787E2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（二）公开公示情况</w:t>
      </w:r>
    </w:p>
    <w:p w14:paraId="721459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为进一步深化事后绩效评价工作，不断提高部门预算整体绩效目标管理水平，每年按时在“岳阳市统计局信息网”</w:t>
      </w:r>
      <w:r>
        <w:rPr>
          <w:rFonts w:hint="eastAsia" w:ascii="仿宋_GB2312" w:hAnsi="仿宋_GB2312" w:eastAsia="仿宋_GB2312" w:cs="仿宋_GB2312"/>
          <w:bCs/>
          <w:sz w:val="32"/>
          <w:szCs w:val="32"/>
          <w:lang w:eastAsia="zh-CN"/>
        </w:rPr>
        <w:t>政府信息公开</w:t>
      </w:r>
      <w:r>
        <w:rPr>
          <w:rFonts w:hint="eastAsia" w:ascii="仿宋_GB2312" w:hAnsi="仿宋_GB2312" w:eastAsia="仿宋_GB2312" w:cs="仿宋_GB2312"/>
          <w:bCs/>
          <w:sz w:val="32"/>
          <w:szCs w:val="32"/>
        </w:rPr>
        <w:t>板块下的资金信息专栏对绩效自评</w:t>
      </w:r>
      <w:r>
        <w:rPr>
          <w:rFonts w:hint="eastAsia" w:ascii="仿宋_GB2312" w:hAnsi="仿宋_GB2312" w:eastAsia="仿宋_GB2312" w:cs="仿宋_GB2312"/>
          <w:bCs/>
          <w:sz w:val="32"/>
          <w:szCs w:val="32"/>
          <w:lang w:eastAsia="zh-CN"/>
        </w:rPr>
        <w:t>情况</w:t>
      </w:r>
      <w:r>
        <w:rPr>
          <w:rFonts w:hint="eastAsia" w:ascii="仿宋_GB2312" w:hAnsi="仿宋_GB2312" w:eastAsia="仿宋_GB2312" w:cs="仿宋_GB2312"/>
          <w:bCs/>
          <w:sz w:val="32"/>
          <w:szCs w:val="32"/>
        </w:rPr>
        <w:t>进行公开公示。</w:t>
      </w:r>
      <w:bookmarkStart w:id="1" w:name="_GoBack"/>
      <w:bookmarkEnd w:id="1"/>
    </w:p>
    <w:p w14:paraId="65394D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黑体" w:hAnsi="黑体" w:eastAsia="黑体"/>
          <w:sz w:val="32"/>
          <w:szCs w:val="32"/>
        </w:rPr>
      </w:pPr>
      <w:r>
        <w:rPr>
          <w:rFonts w:hint="eastAsia" w:ascii="黑体" w:hAnsi="黑体" w:eastAsia="黑体"/>
          <w:sz w:val="32"/>
          <w:szCs w:val="32"/>
        </w:rPr>
        <w:t>十、其他需要说明的情况</w:t>
      </w:r>
    </w:p>
    <w:p w14:paraId="53C890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无</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675A5">
    <w:pPr>
      <w:ind w:right="360" w:firstLine="360"/>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6mDjrR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OOQy9wP/4RBxnDxl6jDCTo3x7TLPac/Scjz1c9Xjv7X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Cepg460QEAAKMDAAAOAAAAAAAAAAEAIAAAACIB&#10;AABkcnMvZTJvRG9jLnhtbFBLBQYAAAAABgAGAFkBAABlBQAAAAA=&#10;">
          <v:path/>
          <v:fill on="f" focussize="0,0"/>
          <v:stroke on="f" weight="1.25pt" joinstyle="miter"/>
          <v:imagedata o:title=""/>
          <o:lock v:ext="edit"/>
          <v:textbox inset="0mm,0mm,0mm,0mm" style="mso-fit-shape-to-text:t;">
            <w:txbxContent>
              <w:p w14:paraId="3FC0040D">
                <w:pPr>
                  <w:pStyle w:val="2"/>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PAGE  \* MERGEFORMAT </w:instrText>
                </w:r>
                <w:r>
                  <w:rPr>
                    <w:rFonts w:hint="eastAsia" w:ascii="宋体" w:hAnsi="宋体" w:cs="宋体"/>
                    <w:sz w:val="24"/>
                    <w:szCs w:val="24"/>
                  </w:rPr>
                  <w:fldChar w:fldCharType="separate"/>
                </w:r>
                <w:r>
                  <w:rPr>
                    <w:rFonts w:ascii="宋体" w:hAnsi="宋体" w:cs="宋体"/>
                    <w:sz w:val="24"/>
                    <w:szCs w:val="24"/>
                  </w:rPr>
                  <w:t>- 6 -</w:t>
                </w:r>
                <w:r>
                  <w:rPr>
                    <w:rFonts w:hint="eastAsia" w:ascii="宋体" w:hAnsi="宋体" w:cs="宋体"/>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OGU0NzU0ODI0OTZiMDZhOTkxODNmMmMzZWJlNjUyZTYifQ=="/>
  </w:docVars>
  <w:rsids>
    <w:rsidRoot w:val="00596A89"/>
    <w:rsid w:val="00010361"/>
    <w:rsid w:val="00012434"/>
    <w:rsid w:val="00014B59"/>
    <w:rsid w:val="00043567"/>
    <w:rsid w:val="00055289"/>
    <w:rsid w:val="00060C15"/>
    <w:rsid w:val="000657D3"/>
    <w:rsid w:val="0008054E"/>
    <w:rsid w:val="001076DE"/>
    <w:rsid w:val="00114494"/>
    <w:rsid w:val="0012672E"/>
    <w:rsid w:val="0013350F"/>
    <w:rsid w:val="00142BC8"/>
    <w:rsid w:val="00146D29"/>
    <w:rsid w:val="0016776E"/>
    <w:rsid w:val="001D3171"/>
    <w:rsid w:val="002430FC"/>
    <w:rsid w:val="002B1AF9"/>
    <w:rsid w:val="002B64DF"/>
    <w:rsid w:val="002D538B"/>
    <w:rsid w:val="002F3D33"/>
    <w:rsid w:val="002F7582"/>
    <w:rsid w:val="002F7D55"/>
    <w:rsid w:val="003268E5"/>
    <w:rsid w:val="00335A8B"/>
    <w:rsid w:val="00372BCD"/>
    <w:rsid w:val="00391C0A"/>
    <w:rsid w:val="003A5868"/>
    <w:rsid w:val="003E17CF"/>
    <w:rsid w:val="00423C09"/>
    <w:rsid w:val="004310D5"/>
    <w:rsid w:val="004A0358"/>
    <w:rsid w:val="004A0E5C"/>
    <w:rsid w:val="004D311D"/>
    <w:rsid w:val="004D5121"/>
    <w:rsid w:val="004E24F0"/>
    <w:rsid w:val="005223FB"/>
    <w:rsid w:val="00555A8C"/>
    <w:rsid w:val="00591063"/>
    <w:rsid w:val="00596A89"/>
    <w:rsid w:val="005A641E"/>
    <w:rsid w:val="005E3AB4"/>
    <w:rsid w:val="005E53B9"/>
    <w:rsid w:val="00632B05"/>
    <w:rsid w:val="006A2E7C"/>
    <w:rsid w:val="006C599F"/>
    <w:rsid w:val="006C622B"/>
    <w:rsid w:val="006D2673"/>
    <w:rsid w:val="006D57D5"/>
    <w:rsid w:val="006E49C4"/>
    <w:rsid w:val="006E5814"/>
    <w:rsid w:val="0073012E"/>
    <w:rsid w:val="00733E5C"/>
    <w:rsid w:val="00742C31"/>
    <w:rsid w:val="007442A5"/>
    <w:rsid w:val="00755D51"/>
    <w:rsid w:val="00766955"/>
    <w:rsid w:val="007D2A33"/>
    <w:rsid w:val="007D7755"/>
    <w:rsid w:val="00824F06"/>
    <w:rsid w:val="00862243"/>
    <w:rsid w:val="008642FE"/>
    <w:rsid w:val="0088385C"/>
    <w:rsid w:val="0089565B"/>
    <w:rsid w:val="008C22CE"/>
    <w:rsid w:val="008E7E32"/>
    <w:rsid w:val="009078B7"/>
    <w:rsid w:val="00915384"/>
    <w:rsid w:val="009314A9"/>
    <w:rsid w:val="00941A7A"/>
    <w:rsid w:val="00947430"/>
    <w:rsid w:val="0096118B"/>
    <w:rsid w:val="009659AD"/>
    <w:rsid w:val="009953B6"/>
    <w:rsid w:val="009B3DBE"/>
    <w:rsid w:val="009E65E3"/>
    <w:rsid w:val="00A20A29"/>
    <w:rsid w:val="00A51924"/>
    <w:rsid w:val="00A66635"/>
    <w:rsid w:val="00A76F5B"/>
    <w:rsid w:val="00AB0C34"/>
    <w:rsid w:val="00AB6222"/>
    <w:rsid w:val="00AC1617"/>
    <w:rsid w:val="00AD799C"/>
    <w:rsid w:val="00AF2B42"/>
    <w:rsid w:val="00B5033F"/>
    <w:rsid w:val="00B542A9"/>
    <w:rsid w:val="00B56066"/>
    <w:rsid w:val="00B5704A"/>
    <w:rsid w:val="00B849BD"/>
    <w:rsid w:val="00BB7400"/>
    <w:rsid w:val="00BF6B92"/>
    <w:rsid w:val="00C01F34"/>
    <w:rsid w:val="00C26FD1"/>
    <w:rsid w:val="00C37967"/>
    <w:rsid w:val="00C503D6"/>
    <w:rsid w:val="00C52912"/>
    <w:rsid w:val="00C573EB"/>
    <w:rsid w:val="00C73993"/>
    <w:rsid w:val="00CA0185"/>
    <w:rsid w:val="00CC0F72"/>
    <w:rsid w:val="00CC4A45"/>
    <w:rsid w:val="00CF77D1"/>
    <w:rsid w:val="00D018C8"/>
    <w:rsid w:val="00D05578"/>
    <w:rsid w:val="00D07CA6"/>
    <w:rsid w:val="00D23959"/>
    <w:rsid w:val="00D47412"/>
    <w:rsid w:val="00D57049"/>
    <w:rsid w:val="00D74E34"/>
    <w:rsid w:val="00D769A0"/>
    <w:rsid w:val="00D77F7D"/>
    <w:rsid w:val="00D81C4B"/>
    <w:rsid w:val="00D85E2E"/>
    <w:rsid w:val="00D94913"/>
    <w:rsid w:val="00E12917"/>
    <w:rsid w:val="00E20075"/>
    <w:rsid w:val="00E43AE6"/>
    <w:rsid w:val="00E478F0"/>
    <w:rsid w:val="00E57CEB"/>
    <w:rsid w:val="00E8481B"/>
    <w:rsid w:val="00E96063"/>
    <w:rsid w:val="00EB45CD"/>
    <w:rsid w:val="00EB4B78"/>
    <w:rsid w:val="00EF0C20"/>
    <w:rsid w:val="00F56DA1"/>
    <w:rsid w:val="00F90353"/>
    <w:rsid w:val="00F96484"/>
    <w:rsid w:val="00FE1CC6"/>
    <w:rsid w:val="023870D5"/>
    <w:rsid w:val="034C3635"/>
    <w:rsid w:val="037360B7"/>
    <w:rsid w:val="05712C7D"/>
    <w:rsid w:val="07606573"/>
    <w:rsid w:val="09C90E12"/>
    <w:rsid w:val="0A134AE4"/>
    <w:rsid w:val="0B461109"/>
    <w:rsid w:val="0BB70BA5"/>
    <w:rsid w:val="0F7E502D"/>
    <w:rsid w:val="1008074D"/>
    <w:rsid w:val="104248EA"/>
    <w:rsid w:val="10BA19E9"/>
    <w:rsid w:val="10DC5195"/>
    <w:rsid w:val="112C220D"/>
    <w:rsid w:val="116F6FCA"/>
    <w:rsid w:val="12121F00"/>
    <w:rsid w:val="12D07E4D"/>
    <w:rsid w:val="12D44661"/>
    <w:rsid w:val="12F9372E"/>
    <w:rsid w:val="151F5435"/>
    <w:rsid w:val="156670F6"/>
    <w:rsid w:val="18C8188B"/>
    <w:rsid w:val="195D42D9"/>
    <w:rsid w:val="19F11012"/>
    <w:rsid w:val="1A2E30C1"/>
    <w:rsid w:val="1A7859B4"/>
    <w:rsid w:val="1AB44F4D"/>
    <w:rsid w:val="1BB5545C"/>
    <w:rsid w:val="1C207203"/>
    <w:rsid w:val="1D1F5644"/>
    <w:rsid w:val="1E017D0B"/>
    <w:rsid w:val="202645B9"/>
    <w:rsid w:val="21241BF2"/>
    <w:rsid w:val="240A0CA2"/>
    <w:rsid w:val="25D362A1"/>
    <w:rsid w:val="269158E4"/>
    <w:rsid w:val="2811125F"/>
    <w:rsid w:val="2BC34890"/>
    <w:rsid w:val="2E927E8C"/>
    <w:rsid w:val="2F346268"/>
    <w:rsid w:val="328F10F7"/>
    <w:rsid w:val="337B7E77"/>
    <w:rsid w:val="344E0784"/>
    <w:rsid w:val="34B20DD1"/>
    <w:rsid w:val="362E5BE4"/>
    <w:rsid w:val="386830FF"/>
    <w:rsid w:val="3A683A03"/>
    <w:rsid w:val="3AA53C81"/>
    <w:rsid w:val="3B9400E3"/>
    <w:rsid w:val="3C343702"/>
    <w:rsid w:val="3EAB0654"/>
    <w:rsid w:val="3EDD3CDC"/>
    <w:rsid w:val="40654E78"/>
    <w:rsid w:val="413B159F"/>
    <w:rsid w:val="42ED71C7"/>
    <w:rsid w:val="452E0263"/>
    <w:rsid w:val="459A76C0"/>
    <w:rsid w:val="45A4556F"/>
    <w:rsid w:val="4763084E"/>
    <w:rsid w:val="48C939C1"/>
    <w:rsid w:val="4D6E5B3D"/>
    <w:rsid w:val="4D993A38"/>
    <w:rsid w:val="4E4017AA"/>
    <w:rsid w:val="4EEE00A1"/>
    <w:rsid w:val="4F036237"/>
    <w:rsid w:val="4F831D90"/>
    <w:rsid w:val="504A6BCE"/>
    <w:rsid w:val="53043976"/>
    <w:rsid w:val="53AA6201"/>
    <w:rsid w:val="560372A0"/>
    <w:rsid w:val="56881D80"/>
    <w:rsid w:val="56B557F8"/>
    <w:rsid w:val="583604C1"/>
    <w:rsid w:val="58401A2D"/>
    <w:rsid w:val="587B7BB4"/>
    <w:rsid w:val="5B707509"/>
    <w:rsid w:val="5C5605D8"/>
    <w:rsid w:val="5C58107F"/>
    <w:rsid w:val="5D916AA1"/>
    <w:rsid w:val="5EEB25CD"/>
    <w:rsid w:val="616C11E5"/>
    <w:rsid w:val="63635C9F"/>
    <w:rsid w:val="645B3D95"/>
    <w:rsid w:val="65CC209F"/>
    <w:rsid w:val="65D23027"/>
    <w:rsid w:val="66DA78D9"/>
    <w:rsid w:val="66E379EC"/>
    <w:rsid w:val="67E73C6A"/>
    <w:rsid w:val="68E90790"/>
    <w:rsid w:val="6ABA73A5"/>
    <w:rsid w:val="6B401EA1"/>
    <w:rsid w:val="6D555B99"/>
    <w:rsid w:val="6E0105CB"/>
    <w:rsid w:val="6F2A26B1"/>
    <w:rsid w:val="71EE36FA"/>
    <w:rsid w:val="73D205AC"/>
    <w:rsid w:val="76147189"/>
    <w:rsid w:val="790E2D96"/>
    <w:rsid w:val="7921749D"/>
    <w:rsid w:val="797C5F9E"/>
    <w:rsid w:val="7ACA4F76"/>
    <w:rsid w:val="7AF56018"/>
    <w:rsid w:val="7B2322C4"/>
    <w:rsid w:val="7C226C33"/>
    <w:rsid w:val="7E6E0173"/>
    <w:rsid w:val="7F4960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link w:val="11"/>
    <w:qFormat/>
    <w:uiPriority w:val="0"/>
    <w:pPr>
      <w:keepNext/>
      <w:keepLines/>
      <w:spacing w:line="360" w:lineRule="auto"/>
      <w:outlineLvl w:val="2"/>
    </w:pPr>
    <w:rPr>
      <w:rFonts w:eastAsia="楷体_GB2312"/>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link w:val="10"/>
    <w:unhideWhenUsed/>
    <w:qFormat/>
    <w:uiPriority w:val="0"/>
    <w:pPr>
      <w:tabs>
        <w:tab w:val="center" w:pos="4153"/>
        <w:tab w:val="right" w:pos="8306"/>
      </w:tabs>
      <w:snapToGrid w:val="0"/>
      <w:jc w:val="left"/>
    </w:pPr>
    <w:rPr>
      <w:rFonts w:ascii="Calibri" w:hAnsi="Calibri" w:cs="黑体"/>
      <w:sz w:val="18"/>
      <w:szCs w:val="18"/>
    </w:rPr>
  </w:style>
  <w:style w:type="paragraph" w:styleId="3">
    <w:name w:val="index 5"/>
    <w:basedOn w:val="1"/>
    <w:next w:val="1"/>
    <w:qFormat/>
    <w:uiPriority w:val="0"/>
    <w:pPr>
      <w:ind w:left="1680"/>
    </w:pPr>
  </w:style>
  <w:style w:type="paragraph" w:styleId="5">
    <w:name w:val="Balloon Text"/>
    <w:basedOn w:val="1"/>
    <w:link w:val="12"/>
    <w:semiHidden/>
    <w:unhideWhenUsed/>
    <w:qFormat/>
    <w:uiPriority w:val="0"/>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character" w:customStyle="1" w:styleId="9">
    <w:name w:val="页眉 Char"/>
    <w:link w:val="6"/>
    <w:qFormat/>
    <w:uiPriority w:val="99"/>
    <w:rPr>
      <w:sz w:val="18"/>
      <w:szCs w:val="18"/>
    </w:rPr>
  </w:style>
  <w:style w:type="character" w:customStyle="1" w:styleId="10">
    <w:name w:val="页脚 Char"/>
    <w:link w:val="2"/>
    <w:qFormat/>
    <w:uiPriority w:val="0"/>
    <w:rPr>
      <w:sz w:val="18"/>
      <w:szCs w:val="18"/>
    </w:rPr>
  </w:style>
  <w:style w:type="character" w:customStyle="1" w:styleId="11">
    <w:name w:val="标题 3 Char"/>
    <w:link w:val="4"/>
    <w:qFormat/>
    <w:uiPriority w:val="0"/>
    <w:rPr>
      <w:rFonts w:ascii="Times New Roman" w:hAnsi="Times New Roman" w:eastAsia="楷体_GB2312" w:cs="Times New Roman"/>
      <w:b/>
      <w:sz w:val="32"/>
      <w:szCs w:val="24"/>
    </w:rPr>
  </w:style>
  <w:style w:type="character" w:customStyle="1" w:styleId="12">
    <w:name w:val="批注框文本 Char"/>
    <w:link w:val="5"/>
    <w:semiHidden/>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10</Pages>
  <Words>4109</Words>
  <Characters>4348</Characters>
  <Lines>32</Lines>
  <Paragraphs>9</Paragraphs>
  <TotalTime>32</TotalTime>
  <ScaleCrop>false</ScaleCrop>
  <LinksUpToDate>false</LinksUpToDate>
  <CharactersWithSpaces>4354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2018-04-27T08:42:00Z</dcterms:created>
  <dc:creator>wangxy</dc:creator>
  <cp:lastModifiedBy>小方娟</cp:lastModifiedBy>
  <cp:lastPrinted>2026-06-29T07:30:58Z</cp:lastPrinted>
  <dcterms:modified xsi:type="dcterms:W3CDTF">2026-06-29T07:43:22Z</dcterms:modified>
  <dc:title>岳阳市2017年度部门（单位）整体支出</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4B714E5B15F24A9BAD7D949BE5785828_12</vt:lpwstr>
  </property>
  <property fmtid="{D5CDD505-2E9C-101B-9397-08002B2CF9AE}" pid="4" name="KSOTemplateDocerSaveRecord">
    <vt:lpwstr>eyJoZGlkIjoiOGU0NzU0ODI0OTZiMDZhOTkxODNmMmMzZWJlNjUyZTYiLCJ1c2VySWQiOiIyNjEwNzEwOTMifQ==</vt:lpwstr>
  </property>
</Properties>
</file>