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19DA95">
      <w:pPr>
        <w:spacing w:line="660" w:lineRule="exact"/>
        <w:jc w:val="center"/>
        <w:rPr>
          <w:rFonts w:hint="eastAsia" w:ascii="方正小标宋简体" w:eastAsia="方正小标宋简体"/>
          <w:sz w:val="44"/>
          <w:szCs w:val="44"/>
          <w:lang w:val="en-US" w:eastAsia="zh-CN"/>
        </w:rPr>
      </w:pPr>
    </w:p>
    <w:p w14:paraId="6D19DD02">
      <w:pPr>
        <w:spacing w:line="660" w:lineRule="exact"/>
        <w:jc w:val="center"/>
        <w:rPr>
          <w:rFonts w:hint="eastAsia" w:ascii="方正小标宋简体" w:eastAsia="方正小标宋简体"/>
          <w:sz w:val="44"/>
          <w:szCs w:val="44"/>
          <w:lang w:val="en-US" w:eastAsia="zh-CN"/>
        </w:rPr>
      </w:pPr>
    </w:p>
    <w:p w14:paraId="6A35E56A">
      <w:pPr>
        <w:spacing w:line="6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2025</w:t>
      </w:r>
      <w:r>
        <w:rPr>
          <w:rFonts w:hint="eastAsia" w:ascii="方正小标宋简体" w:eastAsia="方正小标宋简体"/>
          <w:sz w:val="44"/>
          <w:szCs w:val="44"/>
        </w:rPr>
        <w:t>年度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岳阳市军用供应站</w:t>
      </w:r>
      <w:r>
        <w:rPr>
          <w:rFonts w:hint="eastAsia" w:ascii="方正小标宋简体" w:eastAsia="方正小标宋简体"/>
          <w:sz w:val="44"/>
          <w:szCs w:val="44"/>
        </w:rPr>
        <w:t>整体支出</w:t>
      </w:r>
    </w:p>
    <w:p w14:paraId="7FEB0514">
      <w:pPr>
        <w:spacing w:line="6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绩效自评报告</w:t>
      </w:r>
    </w:p>
    <w:p w14:paraId="2699FB59">
      <w:pPr>
        <w:spacing w:before="156" w:beforeLines="50"/>
        <w:jc w:val="center"/>
        <w:rPr>
          <w:rFonts w:eastAsia="楷体_GB2312"/>
          <w:sz w:val="32"/>
          <w:szCs w:val="32"/>
        </w:rPr>
      </w:pPr>
    </w:p>
    <w:p w14:paraId="6796F9C4">
      <w:pPr>
        <w:jc w:val="center"/>
        <w:rPr>
          <w:rFonts w:eastAsia="黑体"/>
          <w:sz w:val="32"/>
          <w:szCs w:val="32"/>
        </w:rPr>
      </w:pPr>
    </w:p>
    <w:p w14:paraId="5C3383B8">
      <w:pPr>
        <w:jc w:val="center"/>
        <w:rPr>
          <w:rFonts w:eastAsia="黑体"/>
          <w:sz w:val="32"/>
          <w:szCs w:val="32"/>
        </w:rPr>
      </w:pPr>
    </w:p>
    <w:p w14:paraId="0079E5AA">
      <w:pPr>
        <w:jc w:val="center"/>
        <w:rPr>
          <w:rFonts w:eastAsia="黑体"/>
          <w:sz w:val="32"/>
          <w:szCs w:val="32"/>
        </w:rPr>
      </w:pPr>
    </w:p>
    <w:p w14:paraId="1638337B">
      <w:pPr>
        <w:jc w:val="both"/>
        <w:rPr>
          <w:rFonts w:hint="eastAsia" w:eastAsia="黑体"/>
          <w:sz w:val="36"/>
          <w:szCs w:val="36"/>
        </w:rPr>
      </w:pPr>
    </w:p>
    <w:p w14:paraId="638B0209">
      <w:pPr>
        <w:ind w:firstLine="720" w:firstLineChars="200"/>
        <w:jc w:val="center"/>
        <w:rPr>
          <w:rFonts w:hint="eastAsia" w:eastAsia="黑体"/>
          <w:sz w:val="36"/>
          <w:szCs w:val="36"/>
        </w:rPr>
      </w:pPr>
    </w:p>
    <w:p w14:paraId="5A928BBF">
      <w:pPr>
        <w:ind w:firstLine="720" w:firstLineChars="200"/>
        <w:jc w:val="center"/>
        <w:rPr>
          <w:rFonts w:hint="eastAsia" w:eastAsia="黑体"/>
          <w:sz w:val="36"/>
          <w:szCs w:val="36"/>
        </w:rPr>
      </w:pPr>
    </w:p>
    <w:p w14:paraId="15FC19FA">
      <w:pPr>
        <w:ind w:firstLine="720" w:firstLineChars="200"/>
        <w:jc w:val="center"/>
        <w:rPr>
          <w:rFonts w:hint="eastAsia" w:eastAsia="黑体"/>
          <w:sz w:val="36"/>
          <w:szCs w:val="36"/>
        </w:rPr>
      </w:pPr>
    </w:p>
    <w:p w14:paraId="350A8BBD">
      <w:pPr>
        <w:ind w:firstLine="720" w:firstLineChars="200"/>
        <w:jc w:val="center"/>
        <w:rPr>
          <w:rFonts w:hint="eastAsia" w:eastAsia="黑体"/>
          <w:sz w:val="36"/>
          <w:szCs w:val="36"/>
        </w:rPr>
      </w:pPr>
    </w:p>
    <w:p w14:paraId="07581DCF">
      <w:pPr>
        <w:jc w:val="both"/>
        <w:rPr>
          <w:rFonts w:hint="eastAsia" w:eastAsia="黑体"/>
          <w:sz w:val="36"/>
          <w:szCs w:val="36"/>
        </w:rPr>
      </w:pPr>
    </w:p>
    <w:p w14:paraId="60DD9176">
      <w:pPr>
        <w:jc w:val="both"/>
        <w:rPr>
          <w:rFonts w:hint="eastAsia" w:eastAsia="黑体"/>
          <w:sz w:val="36"/>
          <w:szCs w:val="36"/>
        </w:rPr>
      </w:pPr>
    </w:p>
    <w:p w14:paraId="4FA1CAE8">
      <w:pPr>
        <w:jc w:val="center"/>
        <w:rPr>
          <w:rFonts w:hint="eastAsia" w:eastAsia="黑体"/>
          <w:sz w:val="36"/>
          <w:szCs w:val="36"/>
          <w:lang w:eastAsia="zh-CN"/>
        </w:rPr>
      </w:pPr>
      <w:r>
        <w:rPr>
          <w:rFonts w:hint="eastAsia" w:eastAsia="黑体"/>
          <w:sz w:val="36"/>
          <w:szCs w:val="36"/>
        </w:rPr>
        <w:t>单位名称（盖章）：</w:t>
      </w:r>
      <w:r>
        <w:rPr>
          <w:rFonts w:hint="eastAsia" w:eastAsia="黑体"/>
          <w:sz w:val="36"/>
          <w:szCs w:val="36"/>
          <w:lang w:eastAsia="zh-CN"/>
        </w:rPr>
        <w:t>岳阳市军用供应站</w:t>
      </w:r>
    </w:p>
    <w:p w14:paraId="2666BF18">
      <w:pPr>
        <w:jc w:val="center"/>
        <w:rPr>
          <w:rFonts w:hint="eastAsia" w:eastAsia="黑体"/>
          <w:sz w:val="36"/>
          <w:szCs w:val="36"/>
          <w:lang w:val="en-US" w:eastAsia="zh-CN"/>
        </w:rPr>
      </w:pPr>
    </w:p>
    <w:p w14:paraId="20FB708B">
      <w:pPr>
        <w:jc w:val="center"/>
        <w:rPr>
          <w:rFonts w:hint="eastAsia" w:eastAsia="黑体"/>
          <w:sz w:val="36"/>
          <w:szCs w:val="36"/>
          <w:lang w:val="en-US" w:eastAsia="zh-CN"/>
        </w:rPr>
      </w:pPr>
      <w:r>
        <w:rPr>
          <w:rFonts w:hint="eastAsia" w:eastAsia="黑体"/>
          <w:sz w:val="36"/>
          <w:szCs w:val="36"/>
          <w:lang w:val="en-US" w:eastAsia="zh-CN"/>
        </w:rPr>
        <w:t>2025年5月26日</w:t>
      </w:r>
    </w:p>
    <w:p w14:paraId="58730A7D">
      <w:pPr>
        <w:jc w:val="center"/>
        <w:rPr>
          <w:rFonts w:hint="eastAsia" w:eastAsia="黑体"/>
          <w:sz w:val="36"/>
          <w:szCs w:val="36"/>
          <w:lang w:val="en-US" w:eastAsia="zh-CN"/>
        </w:rPr>
      </w:pPr>
    </w:p>
    <w:p w14:paraId="3884F21D">
      <w:pPr>
        <w:jc w:val="both"/>
        <w:rPr>
          <w:rFonts w:hint="eastAsia" w:eastAsia="黑体"/>
          <w:sz w:val="36"/>
          <w:szCs w:val="36"/>
          <w:lang w:val="en-US" w:eastAsia="zh-CN"/>
        </w:rPr>
      </w:pPr>
    </w:p>
    <w:p w14:paraId="2E674F79">
      <w:pPr>
        <w:jc w:val="both"/>
        <w:rPr>
          <w:rFonts w:hint="eastAsia" w:eastAsia="黑体"/>
          <w:sz w:val="36"/>
          <w:szCs w:val="36"/>
          <w:lang w:val="en-US" w:eastAsia="zh-CN"/>
        </w:rPr>
      </w:pPr>
    </w:p>
    <w:p w14:paraId="6E18F5C4"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202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年度岳阳市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军用供应站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整体支出绩效自评报告</w:t>
      </w:r>
    </w:p>
    <w:p w14:paraId="395B608D">
      <w:pPr>
        <w:numPr>
          <w:ilvl w:val="0"/>
          <w:numId w:val="0"/>
        </w:numPr>
        <w:rPr>
          <w:rFonts w:hint="eastAsia"/>
          <w:lang w:eastAsia="zh-CN"/>
        </w:rPr>
      </w:pPr>
    </w:p>
    <w:p w14:paraId="35F5C456">
      <w:pPr>
        <w:numPr>
          <w:ilvl w:val="0"/>
          <w:numId w:val="0"/>
        </w:numPr>
        <w:rPr>
          <w:rFonts w:hint="eastAsia"/>
          <w:lang w:eastAsia="zh-CN"/>
        </w:rPr>
      </w:pPr>
    </w:p>
    <w:p w14:paraId="49BA4244">
      <w:pPr>
        <w:numPr>
          <w:ilvl w:val="0"/>
          <w:numId w:val="0"/>
        </w:numPr>
        <w:ind w:firstLine="640" w:firstLineChars="200"/>
        <w:jc w:val="both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部门（单位）基本情况</w:t>
      </w:r>
    </w:p>
    <w:p w14:paraId="0320B3B8"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（一）职能职责</w:t>
      </w:r>
    </w:p>
    <w:p w14:paraId="65433ED4"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负责成批过往部队、入伍新兵和退伍老兵、支前民兵、民工运输途中的饮食供应保障工作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38FAA9D7"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组织开展军用饮食供应业务训练。</w:t>
      </w:r>
    </w:p>
    <w:p w14:paraId="0363EDEC"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负责提出军供站设施改（扩）建、维修计划和设备添置计划，并组织实施。</w:t>
      </w:r>
    </w:p>
    <w:p w14:paraId="7AF3B92C"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统计分析军用饮食供应任务完成情况，总结改进军用饮食供应工作。</w:t>
      </w:r>
    </w:p>
    <w:p w14:paraId="2193FB23"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负责为过往部队提供军供保障和中转休息服务，承担军供物资、器材采购任务，并在战时协助部队完成集结与疏散任务。</w:t>
      </w:r>
    </w:p>
    <w:p w14:paraId="26929D03"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负责加强与铁路、交通、物资、卫生、公安、财政、通信、电力、供水等相关单位的联络，建立军地联合保障机制。</w:t>
      </w:r>
    </w:p>
    <w:p w14:paraId="1149163E"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负责做好过往部队官兵、武器装备在军供期间的安全保卫工作。</w:t>
      </w:r>
    </w:p>
    <w:p w14:paraId="7958A50B"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完成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上级赋予的其他任务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434D512D"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25B6E9C8"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53996D69">
      <w:pPr>
        <w:numPr>
          <w:ilvl w:val="0"/>
          <w:numId w:val="0"/>
        </w:numPr>
        <w:ind w:firstLine="640" w:firstLineChars="200"/>
        <w:jc w:val="both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（二）</w:t>
      </w:r>
      <w:r>
        <w:rPr>
          <w:rFonts w:hint="eastAsia" w:ascii="仿宋" w:hAnsi="仿宋" w:eastAsia="仿宋" w:cs="仿宋"/>
          <w:sz w:val="32"/>
          <w:szCs w:val="32"/>
        </w:rPr>
        <w:t>机构设置</w:t>
      </w:r>
    </w:p>
    <w:p w14:paraId="6031087A"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岳阳市军用供应</w:t>
      </w:r>
      <w:r>
        <w:rPr>
          <w:rFonts w:hint="eastAsia" w:ascii="仿宋" w:hAnsi="仿宋" w:eastAsia="仿宋" w:cs="仿宋"/>
          <w:sz w:val="32"/>
          <w:szCs w:val="32"/>
        </w:rPr>
        <w:t>站编制隶属于市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退役军人事务</w:t>
      </w:r>
      <w:r>
        <w:rPr>
          <w:rFonts w:hint="eastAsia" w:ascii="仿宋" w:hAnsi="仿宋" w:eastAsia="仿宋" w:cs="仿宋"/>
          <w:sz w:val="32"/>
          <w:szCs w:val="32"/>
        </w:rPr>
        <w:t>局，为正科级全额拨款事业单位，业务上受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南部</w:t>
      </w:r>
      <w:r>
        <w:rPr>
          <w:rFonts w:hint="eastAsia" w:ascii="仿宋" w:hAnsi="仿宋" w:eastAsia="仿宋" w:cs="仿宋"/>
          <w:sz w:val="32"/>
          <w:szCs w:val="32"/>
        </w:rPr>
        <w:t>战区军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事运输投送中心</w:t>
      </w:r>
      <w:r>
        <w:rPr>
          <w:rFonts w:hint="eastAsia" w:ascii="仿宋" w:hAnsi="仿宋" w:eastAsia="仿宋" w:cs="仿宋"/>
          <w:sz w:val="32"/>
          <w:szCs w:val="32"/>
        </w:rPr>
        <w:t>及驻省军代部门指导。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下设办公室、政工室、军供保障部、装备维护部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4个职能部室，</w:t>
      </w:r>
      <w:r>
        <w:rPr>
          <w:rFonts w:hint="eastAsia" w:ascii="仿宋" w:hAnsi="仿宋" w:eastAsia="仿宋" w:cs="仿宋"/>
          <w:sz w:val="32"/>
          <w:szCs w:val="32"/>
        </w:rPr>
        <w:t>现有在编干部职工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15</w:t>
      </w:r>
      <w:r>
        <w:rPr>
          <w:rFonts w:hint="eastAsia" w:ascii="仿宋" w:hAnsi="仿宋" w:eastAsia="仿宋" w:cs="仿宋"/>
          <w:sz w:val="32"/>
          <w:szCs w:val="32"/>
        </w:rPr>
        <w:t>人，占地面积为18164.5平方米，建筑面积4850.66平方米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是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市政府支前组织机构和战备设施</w:t>
      </w:r>
      <w:r>
        <w:rPr>
          <w:rFonts w:hint="eastAsia" w:ascii="仿宋" w:hAnsi="仿宋" w:eastAsia="仿宋" w:cs="仿宋"/>
          <w:sz w:val="32"/>
          <w:szCs w:val="32"/>
        </w:rPr>
        <w:t>，主要担负着京广铁路沿线过往部队的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后勤保障</w:t>
      </w:r>
      <w:r>
        <w:rPr>
          <w:rFonts w:hint="eastAsia" w:ascii="仿宋" w:hAnsi="仿宋" w:eastAsia="仿宋" w:cs="仿宋"/>
          <w:sz w:val="32"/>
          <w:szCs w:val="32"/>
        </w:rPr>
        <w:t>任务。</w:t>
      </w:r>
    </w:p>
    <w:p w14:paraId="59C44167">
      <w:pPr>
        <w:numPr>
          <w:ilvl w:val="0"/>
          <w:numId w:val="0"/>
        </w:numPr>
        <w:ind w:firstLine="640" w:firstLineChars="200"/>
        <w:jc w:val="both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一般公共预算支出情况</w:t>
      </w:r>
    </w:p>
    <w:p w14:paraId="7B087116"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（一）</w:t>
      </w:r>
      <w:r>
        <w:rPr>
          <w:rFonts w:hint="eastAsia" w:ascii="仿宋" w:hAnsi="仿宋" w:eastAsia="仿宋" w:cs="仿宋"/>
          <w:sz w:val="32"/>
          <w:szCs w:val="32"/>
        </w:rPr>
        <w:t>基本支出情况</w:t>
      </w:r>
    </w:p>
    <w:p w14:paraId="3451F24C"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我单位本年度总支出为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290.34</w:t>
      </w:r>
      <w:r>
        <w:rPr>
          <w:rFonts w:hint="eastAsia" w:ascii="仿宋" w:hAnsi="仿宋" w:eastAsia="仿宋" w:cs="仿宋"/>
          <w:sz w:val="32"/>
          <w:szCs w:val="32"/>
        </w:rPr>
        <w:t>万元，其中基本支出为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280.84</w:t>
      </w:r>
      <w:r>
        <w:rPr>
          <w:rFonts w:hint="eastAsia" w:ascii="仿宋" w:hAnsi="仿宋" w:eastAsia="仿宋" w:cs="仿宋"/>
          <w:sz w:val="32"/>
          <w:szCs w:val="32"/>
        </w:rPr>
        <w:t>万元，占支出总额的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96.73</w:t>
      </w:r>
      <w:r>
        <w:rPr>
          <w:rFonts w:hint="eastAsia" w:ascii="仿宋" w:hAnsi="仿宋" w:eastAsia="仿宋" w:cs="仿宋"/>
          <w:sz w:val="32"/>
          <w:szCs w:val="32"/>
        </w:rPr>
        <w:t>%。我单位本年度基本支出中人员经费支出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247.46</w:t>
      </w:r>
      <w:r>
        <w:rPr>
          <w:rFonts w:hint="eastAsia" w:ascii="仿宋" w:hAnsi="仿宋" w:eastAsia="仿宋" w:cs="仿宋"/>
          <w:sz w:val="32"/>
          <w:szCs w:val="32"/>
        </w:rPr>
        <w:t>万元，占比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88.11</w:t>
      </w:r>
      <w:r>
        <w:rPr>
          <w:rFonts w:hint="eastAsia" w:ascii="仿宋" w:hAnsi="仿宋" w:eastAsia="仿宋" w:cs="仿宋"/>
          <w:sz w:val="32"/>
          <w:szCs w:val="32"/>
        </w:rPr>
        <w:t>%；公用经费支出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33.38</w:t>
      </w:r>
      <w:r>
        <w:rPr>
          <w:rFonts w:hint="eastAsia" w:ascii="仿宋" w:hAnsi="仿宋" w:eastAsia="仿宋" w:cs="仿宋"/>
          <w:sz w:val="32"/>
          <w:szCs w:val="32"/>
        </w:rPr>
        <w:t>万元，占比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11.89</w:t>
      </w:r>
      <w:r>
        <w:rPr>
          <w:rFonts w:hint="eastAsia" w:ascii="仿宋" w:hAnsi="仿宋" w:eastAsia="仿宋" w:cs="仿宋"/>
          <w:sz w:val="32"/>
          <w:szCs w:val="32"/>
        </w:rPr>
        <w:t>%。主要是用于开支我单位职工基本工资福利、对个人和家庭的补助、商品和服务支出等费用。</w:t>
      </w:r>
    </w:p>
    <w:p w14:paraId="5179D219"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（二）</w:t>
      </w:r>
      <w:r>
        <w:rPr>
          <w:rFonts w:hint="eastAsia" w:ascii="仿宋" w:hAnsi="仿宋" w:eastAsia="仿宋" w:cs="仿宋"/>
          <w:sz w:val="32"/>
          <w:szCs w:val="32"/>
        </w:rPr>
        <w:t>项目支出情况</w:t>
      </w:r>
    </w:p>
    <w:p w14:paraId="568A166A"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我单位本年度总支出为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290.34</w:t>
      </w:r>
      <w:r>
        <w:rPr>
          <w:rFonts w:hint="eastAsia" w:ascii="仿宋" w:hAnsi="仿宋" w:eastAsia="仿宋" w:cs="仿宋"/>
          <w:sz w:val="32"/>
          <w:szCs w:val="32"/>
        </w:rPr>
        <w:t>万元，其中项目支出为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9.5</w:t>
      </w:r>
      <w:r>
        <w:rPr>
          <w:rFonts w:hint="eastAsia" w:ascii="仿宋" w:hAnsi="仿宋" w:eastAsia="仿宋" w:cs="仿宋"/>
          <w:sz w:val="32"/>
          <w:szCs w:val="32"/>
        </w:rPr>
        <w:t>万元，占支出总额的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3.27</w:t>
      </w:r>
      <w:r>
        <w:rPr>
          <w:rFonts w:hint="eastAsia" w:ascii="仿宋" w:hAnsi="仿宋" w:eastAsia="仿宋" w:cs="仿宋"/>
          <w:sz w:val="32"/>
          <w:szCs w:val="32"/>
        </w:rPr>
        <w:t>%。主要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用于过往部队饮食饮水供应及中转住宿保障任务、基础设施改造及设备添置</w:t>
      </w:r>
      <w:r>
        <w:rPr>
          <w:rFonts w:hint="eastAsia" w:ascii="仿宋" w:hAnsi="仿宋" w:eastAsia="仿宋" w:cs="仿宋"/>
          <w:sz w:val="32"/>
          <w:szCs w:val="32"/>
        </w:rPr>
        <w:t>等项目开支。</w:t>
      </w:r>
    </w:p>
    <w:p w14:paraId="48282098"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</w:t>
      </w:r>
      <w:r>
        <w:rPr>
          <w:rFonts w:hint="eastAsia" w:ascii="黑体" w:hAnsi="黑体" w:eastAsia="黑体" w:cs="黑体"/>
          <w:sz w:val="32"/>
          <w:szCs w:val="32"/>
        </w:rPr>
        <w:t>政府性基金预算支出情况</w:t>
      </w:r>
    </w:p>
    <w:p w14:paraId="060D7CFB"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我单位本年度无政府性基金安排的预算收入与支出，所以无政府性基金预算支出情况表。</w:t>
      </w:r>
    </w:p>
    <w:p w14:paraId="31D43D5E">
      <w:pPr>
        <w:numPr>
          <w:ilvl w:val="0"/>
          <w:numId w:val="0"/>
        </w:numPr>
        <w:ind w:firstLine="640" w:firstLineChars="200"/>
        <w:jc w:val="both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</w:t>
      </w:r>
      <w:r>
        <w:rPr>
          <w:rFonts w:hint="eastAsia" w:ascii="黑体" w:hAnsi="黑体" w:eastAsia="黑体" w:cs="黑体"/>
          <w:sz w:val="32"/>
          <w:szCs w:val="32"/>
        </w:rPr>
        <w:t>国有资本经营预算支出情况</w:t>
      </w:r>
    </w:p>
    <w:p w14:paraId="58863B23"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我单位本年度无国有资本经营安排的预算收入与支出，所以无国有资本经营预算支出情况表。</w:t>
      </w:r>
    </w:p>
    <w:p w14:paraId="45248CE0"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五、</w:t>
      </w:r>
      <w:r>
        <w:rPr>
          <w:rFonts w:hint="eastAsia" w:ascii="黑体" w:hAnsi="黑体" w:eastAsia="黑体" w:cs="黑体"/>
          <w:sz w:val="32"/>
          <w:szCs w:val="32"/>
        </w:rPr>
        <w:t>社会保险基金预算支出情况</w:t>
      </w:r>
    </w:p>
    <w:p w14:paraId="5A928A56"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我单位本年度无社会保险基金预算安排的收入与支出，所以无社会保险基金预算支出情况表。</w:t>
      </w:r>
    </w:p>
    <w:p w14:paraId="7A16D4C7">
      <w:pPr>
        <w:numPr>
          <w:ilvl w:val="0"/>
          <w:numId w:val="0"/>
        </w:numPr>
        <w:ind w:leftChars="0" w:firstLine="640" w:firstLineChars="200"/>
        <w:jc w:val="both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六、</w:t>
      </w:r>
      <w:r>
        <w:rPr>
          <w:rFonts w:hint="eastAsia" w:ascii="黑体" w:hAnsi="黑体" w:eastAsia="黑体" w:cs="黑体"/>
          <w:sz w:val="32"/>
          <w:szCs w:val="32"/>
        </w:rPr>
        <w:t>部门整体支出绩效情况</w:t>
      </w:r>
    </w:p>
    <w:p w14:paraId="0F038ADF">
      <w:pPr>
        <w:numPr>
          <w:ilvl w:val="0"/>
          <w:numId w:val="0"/>
        </w:numPr>
        <w:ind w:leftChars="0"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我单位本年度在市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局</w:t>
      </w:r>
      <w:r>
        <w:rPr>
          <w:rFonts w:hint="eastAsia" w:ascii="仿宋" w:hAnsi="仿宋" w:eastAsia="仿宋" w:cs="仿宋"/>
          <w:sz w:val="32"/>
          <w:szCs w:val="32"/>
        </w:rPr>
        <w:t>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重视</w:t>
      </w:r>
      <w:r>
        <w:rPr>
          <w:rFonts w:hint="eastAsia" w:ascii="仿宋" w:hAnsi="仿宋" w:eastAsia="仿宋" w:cs="仿宋"/>
          <w:sz w:val="32"/>
          <w:szCs w:val="32"/>
        </w:rPr>
        <w:t>下，我单位成立了预算绩效领导工作小组，分管财务领导任组长。按照要求，认真组织开展我单位的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部门整体</w:t>
      </w:r>
      <w:r>
        <w:rPr>
          <w:rFonts w:hint="eastAsia" w:ascii="仿宋" w:hAnsi="仿宋" w:eastAsia="仿宋" w:cs="仿宋"/>
          <w:sz w:val="32"/>
          <w:szCs w:val="32"/>
        </w:rPr>
        <w:t>预算绩效工作。</w:t>
      </w:r>
    </w:p>
    <w:p w14:paraId="37633DBC">
      <w:pPr>
        <w:numPr>
          <w:ilvl w:val="0"/>
          <w:numId w:val="0"/>
        </w:numPr>
        <w:ind w:firstLine="320" w:firstLineChars="1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（一）</w:t>
      </w:r>
      <w:r>
        <w:rPr>
          <w:rFonts w:hint="eastAsia" w:ascii="仿宋" w:hAnsi="仿宋" w:eastAsia="仿宋" w:cs="仿宋"/>
          <w:sz w:val="32"/>
          <w:szCs w:val="32"/>
        </w:rPr>
        <w:t>收入支出预算安排情况</w:t>
      </w:r>
    </w:p>
    <w:p w14:paraId="6DC1D4E7"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本年度我单位年初预算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收入安排为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290.34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万元，与上年相比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8.1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%，主要是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人员增加导致相应对应经费有所增加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。</w:t>
      </w:r>
    </w:p>
    <w:p w14:paraId="73F73B4C"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本年度我单位年初预算支出安排为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290.34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万元，与上年相比增加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8.1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%，主要是本年度</w:t>
      </w:r>
      <w:r>
        <w:rPr>
          <w:rFonts w:hint="eastAsia" w:ascii="仿宋" w:hAnsi="仿宋" w:eastAsia="仿宋" w:cs="仿宋"/>
          <w:sz w:val="32"/>
          <w:szCs w:val="32"/>
        </w:rPr>
        <w:t>财政足额安排职工伙食补助费等人员经费开支。</w:t>
      </w:r>
    </w:p>
    <w:p w14:paraId="09504FD0">
      <w:pPr>
        <w:numPr>
          <w:ilvl w:val="0"/>
          <w:numId w:val="0"/>
        </w:numPr>
        <w:ind w:leftChars="0" w:firstLine="320" w:firstLineChars="1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（二）</w:t>
      </w:r>
      <w:r>
        <w:rPr>
          <w:rFonts w:hint="eastAsia" w:ascii="仿宋" w:hAnsi="仿宋" w:eastAsia="仿宋" w:cs="仿宋"/>
          <w:sz w:val="32"/>
          <w:szCs w:val="32"/>
        </w:rPr>
        <w:t>收入支出预算执行情况</w:t>
      </w:r>
    </w:p>
    <w:p w14:paraId="17C5A9A7"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本年度我单位收入与支出预算执行均为100%，与去年相比保持一致。</w:t>
      </w:r>
    </w:p>
    <w:p w14:paraId="162861F5">
      <w:pPr>
        <w:numPr>
          <w:ilvl w:val="0"/>
          <w:numId w:val="0"/>
        </w:numPr>
        <w:ind w:firstLine="643" w:firstLineChars="200"/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208617B3">
      <w:pPr>
        <w:numPr>
          <w:ilvl w:val="0"/>
          <w:numId w:val="0"/>
        </w:numPr>
        <w:ind w:firstLine="643" w:firstLineChars="200"/>
        <w:jc w:val="both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收入支出与预算对比分析</w:t>
      </w:r>
    </w:p>
    <w:p w14:paraId="6638873F"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我单位一般公共服务支出预算安排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290.34</w:t>
      </w:r>
      <w:r>
        <w:rPr>
          <w:rFonts w:hint="eastAsia" w:ascii="仿宋" w:hAnsi="仿宋" w:eastAsia="仿宋" w:cs="仿宋"/>
          <w:sz w:val="32"/>
          <w:szCs w:val="32"/>
        </w:rPr>
        <w:t>万元，决算支出数为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380.05</w:t>
      </w:r>
      <w:r>
        <w:rPr>
          <w:rFonts w:hint="eastAsia" w:ascii="仿宋" w:hAnsi="仿宋" w:eastAsia="仿宋" w:cs="仿宋"/>
          <w:sz w:val="32"/>
          <w:szCs w:val="32"/>
        </w:rPr>
        <w:t>万元，主要是财政追加拨付人员经费差额部分以及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基础设施改造及设备添置</w:t>
      </w:r>
      <w:r>
        <w:rPr>
          <w:rFonts w:hint="eastAsia" w:ascii="仿宋" w:hAnsi="仿宋" w:eastAsia="仿宋" w:cs="仿宋"/>
          <w:sz w:val="32"/>
          <w:szCs w:val="32"/>
        </w:rPr>
        <w:t>等；</w:t>
      </w:r>
    </w:p>
    <w:p w14:paraId="338686AB"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我单位社会保障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和就业</w:t>
      </w:r>
      <w:r>
        <w:rPr>
          <w:rFonts w:hint="eastAsia" w:ascii="仿宋" w:hAnsi="仿宋" w:eastAsia="仿宋" w:cs="仿宋"/>
          <w:sz w:val="32"/>
          <w:szCs w:val="32"/>
        </w:rPr>
        <w:t>支出预算安排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248.34</w:t>
      </w:r>
      <w:r>
        <w:rPr>
          <w:rFonts w:hint="eastAsia" w:ascii="仿宋" w:hAnsi="仿宋" w:eastAsia="仿宋" w:cs="仿宋"/>
          <w:sz w:val="32"/>
          <w:szCs w:val="32"/>
        </w:rPr>
        <w:t>万元，决算支出数为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248.66</w:t>
      </w:r>
      <w:r>
        <w:rPr>
          <w:rFonts w:hint="eastAsia" w:ascii="仿宋" w:hAnsi="仿宋" w:eastAsia="仿宋" w:cs="仿宋"/>
          <w:sz w:val="32"/>
          <w:szCs w:val="32"/>
        </w:rPr>
        <w:t>万元，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因普调人员工资导致医保缴费基数增加</w:t>
      </w:r>
      <w:r>
        <w:rPr>
          <w:rFonts w:hint="eastAsia" w:ascii="仿宋" w:hAnsi="仿宋" w:eastAsia="仿宋" w:cs="仿宋"/>
          <w:sz w:val="32"/>
          <w:szCs w:val="32"/>
        </w:rPr>
        <w:t>；</w:t>
      </w:r>
    </w:p>
    <w:p w14:paraId="54F16B23"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我单位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卫生健康</w:t>
      </w:r>
      <w:r>
        <w:rPr>
          <w:rFonts w:hint="eastAsia" w:ascii="仿宋" w:hAnsi="仿宋" w:eastAsia="仿宋" w:cs="仿宋"/>
          <w:sz w:val="32"/>
          <w:szCs w:val="32"/>
        </w:rPr>
        <w:t>支出预算安排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16.6</w:t>
      </w:r>
      <w:r>
        <w:rPr>
          <w:rFonts w:hint="eastAsia" w:ascii="仿宋" w:hAnsi="仿宋" w:eastAsia="仿宋" w:cs="仿宋"/>
          <w:sz w:val="32"/>
          <w:szCs w:val="32"/>
        </w:rPr>
        <w:t>万元，决算支出数为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17.17</w:t>
      </w:r>
      <w:r>
        <w:rPr>
          <w:rFonts w:hint="eastAsia" w:ascii="仿宋" w:hAnsi="仿宋" w:eastAsia="仿宋" w:cs="仿宋"/>
          <w:sz w:val="32"/>
          <w:szCs w:val="32"/>
        </w:rPr>
        <w:t>万元，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因普调人员工资导致医保缴费基数增加</w:t>
      </w:r>
      <w:r>
        <w:rPr>
          <w:rFonts w:hint="eastAsia" w:ascii="仿宋" w:hAnsi="仿宋" w:eastAsia="仿宋" w:cs="仿宋"/>
          <w:sz w:val="32"/>
          <w:szCs w:val="32"/>
        </w:rPr>
        <w:t>；</w:t>
      </w:r>
    </w:p>
    <w:p w14:paraId="5C88F7B1"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我单位住房保障支出预算安排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15.9</w:t>
      </w:r>
      <w:r>
        <w:rPr>
          <w:rFonts w:hint="eastAsia" w:ascii="仿宋" w:hAnsi="仿宋" w:eastAsia="仿宋" w:cs="仿宋"/>
          <w:sz w:val="32"/>
          <w:szCs w:val="32"/>
        </w:rPr>
        <w:t>万元，决算支出数为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15.81</w:t>
      </w:r>
      <w:r>
        <w:rPr>
          <w:rFonts w:hint="eastAsia" w:ascii="仿宋" w:hAnsi="仿宋" w:eastAsia="仿宋" w:cs="仿宋"/>
          <w:sz w:val="32"/>
          <w:szCs w:val="32"/>
        </w:rPr>
        <w:t>万元，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预算与决算基本持平。</w:t>
      </w:r>
    </w:p>
    <w:p w14:paraId="3D748065">
      <w:pPr>
        <w:numPr>
          <w:ilvl w:val="0"/>
          <w:numId w:val="0"/>
        </w:numPr>
        <w:ind w:firstLine="643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收入支出结构分析</w:t>
      </w:r>
    </w:p>
    <w:p w14:paraId="3ABF80E1"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本年度我单位收入总额为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290.34</w:t>
      </w:r>
      <w:r>
        <w:rPr>
          <w:rFonts w:hint="eastAsia" w:ascii="仿宋" w:hAnsi="仿宋" w:eastAsia="仿宋" w:cs="仿宋"/>
          <w:sz w:val="32"/>
          <w:szCs w:val="32"/>
        </w:rPr>
        <w:t>万元，与上年相比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8.1</w:t>
      </w:r>
      <w:r>
        <w:rPr>
          <w:rFonts w:hint="eastAsia" w:ascii="仿宋" w:hAnsi="仿宋" w:eastAsia="仿宋" w:cs="仿宋"/>
          <w:sz w:val="32"/>
          <w:szCs w:val="32"/>
        </w:rPr>
        <w:t>%，主要是本年度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工资进行了普调</w:t>
      </w:r>
      <w:r>
        <w:rPr>
          <w:rFonts w:hint="eastAsia" w:ascii="仿宋" w:hAnsi="仿宋" w:eastAsia="仿宋" w:cs="仿宋"/>
          <w:sz w:val="32"/>
          <w:szCs w:val="32"/>
        </w:rPr>
        <w:t>。其中财政拨款收入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290.34</w:t>
      </w:r>
      <w:r>
        <w:rPr>
          <w:rFonts w:hint="eastAsia" w:ascii="仿宋" w:hAnsi="仿宋" w:eastAsia="仿宋" w:cs="仿宋"/>
          <w:sz w:val="32"/>
          <w:szCs w:val="32"/>
        </w:rPr>
        <w:t>万元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3820E9B7"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本年度我单位支出总额为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290.34</w:t>
      </w:r>
      <w:r>
        <w:rPr>
          <w:rFonts w:hint="eastAsia" w:ascii="仿宋" w:hAnsi="仿宋" w:eastAsia="仿宋" w:cs="仿宋"/>
          <w:sz w:val="32"/>
          <w:szCs w:val="32"/>
        </w:rPr>
        <w:t>万元，与上年相比增加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8.1</w:t>
      </w:r>
      <w:r>
        <w:rPr>
          <w:rFonts w:hint="eastAsia" w:ascii="仿宋" w:hAnsi="仿宋" w:eastAsia="仿宋" w:cs="仿宋"/>
          <w:sz w:val="32"/>
          <w:szCs w:val="32"/>
        </w:rPr>
        <w:t>%，主要是本年度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工资进行了普调</w:t>
      </w:r>
      <w:r>
        <w:rPr>
          <w:rFonts w:hint="eastAsia" w:ascii="仿宋" w:hAnsi="仿宋" w:eastAsia="仿宋" w:cs="仿宋"/>
          <w:sz w:val="32"/>
          <w:szCs w:val="32"/>
        </w:rPr>
        <w:t>。其中财政拨款收入支出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290.34</w:t>
      </w:r>
      <w:r>
        <w:rPr>
          <w:rFonts w:hint="eastAsia" w:ascii="仿宋" w:hAnsi="仿宋" w:eastAsia="仿宋" w:cs="仿宋"/>
          <w:sz w:val="32"/>
          <w:szCs w:val="32"/>
        </w:rPr>
        <w:t>万元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0538D2EF">
      <w:pPr>
        <w:numPr>
          <w:ilvl w:val="0"/>
          <w:numId w:val="0"/>
        </w:numPr>
        <w:ind w:firstLine="643" w:firstLineChars="200"/>
        <w:jc w:val="both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支出按经济分类科目分析</w:t>
      </w:r>
    </w:p>
    <w:p w14:paraId="6E7817E7"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）“三公”</w:t>
      </w:r>
      <w:r>
        <w:rPr>
          <w:rFonts w:hint="eastAsia" w:ascii="仿宋" w:hAnsi="仿宋" w:eastAsia="仿宋" w:cs="仿宋"/>
          <w:sz w:val="32"/>
          <w:szCs w:val="32"/>
        </w:rPr>
        <w:t>经费支出情况：本年度我单位使用财政拨款收入支付的三公经费总额为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6.2</w:t>
      </w:r>
      <w:r>
        <w:rPr>
          <w:rFonts w:hint="eastAsia" w:ascii="仿宋" w:hAnsi="仿宋" w:eastAsia="仿宋" w:cs="仿宋"/>
          <w:sz w:val="32"/>
          <w:szCs w:val="32"/>
        </w:rPr>
        <w:t>万元，与去年相比，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27.31</w:t>
      </w:r>
      <w:r>
        <w:rPr>
          <w:rFonts w:hint="eastAsia" w:ascii="仿宋" w:hAnsi="仿宋" w:eastAsia="仿宋" w:cs="仿宋"/>
          <w:sz w:val="32"/>
          <w:szCs w:val="32"/>
        </w:rPr>
        <w:t>%，主要是我单位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加强对公务用车的日常维护和保养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7C2CADAB"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会议费支出情况：本年度我单位会议费支出总额为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万元，与去年相比减少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%。</w:t>
      </w:r>
    </w:p>
    <w:p w14:paraId="46B1803F"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培训费支出情况：本年度我单位培训费支出总额为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0.5</w:t>
      </w:r>
      <w:r>
        <w:rPr>
          <w:rFonts w:hint="eastAsia" w:ascii="仿宋" w:hAnsi="仿宋" w:eastAsia="仿宋" w:cs="仿宋"/>
          <w:sz w:val="32"/>
          <w:szCs w:val="32"/>
        </w:rPr>
        <w:t>万元，与去年相比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增加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100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</w:t>
      </w:r>
      <w:r>
        <w:rPr>
          <w:rFonts w:hint="eastAsia" w:ascii="仿宋" w:hAnsi="仿宋" w:eastAsia="仿宋" w:cs="仿宋"/>
          <w:sz w:val="32"/>
          <w:szCs w:val="32"/>
        </w:rPr>
        <w:t>。主要是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对我单位在职人员进行事业单位人员继续教育培训。</w:t>
      </w:r>
    </w:p>
    <w:p w14:paraId="3F0A456C">
      <w:pPr>
        <w:numPr>
          <w:ilvl w:val="0"/>
          <w:numId w:val="0"/>
        </w:numPr>
        <w:ind w:firstLine="643" w:firstLineChars="200"/>
        <w:jc w:val="both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财政拨款收入、支出分析</w:t>
      </w:r>
    </w:p>
    <w:p w14:paraId="2D8FFAA1"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本年度我单位财政拨款收入及支出总额均为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290.34</w:t>
      </w:r>
      <w:r>
        <w:rPr>
          <w:rFonts w:hint="eastAsia" w:ascii="仿宋" w:hAnsi="仿宋" w:eastAsia="仿宋" w:cs="仿宋"/>
          <w:sz w:val="32"/>
          <w:szCs w:val="32"/>
        </w:rPr>
        <w:t>万元，无财政拨款结转。其中基本支出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280.84</w:t>
      </w:r>
      <w:r>
        <w:rPr>
          <w:rFonts w:hint="eastAsia" w:ascii="仿宋" w:hAnsi="仿宋" w:eastAsia="仿宋" w:cs="仿宋"/>
          <w:sz w:val="32"/>
          <w:szCs w:val="32"/>
        </w:rPr>
        <w:t>万元，主要是职工工资福利及公用经费开支等；项目支出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9.5</w:t>
      </w:r>
      <w:r>
        <w:rPr>
          <w:rFonts w:hint="eastAsia" w:ascii="仿宋" w:hAnsi="仿宋" w:eastAsia="仿宋" w:cs="仿宋"/>
          <w:sz w:val="32"/>
          <w:szCs w:val="32"/>
        </w:rPr>
        <w:t>万元，主要是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负责过往部队就餐饮食保障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1876209B">
      <w:pPr>
        <w:numPr>
          <w:ilvl w:val="0"/>
          <w:numId w:val="0"/>
        </w:numPr>
        <w:ind w:leftChars="0"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（三）</w:t>
      </w:r>
      <w:r>
        <w:rPr>
          <w:rFonts w:hint="eastAsia" w:ascii="仿宋" w:hAnsi="仿宋" w:eastAsia="仿宋" w:cs="仿宋"/>
          <w:sz w:val="32"/>
          <w:szCs w:val="32"/>
        </w:rPr>
        <w:t>我单位本年度无年末结转结余。</w:t>
      </w:r>
    </w:p>
    <w:p w14:paraId="1D535321">
      <w:pPr>
        <w:numPr>
          <w:ilvl w:val="0"/>
          <w:numId w:val="0"/>
        </w:numPr>
        <w:ind w:leftChars="0"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（四）</w:t>
      </w:r>
      <w:r>
        <w:rPr>
          <w:rFonts w:hint="eastAsia" w:ascii="仿宋" w:hAnsi="仿宋" w:eastAsia="仿宋" w:cs="仿宋"/>
          <w:sz w:val="32"/>
          <w:szCs w:val="32"/>
        </w:rPr>
        <w:t>其他需要说明的情况</w:t>
      </w:r>
    </w:p>
    <w:p w14:paraId="0FA3D0E6"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我单位年初预算下达时，项目支出包含了伙食补助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经费</w:t>
      </w:r>
      <w:r>
        <w:rPr>
          <w:rFonts w:hint="eastAsia" w:ascii="仿宋" w:hAnsi="仿宋" w:eastAsia="仿宋" w:cs="仿宋"/>
          <w:sz w:val="32"/>
          <w:szCs w:val="32"/>
        </w:rPr>
        <w:t>、工会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经费</w:t>
      </w:r>
      <w:r>
        <w:rPr>
          <w:rFonts w:hint="eastAsia" w:ascii="仿宋" w:hAnsi="仿宋" w:eastAsia="仿宋" w:cs="仿宋"/>
          <w:sz w:val="32"/>
          <w:szCs w:val="32"/>
        </w:rPr>
        <w:t>、物业补贴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经费</w:t>
      </w:r>
      <w:r>
        <w:rPr>
          <w:rFonts w:hint="eastAsia" w:ascii="仿宋" w:hAnsi="仿宋" w:eastAsia="仿宋" w:cs="仿宋"/>
          <w:sz w:val="32"/>
          <w:szCs w:val="32"/>
        </w:rPr>
        <w:t>等，由于结合实际开展发生经济业务进行分析，该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项目</w:t>
      </w:r>
      <w:r>
        <w:rPr>
          <w:rFonts w:hint="eastAsia" w:ascii="仿宋" w:hAnsi="仿宋" w:eastAsia="仿宋" w:cs="仿宋"/>
          <w:sz w:val="32"/>
          <w:szCs w:val="32"/>
        </w:rPr>
        <w:t>开支的均为我单位职工工资福利类支出以及日常公用经费类支出，因此在本年度归口统计时纳入了基本支出进行统计。</w:t>
      </w:r>
    </w:p>
    <w:p w14:paraId="16FB58C7">
      <w:pPr>
        <w:numPr>
          <w:ilvl w:val="0"/>
          <w:numId w:val="0"/>
        </w:numPr>
        <w:ind w:firstLine="640" w:firstLineChars="200"/>
        <w:jc w:val="both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七、</w:t>
      </w:r>
      <w:r>
        <w:rPr>
          <w:rFonts w:hint="eastAsia" w:ascii="黑体" w:hAnsi="黑体" w:eastAsia="黑体" w:cs="黑体"/>
          <w:sz w:val="32"/>
          <w:szCs w:val="32"/>
        </w:rPr>
        <w:t>存在的问题及原因分析</w:t>
      </w:r>
    </w:p>
    <w:p w14:paraId="1CC374FE">
      <w:pPr>
        <w:numPr>
          <w:ilvl w:val="0"/>
          <w:numId w:val="0"/>
        </w:numPr>
        <w:ind w:firstLine="643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1、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系统使用不熟练。</w:t>
      </w:r>
      <w:r>
        <w:rPr>
          <w:rFonts w:hint="eastAsia" w:ascii="仿宋" w:hAnsi="仿宋" w:eastAsia="仿宋" w:cs="仿宋"/>
          <w:sz w:val="32"/>
          <w:szCs w:val="32"/>
        </w:rPr>
        <w:t>近段时间以来，按照财政要求，我单位使用预算一体化系统开始进行预算的编制与执行，由于系统新上线，人员业务熟练度不够，系统稳定性不够，后台公式变化性较大，部分业务开展比较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缓慢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3A64B32A">
      <w:pPr>
        <w:numPr>
          <w:ilvl w:val="0"/>
          <w:numId w:val="0"/>
        </w:numPr>
        <w:ind w:firstLine="643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预算编制不精准。</w:t>
      </w:r>
      <w:r>
        <w:rPr>
          <w:rFonts w:hint="eastAsia" w:ascii="仿宋" w:hAnsi="仿宋" w:eastAsia="仿宋" w:cs="仿宋"/>
          <w:sz w:val="32"/>
          <w:szCs w:val="32"/>
        </w:rPr>
        <w:t>由于我单位除了财政拨款资金外，有一部分其他资金的收支。年初进行预算编制以及年中使用预算一体化系统执行相关操作时，由于年初部门经济科目编制不够完善，导致预算执行不够一致。</w:t>
      </w:r>
    </w:p>
    <w:p w14:paraId="6D2C336D">
      <w:pPr>
        <w:numPr>
          <w:ilvl w:val="0"/>
          <w:numId w:val="0"/>
        </w:numPr>
        <w:ind w:firstLine="640" w:firstLineChars="200"/>
        <w:jc w:val="both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八、</w:t>
      </w:r>
      <w:r>
        <w:rPr>
          <w:rFonts w:hint="eastAsia" w:ascii="黑体" w:hAnsi="黑体" w:eastAsia="黑体" w:cs="黑体"/>
          <w:sz w:val="32"/>
          <w:szCs w:val="32"/>
        </w:rPr>
        <w:t>下一步改进措施</w:t>
      </w:r>
    </w:p>
    <w:p w14:paraId="6AC15ED6">
      <w:pPr>
        <w:numPr>
          <w:ilvl w:val="0"/>
          <w:numId w:val="0"/>
        </w:numPr>
        <w:ind w:firstLine="643" w:firstLineChars="200"/>
        <w:jc w:val="both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1、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加强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协作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加强各部门协作、社会参与机制，整合社会资源，优化社会资源配置，建立监督机制，加大奖惩力度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07B0023F">
      <w:pPr>
        <w:numPr>
          <w:ilvl w:val="0"/>
          <w:numId w:val="0"/>
        </w:numPr>
        <w:ind w:firstLine="643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2、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加强培训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加强各部门的队伍建设和业务指导，培养部门的绩效管理队伍，建立绩效评价的长期机制。</w:t>
      </w:r>
    </w:p>
    <w:p w14:paraId="1CAA209C">
      <w:pPr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九、</w:t>
      </w:r>
      <w:r>
        <w:rPr>
          <w:rFonts w:hint="eastAsia" w:ascii="黑体" w:hAnsi="黑体" w:eastAsia="黑体" w:cs="黑体"/>
          <w:sz w:val="32"/>
          <w:szCs w:val="32"/>
        </w:rPr>
        <w:t>部门整体支出绩效自评结果拟应用和公开情况</w:t>
      </w:r>
    </w:p>
    <w:p w14:paraId="6A2E8B3B"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我单位按照要求及时主动将相关资料公开在部门网址及政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府</w:t>
      </w:r>
      <w:r>
        <w:rPr>
          <w:rFonts w:hint="eastAsia" w:ascii="仿宋" w:hAnsi="仿宋" w:eastAsia="仿宋" w:cs="仿宋"/>
          <w:sz w:val="32"/>
          <w:szCs w:val="32"/>
        </w:rPr>
        <w:t>门户网站专栏中。</w:t>
      </w:r>
    </w:p>
    <w:p w14:paraId="08B1E3A3">
      <w:pPr>
        <w:numPr>
          <w:ilvl w:val="0"/>
          <w:numId w:val="1"/>
        </w:numPr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其他需要说明的情况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</w:t>
      </w:r>
    </w:p>
    <w:p w14:paraId="785965CE">
      <w:pPr>
        <w:numPr>
          <w:ilvl w:val="0"/>
          <w:numId w:val="0"/>
        </w:numPr>
        <w:ind w:firstLine="1280" w:firstLineChars="400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无</w:t>
      </w:r>
    </w:p>
    <w:p w14:paraId="30CB92DE">
      <w:pPr>
        <w:jc w:val="center"/>
        <w:rPr>
          <w:rFonts w:hint="eastAsia" w:eastAsia="黑体"/>
          <w:sz w:val="36"/>
          <w:szCs w:val="36"/>
          <w:lang w:val="en-US" w:eastAsia="zh-CN"/>
        </w:rPr>
      </w:pPr>
    </w:p>
    <w:p w14:paraId="221A374D">
      <w:pPr>
        <w:jc w:val="center"/>
        <w:rPr>
          <w:rFonts w:hint="eastAsia" w:eastAsia="黑体"/>
          <w:sz w:val="36"/>
          <w:szCs w:val="36"/>
          <w:lang w:val="en-US" w:eastAsia="zh-CN"/>
        </w:rPr>
      </w:pPr>
    </w:p>
    <w:p w14:paraId="16869257">
      <w:pPr>
        <w:jc w:val="center"/>
        <w:rPr>
          <w:rFonts w:hint="eastAsia" w:eastAsia="黑体"/>
          <w:sz w:val="36"/>
          <w:szCs w:val="36"/>
          <w:lang w:val="en-US" w:eastAsia="zh-CN"/>
        </w:rPr>
      </w:pPr>
    </w:p>
    <w:p w14:paraId="5D1BF6EA">
      <w:pPr>
        <w:jc w:val="both"/>
        <w:rPr>
          <w:rFonts w:hint="eastAsia" w:eastAsia="黑体"/>
          <w:sz w:val="36"/>
          <w:szCs w:val="36"/>
          <w:lang w:val="en-US" w:eastAsia="zh-CN"/>
        </w:rPr>
      </w:pPr>
    </w:p>
    <w:p w14:paraId="5316D13B">
      <w:pPr>
        <w:jc w:val="both"/>
        <w:rPr>
          <w:rFonts w:hint="eastAsia" w:eastAsia="黑体"/>
          <w:sz w:val="36"/>
          <w:szCs w:val="36"/>
          <w:lang w:val="en-US" w:eastAsia="zh-CN"/>
        </w:rPr>
      </w:pPr>
    </w:p>
    <w:p w14:paraId="266678C4">
      <w:pPr>
        <w:jc w:val="both"/>
        <w:rPr>
          <w:rFonts w:hint="eastAsia" w:eastAsia="黑体"/>
          <w:sz w:val="36"/>
          <w:szCs w:val="36"/>
          <w:lang w:val="en-US" w:eastAsia="zh-CN"/>
        </w:rPr>
      </w:pPr>
    </w:p>
    <w:p w14:paraId="71880CA5">
      <w:pPr>
        <w:jc w:val="both"/>
        <w:rPr>
          <w:rFonts w:hint="eastAsia" w:eastAsia="黑体"/>
          <w:sz w:val="36"/>
          <w:szCs w:val="36"/>
          <w:lang w:val="en-US" w:eastAsia="zh-CN"/>
        </w:rPr>
      </w:pPr>
    </w:p>
    <w:p w14:paraId="266E46B3">
      <w:pPr>
        <w:jc w:val="both"/>
        <w:rPr>
          <w:rFonts w:hint="eastAsia" w:eastAsia="黑体"/>
          <w:sz w:val="36"/>
          <w:szCs w:val="36"/>
          <w:lang w:val="en-US" w:eastAsia="zh-CN"/>
        </w:rPr>
      </w:pPr>
    </w:p>
    <w:p w14:paraId="56E6F8C8">
      <w:pPr>
        <w:jc w:val="both"/>
        <w:rPr>
          <w:rFonts w:hint="eastAsia" w:eastAsia="黑体"/>
          <w:sz w:val="36"/>
          <w:szCs w:val="36"/>
          <w:lang w:val="en-US" w:eastAsia="zh-CN"/>
        </w:rPr>
      </w:pPr>
    </w:p>
    <w:p w14:paraId="5EC18FAD">
      <w:pPr>
        <w:spacing w:line="360" w:lineRule="exact"/>
        <w:rPr>
          <w:rFonts w:eastAsia="仿宋_GB2312"/>
          <w:kern w:val="0"/>
          <w:sz w:val="20"/>
          <w:szCs w:val="21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588" w:right="1588" w:bottom="1588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Batang">
    <w:altName w:val="方正书宋_GBK"/>
    <w:panose1 w:val="02030600000101010101"/>
    <w:charset w:val="81"/>
    <w:family w:val="roman"/>
    <w:pitch w:val="default"/>
    <w:sig w:usb0="00000000" w:usb1="00000000" w:usb2="00000030" w:usb3="00000000" w:csb0="4008009F" w:csb1="DFD70000"/>
  </w:font>
  <w:font w:name="Microsoft YaHei UI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76908A"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D5C25F">
    <w:pPr>
      <w:pStyle w:val="2"/>
      <w:framePr w:wrap="around" w:vAnchor="text" w:hAnchor="margin" w:xAlign="outside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fldChar w:fldCharType="end"/>
    </w:r>
  </w:p>
  <w:p w14:paraId="1D6CD97B">
    <w:pPr>
      <w:pStyle w:val="2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0B9421"/>
    <w:multiLevelType w:val="singleLevel"/>
    <w:tmpl w:val="300B9421"/>
    <w:lvl w:ilvl="0" w:tentative="0">
      <w:start w:val="10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zZTBmNGRmODM2ZjcwMTYzOTFhNTVjZjJjZjY4YzEifQ=="/>
  </w:docVars>
  <w:rsids>
    <w:rsidRoot w:val="72B66366"/>
    <w:rsid w:val="022E3528"/>
    <w:rsid w:val="10FB7789"/>
    <w:rsid w:val="128F74F5"/>
    <w:rsid w:val="1821592C"/>
    <w:rsid w:val="219B3C06"/>
    <w:rsid w:val="28DE407E"/>
    <w:rsid w:val="42450A19"/>
    <w:rsid w:val="42EA0926"/>
    <w:rsid w:val="48CB6013"/>
    <w:rsid w:val="4FAD4947"/>
    <w:rsid w:val="50277825"/>
    <w:rsid w:val="53CA05D7"/>
    <w:rsid w:val="573A6077"/>
    <w:rsid w:val="64B036EA"/>
    <w:rsid w:val="66B62690"/>
    <w:rsid w:val="68C14A27"/>
    <w:rsid w:val="6BDB5A47"/>
    <w:rsid w:val="717019BB"/>
    <w:rsid w:val="72B66366"/>
    <w:rsid w:val="7F9D9FBB"/>
    <w:rsid w:val="FBF2F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page number"/>
    <w:qFormat/>
    <w:uiPriority w:val="0"/>
  </w:style>
  <w:style w:type="character" w:customStyle="1" w:styleId="7">
    <w:name w:val="font11"/>
    <w:basedOn w:val="5"/>
    <w:qFormat/>
    <w:uiPriority w:val="0"/>
    <w:rPr>
      <w:rFonts w:hint="eastAsia" w:ascii="宋体" w:hAnsi="宋体" w:eastAsia="宋体" w:cs="宋体"/>
      <w:b/>
      <w:bCs/>
      <w:color w:val="000000"/>
      <w:sz w:val="56"/>
      <w:szCs w:val="56"/>
      <w:u w:val="none"/>
    </w:rPr>
  </w:style>
  <w:style w:type="character" w:customStyle="1" w:styleId="8">
    <w:name w:val="font0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4047</Words>
  <Characters>4559</Characters>
  <Lines>0</Lines>
  <Paragraphs>0</Paragraphs>
  <TotalTime>4</TotalTime>
  <ScaleCrop>false</ScaleCrop>
  <LinksUpToDate>false</LinksUpToDate>
  <CharactersWithSpaces>4640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2023-07-13T01:31:00Z</dcterms:created>
  <dc:creator>热血⭐️青春</dc:creator>
  <cp:lastModifiedBy>热血⭐️青春</cp:lastModifiedBy>
  <cp:lastPrinted>2024-06-29T01:48:00Z</cp:lastPrinted>
  <dcterms:modified xsi:type="dcterms:W3CDTF">2026-06-03T17:17:39Z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09A12FE6EBCF44BA952A6BE6E0344219_11</vt:lpwstr>
  </property>
  <property fmtid="{D5CDD505-2E9C-101B-9397-08002B2CF9AE}" pid="4" name="KSOTemplateDocerSaveRecord">
    <vt:lpwstr>eyJoZGlkIjoiNTAzZTBmNGRmODM2ZjcwMTYzOTFhNTVjZjJjZjY4YzEiLCJ1c2VySWQiOiI2MjExNDIwNjEifQ==</vt:lpwstr>
  </property>
</Properties>
</file>