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B3CAC">
      <w:pPr>
        <w:jc w:val="center"/>
        <w:rPr>
          <w:rFonts w:hint="eastAsia" w:ascii="方正小标宋简体" w:hAnsi="方正小标宋简体" w:eastAsia="方正小标宋简体" w:cs="方正小标宋简体"/>
          <w:sz w:val="44"/>
          <w:szCs w:val="44"/>
          <w:highlight w:val="none"/>
        </w:rPr>
      </w:pPr>
    </w:p>
    <w:p w14:paraId="1F01D986">
      <w:pPr>
        <w:jc w:val="center"/>
        <w:rPr>
          <w:rFonts w:hint="eastAsia" w:ascii="方正小标宋简体" w:hAnsi="方正小标宋简体" w:eastAsia="方正小标宋简体" w:cs="方正小标宋简体"/>
          <w:sz w:val="44"/>
          <w:szCs w:val="44"/>
          <w:highlight w:val="none"/>
        </w:rPr>
      </w:pPr>
    </w:p>
    <w:p w14:paraId="14731AD9">
      <w:pPr>
        <w:pStyle w:val="2"/>
        <w:rPr>
          <w:rFonts w:hint="eastAsia"/>
        </w:rPr>
      </w:pPr>
    </w:p>
    <w:p w14:paraId="02AA72B4">
      <w:pPr>
        <w:jc w:val="center"/>
        <w:rPr>
          <w:rFonts w:hint="eastAsia" w:ascii="方正小标宋简体" w:hAnsi="方正小标宋简体" w:eastAsia="方正小标宋简体" w:cs="方正小标宋简体"/>
          <w:sz w:val="44"/>
          <w:szCs w:val="44"/>
          <w:highlight w:val="none"/>
          <w:u w:val="none"/>
          <w:lang w:val="en-US" w:eastAsia="zh-CN"/>
        </w:rPr>
      </w:pPr>
      <w:r>
        <w:rPr>
          <w:rFonts w:hint="eastAsia" w:ascii="方正小标宋简体" w:hAnsi="方正小标宋简体" w:eastAsia="方正小标宋简体" w:cs="方正小标宋简体"/>
          <w:sz w:val="44"/>
          <w:szCs w:val="44"/>
          <w:highlight w:val="none"/>
        </w:rPr>
        <w:t>202</w:t>
      </w:r>
      <w:r>
        <w:rPr>
          <w:rFonts w:hint="default" w:ascii="方正小标宋简体" w:hAnsi="方正小标宋简体" w:eastAsia="方正小标宋简体" w:cs="方正小标宋简体"/>
          <w:sz w:val="44"/>
          <w:szCs w:val="44"/>
          <w:highlight w:val="none"/>
          <w:lang w:val="en"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u w:val="none"/>
          <w:lang w:val="en-US" w:eastAsia="zh-CN"/>
        </w:rPr>
        <w:t>岳阳市停车管理服务中心</w:t>
      </w:r>
    </w:p>
    <w:p w14:paraId="7F46F6DB">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31404658">
      <w:pPr>
        <w:jc w:val="center"/>
        <w:rPr>
          <w:rFonts w:hint="default" w:ascii="Times New Roman" w:hAnsi="Times New Roman" w:eastAsia="方正小标宋_GBK" w:cs="Times New Roman"/>
          <w:b/>
          <w:sz w:val="52"/>
          <w:szCs w:val="52"/>
          <w:highlight w:val="none"/>
        </w:rPr>
      </w:pPr>
    </w:p>
    <w:p w14:paraId="463F26C3">
      <w:pPr>
        <w:jc w:val="center"/>
        <w:rPr>
          <w:rFonts w:hint="default" w:ascii="Times New Roman" w:hAnsi="Times New Roman" w:eastAsia="楷体_GB2312" w:cs="Times New Roman"/>
          <w:b/>
          <w:sz w:val="32"/>
          <w:szCs w:val="32"/>
          <w:highlight w:val="none"/>
        </w:rPr>
      </w:pPr>
    </w:p>
    <w:p w14:paraId="4D45D9D6">
      <w:pPr>
        <w:jc w:val="center"/>
        <w:rPr>
          <w:rFonts w:hint="default" w:ascii="Times New Roman" w:hAnsi="Times New Roman" w:eastAsia="楷体_GB2312" w:cs="Times New Roman"/>
          <w:b/>
          <w:sz w:val="32"/>
          <w:szCs w:val="32"/>
          <w:highlight w:val="none"/>
        </w:rPr>
      </w:pPr>
    </w:p>
    <w:p w14:paraId="279DA36B">
      <w:pPr>
        <w:jc w:val="center"/>
        <w:rPr>
          <w:rFonts w:hint="default" w:ascii="Times New Roman" w:hAnsi="Times New Roman" w:eastAsia="楷体_GB2312" w:cs="Times New Roman"/>
          <w:b/>
          <w:sz w:val="32"/>
          <w:szCs w:val="32"/>
          <w:highlight w:val="none"/>
        </w:rPr>
      </w:pPr>
    </w:p>
    <w:p w14:paraId="391C62BB">
      <w:pPr>
        <w:jc w:val="center"/>
        <w:rPr>
          <w:rFonts w:hint="default" w:ascii="Times New Roman" w:hAnsi="Times New Roman" w:eastAsia="楷体_GB2312" w:cs="Times New Roman"/>
          <w:b/>
          <w:sz w:val="32"/>
          <w:szCs w:val="32"/>
          <w:highlight w:val="none"/>
        </w:rPr>
      </w:pPr>
    </w:p>
    <w:p w14:paraId="2E6513B2">
      <w:pPr>
        <w:jc w:val="center"/>
        <w:rPr>
          <w:rFonts w:hint="default" w:ascii="Times New Roman" w:hAnsi="Times New Roman" w:eastAsia="楷体_GB2312" w:cs="Times New Roman"/>
          <w:b/>
          <w:sz w:val="32"/>
          <w:szCs w:val="32"/>
          <w:highlight w:val="none"/>
        </w:rPr>
      </w:pPr>
    </w:p>
    <w:p w14:paraId="4633AC44">
      <w:pPr>
        <w:jc w:val="center"/>
        <w:rPr>
          <w:rFonts w:hint="default" w:ascii="Times New Roman" w:hAnsi="Times New Roman" w:eastAsia="楷体_GB2312" w:cs="Times New Roman"/>
          <w:b/>
          <w:sz w:val="32"/>
          <w:szCs w:val="32"/>
          <w:highlight w:val="none"/>
        </w:rPr>
      </w:pPr>
    </w:p>
    <w:p w14:paraId="65ECB952">
      <w:pPr>
        <w:jc w:val="center"/>
        <w:rPr>
          <w:rFonts w:hint="default" w:ascii="Times New Roman" w:hAnsi="Times New Roman" w:eastAsia="黑体" w:cs="Times New Roman"/>
          <w:sz w:val="32"/>
          <w:szCs w:val="32"/>
          <w:highlight w:val="none"/>
        </w:rPr>
      </w:pPr>
    </w:p>
    <w:p w14:paraId="3B49D76A">
      <w:pPr>
        <w:jc w:val="both"/>
        <w:rPr>
          <w:rFonts w:hint="default" w:ascii="Times New Roman" w:hAnsi="Times New Roman" w:eastAsia="黑体" w:cs="Times New Roman"/>
          <w:sz w:val="32"/>
          <w:szCs w:val="32"/>
          <w:highlight w:val="none"/>
        </w:rPr>
      </w:pPr>
    </w:p>
    <w:p w14:paraId="2DB6AB99">
      <w:pPr>
        <w:jc w:val="center"/>
        <w:rPr>
          <w:rFonts w:hint="default" w:ascii="Times New Roman" w:hAnsi="Times New Roman" w:eastAsia="黑体" w:cs="Times New Roman"/>
          <w:sz w:val="32"/>
          <w:szCs w:val="32"/>
          <w:highlight w:val="none"/>
        </w:rPr>
      </w:pPr>
    </w:p>
    <w:p w14:paraId="249BDAFE">
      <w:pPr>
        <w:spacing w:line="600" w:lineRule="exact"/>
        <w:jc w:val="center"/>
        <w:rPr>
          <w:rFonts w:hint="eastAsia" w:ascii="方正小标宋简体" w:hAnsi="方正小标宋简体" w:eastAsia="方正小标宋简体" w:cs="方正小标宋简体"/>
          <w:b w:val="0"/>
          <w:bCs w:val="0"/>
          <w:sz w:val="32"/>
          <w:szCs w:val="32"/>
          <w:highlight w:val="none"/>
          <w:u w:val="single"/>
          <w:lang w:val="en-US" w:eastAsia="zh-CN"/>
        </w:rPr>
      </w:pPr>
      <w:r>
        <w:rPr>
          <w:rFonts w:hint="eastAsia" w:ascii="方正小标宋简体" w:hAnsi="方正小标宋简体" w:eastAsia="方正小标宋简体" w:cs="方正小标宋简体"/>
          <w:b w:val="0"/>
          <w:bCs w:val="0"/>
          <w:sz w:val="32"/>
          <w:szCs w:val="32"/>
          <w:highlight w:val="none"/>
        </w:rPr>
        <w:t>单位名称：</w:t>
      </w:r>
      <w:r>
        <w:rPr>
          <w:rFonts w:hint="eastAsia" w:ascii="方正小标宋简体" w:hAnsi="方正小标宋简体" w:eastAsia="方正小标宋简体" w:cs="方正小标宋简体"/>
          <w:b w:val="0"/>
          <w:bCs w:val="0"/>
          <w:sz w:val="32"/>
          <w:szCs w:val="32"/>
          <w:highlight w:val="none"/>
          <w:u w:val="single"/>
          <w:lang w:val="en-US" w:eastAsia="zh-CN"/>
        </w:rPr>
        <w:t>岳阳市停车管理服务中心</w:t>
      </w:r>
    </w:p>
    <w:p w14:paraId="4F731DC9">
      <w:pPr>
        <w:spacing w:line="600" w:lineRule="exact"/>
        <w:jc w:val="center"/>
        <w:rPr>
          <w:rFonts w:hint="eastAsia" w:ascii="方正小标宋简体" w:hAnsi="方正小标宋简体" w:eastAsia="方正小标宋简体" w:cs="方正小标宋简体"/>
          <w:b w:val="0"/>
          <w:bCs w:val="0"/>
          <w:sz w:val="32"/>
          <w:szCs w:val="32"/>
          <w:highlight w:val="none"/>
        </w:rPr>
      </w:pPr>
      <w:r>
        <w:rPr>
          <w:rFonts w:hint="eastAsia" w:ascii="方正小标宋简体" w:hAnsi="方正小标宋简体" w:eastAsia="方正小标宋简体" w:cs="方正小标宋简体"/>
          <w:b w:val="0"/>
          <w:bCs w:val="0"/>
          <w:sz w:val="32"/>
          <w:szCs w:val="32"/>
          <w:highlight w:val="none"/>
          <w:lang w:val="en-US" w:eastAsia="zh-CN"/>
        </w:rPr>
        <w:t>202</w:t>
      </w:r>
      <w:r>
        <w:rPr>
          <w:rFonts w:hint="default" w:ascii="方正小标宋简体" w:hAnsi="方正小标宋简体" w:eastAsia="方正小标宋简体" w:cs="方正小标宋简体"/>
          <w:b w:val="0"/>
          <w:bCs w:val="0"/>
          <w:sz w:val="32"/>
          <w:szCs w:val="32"/>
          <w:highlight w:val="none"/>
          <w:lang w:val="en" w:eastAsia="zh-CN"/>
        </w:rPr>
        <w:t>6</w:t>
      </w:r>
      <w:r>
        <w:rPr>
          <w:rFonts w:hint="eastAsia" w:ascii="方正小标宋简体" w:hAnsi="方正小标宋简体" w:eastAsia="方正小标宋简体" w:cs="方正小标宋简体"/>
          <w:b w:val="0"/>
          <w:bCs w:val="0"/>
          <w:sz w:val="32"/>
          <w:szCs w:val="32"/>
          <w:highlight w:val="none"/>
        </w:rPr>
        <w:t>年</w:t>
      </w:r>
      <w:r>
        <w:rPr>
          <w:rFonts w:hint="eastAsia" w:ascii="方正小标宋简体" w:hAnsi="方正小标宋简体" w:eastAsia="方正小标宋简体" w:cs="方正小标宋简体"/>
          <w:b w:val="0"/>
          <w:bCs w:val="0"/>
          <w:sz w:val="32"/>
          <w:szCs w:val="32"/>
          <w:highlight w:val="none"/>
          <w:lang w:val="en-US" w:eastAsia="zh-CN"/>
        </w:rPr>
        <w:t>6</w:t>
      </w:r>
      <w:r>
        <w:rPr>
          <w:rFonts w:hint="eastAsia" w:ascii="方正小标宋简体" w:hAnsi="方正小标宋简体" w:eastAsia="方正小标宋简体" w:cs="方正小标宋简体"/>
          <w:b w:val="0"/>
          <w:bCs w:val="0"/>
          <w:sz w:val="32"/>
          <w:szCs w:val="32"/>
          <w:highlight w:val="none"/>
        </w:rPr>
        <w:t>月</w:t>
      </w:r>
      <w:r>
        <w:rPr>
          <w:rFonts w:hint="eastAsia" w:ascii="方正小标宋简体" w:hAnsi="方正小标宋简体" w:eastAsia="方正小标宋简体" w:cs="方正小标宋简体"/>
          <w:b w:val="0"/>
          <w:bCs w:val="0"/>
          <w:sz w:val="32"/>
          <w:szCs w:val="32"/>
          <w:highlight w:val="none"/>
          <w:lang w:val="en-US" w:eastAsia="zh-CN"/>
        </w:rPr>
        <w:t>22</w:t>
      </w:r>
      <w:r>
        <w:rPr>
          <w:rFonts w:hint="eastAsia" w:ascii="方正小标宋简体" w:hAnsi="方正小标宋简体" w:eastAsia="方正小标宋简体" w:cs="方正小标宋简体"/>
          <w:b w:val="0"/>
          <w:bCs w:val="0"/>
          <w:sz w:val="32"/>
          <w:szCs w:val="32"/>
          <w:highlight w:val="none"/>
        </w:rPr>
        <w:t>日</w:t>
      </w:r>
    </w:p>
    <w:p w14:paraId="5BBAB37A">
      <w:pPr>
        <w:jc w:val="center"/>
        <w:rPr>
          <w:rFonts w:hint="eastAsia" w:ascii="仿宋_GB2312" w:hAnsi="仿宋_GB2312" w:eastAsia="仿宋_GB2312" w:cs="仿宋_GB2312"/>
          <w:sz w:val="32"/>
          <w:szCs w:val="32"/>
          <w:highlight w:val="none"/>
        </w:rPr>
      </w:pPr>
    </w:p>
    <w:p w14:paraId="06CC3341">
      <w:pPr>
        <w:jc w:val="center"/>
        <w:rPr>
          <w:rFonts w:hint="default" w:ascii="Times New Roman" w:hAnsi="Times New Roman" w:eastAsia="仿宋_GB2312" w:cs="Times New Roman"/>
          <w:sz w:val="32"/>
          <w:szCs w:val="32"/>
          <w:highlight w:val="none"/>
        </w:rPr>
        <w:sectPr>
          <w:pgSz w:w="11906" w:h="16838"/>
          <w:pgMar w:top="1440" w:right="1800" w:bottom="1440" w:left="1800" w:header="851" w:footer="992" w:gutter="0"/>
          <w:cols w:space="425" w:num="1"/>
          <w:docGrid w:type="lines" w:linePitch="312" w:charSpace="0"/>
        </w:sectPr>
      </w:pPr>
    </w:p>
    <w:p w14:paraId="46575A6A">
      <w:pPr>
        <w:pStyle w:val="4"/>
        <w:rPr>
          <w:rFonts w:hint="default"/>
        </w:rPr>
      </w:pPr>
    </w:p>
    <w:p w14:paraId="3DB5357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highlight w:val="none"/>
          <w:u w:val="none"/>
          <w:lang w:val="en-US" w:eastAsia="zh-CN"/>
        </w:rPr>
      </w:pPr>
      <w:r>
        <w:rPr>
          <w:rFonts w:hint="eastAsia" w:asciiTheme="majorEastAsia" w:hAnsiTheme="majorEastAsia" w:eastAsiaTheme="majorEastAsia" w:cstheme="majorEastAsia"/>
          <w:b/>
          <w:bCs/>
          <w:sz w:val="44"/>
          <w:szCs w:val="44"/>
          <w:highlight w:val="none"/>
        </w:rPr>
        <w:t>202</w:t>
      </w:r>
      <w:r>
        <w:rPr>
          <w:rFonts w:hint="default" w:asciiTheme="majorEastAsia" w:hAnsiTheme="majorEastAsia" w:eastAsiaTheme="majorEastAsia" w:cstheme="majorEastAsia"/>
          <w:b/>
          <w:bCs/>
          <w:sz w:val="44"/>
          <w:szCs w:val="44"/>
          <w:highlight w:val="none"/>
          <w:lang w:val="en" w:eastAsia="zh-CN"/>
        </w:rPr>
        <w:t>5</w:t>
      </w:r>
      <w:r>
        <w:rPr>
          <w:rFonts w:hint="eastAsia" w:asciiTheme="majorEastAsia" w:hAnsiTheme="majorEastAsia" w:eastAsiaTheme="majorEastAsia" w:cstheme="majorEastAsia"/>
          <w:b/>
          <w:bCs/>
          <w:sz w:val="44"/>
          <w:szCs w:val="44"/>
          <w:highlight w:val="none"/>
        </w:rPr>
        <w:t>年度</w:t>
      </w:r>
      <w:r>
        <w:rPr>
          <w:rFonts w:hint="eastAsia" w:asciiTheme="majorEastAsia" w:hAnsiTheme="majorEastAsia" w:eastAsiaTheme="majorEastAsia" w:cstheme="majorEastAsia"/>
          <w:b/>
          <w:bCs/>
          <w:sz w:val="44"/>
          <w:szCs w:val="44"/>
          <w:highlight w:val="none"/>
          <w:u w:val="none"/>
          <w:lang w:val="en-US" w:eastAsia="zh-CN"/>
        </w:rPr>
        <w:t>岳阳市停车管理服务中心</w:t>
      </w:r>
    </w:p>
    <w:p w14:paraId="383BB51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highlight w:val="none"/>
        </w:rPr>
      </w:pPr>
      <w:r>
        <w:rPr>
          <w:rFonts w:hint="eastAsia" w:asciiTheme="majorEastAsia" w:hAnsiTheme="majorEastAsia" w:eastAsiaTheme="majorEastAsia" w:cstheme="majorEastAsia"/>
          <w:b/>
          <w:bCs/>
          <w:sz w:val="44"/>
          <w:szCs w:val="44"/>
          <w:highlight w:val="none"/>
        </w:rPr>
        <w:t>整体支出绩效自评报告</w:t>
      </w:r>
    </w:p>
    <w:p w14:paraId="0F31711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p>
    <w:p w14:paraId="01867B3C">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sz w:val="32"/>
          <w:szCs w:val="32"/>
          <w:highlight w:val="none"/>
        </w:rPr>
      </w:pPr>
      <w:r>
        <w:rPr>
          <w:rFonts w:hint="eastAsia" w:ascii="黑体" w:hAnsi="黑体" w:eastAsia="黑体" w:cs="黑体"/>
          <w:b/>
          <w:bCs/>
          <w:sz w:val="32"/>
          <w:szCs w:val="32"/>
          <w:highlight w:val="none"/>
        </w:rPr>
        <w:t>单位基本情况</w:t>
      </w:r>
    </w:p>
    <w:p w14:paraId="6E6CE7A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职能职责</w:t>
      </w:r>
    </w:p>
    <w:p w14:paraId="01BA63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负责依法对城区内人行道上的停车进行规范化管理，对乱停乱靠车辆和擅自划定停车泊位的违法行为依法实施行政处罚。</w:t>
      </w:r>
    </w:p>
    <w:p w14:paraId="1903FB2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rPr>
        <w:t>负责对经营性单位或个人需占用城市人行道停放车辆的，依法办理相关手续。</w:t>
      </w:r>
    </w:p>
    <w:p w14:paraId="52814C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eastAsia="zh-CN"/>
        </w:rPr>
        <w:t>3、</w:t>
      </w:r>
      <w:r>
        <w:rPr>
          <w:rFonts w:hint="eastAsia" w:ascii="仿宋_GB2312" w:hAnsi="仿宋_GB2312" w:eastAsia="仿宋_GB2312" w:cs="仿宋_GB2312"/>
          <w:sz w:val="32"/>
          <w:szCs w:val="32"/>
        </w:rPr>
        <w:t>负责对社会停车场(含地下停车场)的收费和停车管理实行业务指导，对擅自变更停车用途的行为实施行政处罚。</w:t>
      </w:r>
    </w:p>
    <w:p w14:paraId="36220AB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负责对公益性社会停车场的设立进行规划和报建，对市政府交办管理的其他社会停车场进行维护和管理。</w:t>
      </w:r>
    </w:p>
    <w:p w14:paraId="7BC12897">
      <w:pPr>
        <w:keepNext w:val="0"/>
        <w:keepLines w:val="0"/>
        <w:pageBreakBefore w:val="0"/>
        <w:kinsoku/>
        <w:wordWrap/>
        <w:overflowPunct/>
        <w:topLinePunct w:val="0"/>
        <w:autoSpaceDE/>
        <w:autoSpaceDN/>
        <w:bidi w:val="0"/>
        <w:adjustRightInd/>
        <w:snapToGrid/>
        <w:spacing w:line="560" w:lineRule="exact"/>
        <w:ind w:left="20" w:firstLine="640" w:firstLineChars="200"/>
        <w:textAlignment w:val="auto"/>
        <w:rPr>
          <w:rFonts w:hint="eastAsia" w:ascii="CESI仿宋-GB2312" w:hAnsi="CESI仿宋-GB2312" w:eastAsia="CESI仿宋-GB2312" w:cs="CESI仿宋-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承办上级主管部门交办的其他事</w:t>
      </w:r>
      <w:r>
        <w:rPr>
          <w:rFonts w:hint="eastAsia" w:ascii="仿宋_GB2312" w:hAnsi="仿宋_GB2312" w:eastAsia="仿宋_GB2312" w:cs="仿宋_GB2312"/>
          <w:sz w:val="32"/>
          <w:szCs w:val="32"/>
          <w:lang w:eastAsia="zh-CN"/>
        </w:rPr>
        <w:t>项。</w:t>
      </w:r>
    </w:p>
    <w:p w14:paraId="6824123C">
      <w:pPr>
        <w:pStyle w:val="4"/>
        <w:keepNext w:val="0"/>
        <w:keepLines w:val="0"/>
        <w:pageBreakBefore w:val="0"/>
        <w:numPr>
          <w:ilvl w:val="0"/>
          <w:numId w:val="0"/>
        </w:numPr>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机构设置</w:t>
      </w:r>
    </w:p>
    <w:p w14:paraId="78188D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我单位为岳阳市城市管理和综合执法局直属公益一类事业单位，编制人数</w:t>
      </w:r>
      <w:r>
        <w:rPr>
          <w:rFonts w:hint="eastAsia" w:ascii="仿宋_GB2312" w:hAnsi="仿宋_GB2312" w:eastAsia="仿宋_GB2312" w:cs="仿宋_GB2312"/>
          <w:sz w:val="32"/>
          <w:szCs w:val="32"/>
          <w:lang w:val="en"/>
        </w:rPr>
        <w:t>21</w:t>
      </w:r>
      <w:r>
        <w:rPr>
          <w:rFonts w:hint="eastAsia" w:ascii="仿宋_GB2312" w:hAnsi="仿宋_GB2312" w:eastAsia="仿宋_GB2312" w:cs="仿宋_GB2312"/>
          <w:sz w:val="32"/>
          <w:szCs w:val="32"/>
        </w:rPr>
        <w:t>人，实有人数2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人，下设部室：综合部、财务部、停车管理部、慢行交通服务部四个职能部室</w:t>
      </w:r>
      <w:r>
        <w:rPr>
          <w:rFonts w:hint="eastAsia" w:ascii="仿宋_GB2312" w:hAnsi="仿宋_GB2312" w:eastAsia="仿宋_GB2312" w:cs="仿宋_GB2312"/>
          <w:sz w:val="32"/>
          <w:szCs w:val="32"/>
          <w:lang w:eastAsia="zh-CN"/>
        </w:rPr>
        <w:t>。</w:t>
      </w:r>
    </w:p>
    <w:p w14:paraId="67AD0604">
      <w:pPr>
        <w:pStyle w:val="11"/>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CESI仿宋-GB2312" w:hAnsi="CESI仿宋-GB2312" w:eastAsia="CESI仿宋-GB2312" w:cs="CESI仿宋-GB2312"/>
          <w:b/>
          <w:bCs/>
          <w:color w:val="auto"/>
          <w:sz w:val="32"/>
          <w:szCs w:val="32"/>
          <w:highlight w:val="none"/>
        </w:rPr>
      </w:pPr>
      <w:r>
        <w:rPr>
          <w:rFonts w:hint="eastAsia" w:ascii="黑体" w:hAnsi="黑体" w:eastAsia="黑体" w:cs="黑体"/>
          <w:b/>
          <w:bCs/>
          <w:color w:val="auto"/>
          <w:sz w:val="32"/>
          <w:szCs w:val="32"/>
          <w:highlight w:val="none"/>
        </w:rPr>
        <w:t>二、一般公共预算支出情况</w:t>
      </w:r>
    </w:p>
    <w:p w14:paraId="50541917">
      <w:pPr>
        <w:pStyle w:val="11"/>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（一）基本支出情况</w:t>
      </w:r>
    </w:p>
    <w:p w14:paraId="2A9BEF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2</w:t>
      </w:r>
      <w:r>
        <w:rPr>
          <w:rFonts w:hint="default" w:ascii="仿宋_GB2312" w:hAnsi="仿宋_GB2312" w:eastAsia="仿宋_GB2312" w:cs="仿宋_GB2312"/>
          <w:bCs/>
          <w:color w:val="auto"/>
          <w:sz w:val="32"/>
          <w:szCs w:val="32"/>
          <w:lang w:val="en" w:eastAsia="zh-CN"/>
        </w:rPr>
        <w:t>5</w:t>
      </w:r>
      <w:r>
        <w:rPr>
          <w:rFonts w:hint="eastAsia" w:ascii="仿宋_GB2312" w:hAnsi="仿宋_GB2312" w:eastAsia="仿宋_GB2312" w:cs="仿宋_GB2312"/>
          <w:bCs/>
          <w:color w:val="auto"/>
          <w:sz w:val="32"/>
          <w:szCs w:val="32"/>
        </w:rPr>
        <w:t>年</w:t>
      </w:r>
      <w:r>
        <w:rPr>
          <w:rFonts w:hint="eastAsia" w:ascii="仿宋_GB2312" w:hAnsi="仿宋_GB2312" w:eastAsia="仿宋_GB2312" w:cs="仿宋_GB2312"/>
          <w:bCs/>
          <w:color w:val="auto"/>
          <w:sz w:val="32"/>
          <w:szCs w:val="32"/>
          <w:lang w:val="en-US" w:eastAsia="zh-CN"/>
        </w:rPr>
        <w:t>,我单位</w:t>
      </w:r>
      <w:r>
        <w:rPr>
          <w:rFonts w:hint="eastAsia" w:ascii="仿宋_GB2312" w:hAnsi="仿宋_GB2312" w:eastAsia="仿宋_GB2312" w:cs="仿宋_GB2312"/>
          <w:bCs/>
          <w:color w:val="auto"/>
          <w:sz w:val="32"/>
          <w:szCs w:val="32"/>
        </w:rPr>
        <w:t>基本支出</w:t>
      </w:r>
      <w:r>
        <w:rPr>
          <w:rFonts w:hint="eastAsia" w:ascii="仿宋_GB2312" w:hAnsi="仿宋_GB2312" w:eastAsia="仿宋_GB2312" w:cs="仿宋_GB2312"/>
          <w:bCs/>
          <w:color w:val="auto"/>
          <w:sz w:val="32"/>
          <w:szCs w:val="32"/>
          <w:lang w:val="en-US" w:eastAsia="zh-CN"/>
        </w:rPr>
        <w:t>总额为3</w:t>
      </w:r>
      <w:r>
        <w:rPr>
          <w:rFonts w:hint="default" w:ascii="仿宋_GB2312" w:hAnsi="仿宋_GB2312" w:eastAsia="仿宋_GB2312" w:cs="仿宋_GB2312"/>
          <w:bCs/>
          <w:color w:val="auto"/>
          <w:sz w:val="32"/>
          <w:szCs w:val="32"/>
          <w:lang w:val="en" w:eastAsia="zh-CN"/>
        </w:rPr>
        <w:t>57.</w:t>
      </w:r>
      <w:r>
        <w:rPr>
          <w:rFonts w:hint="eastAsia" w:ascii="仿宋_GB2312" w:hAnsi="仿宋_GB2312" w:eastAsia="仿宋_GB2312" w:cs="仿宋_GB2312"/>
          <w:bCs/>
          <w:color w:val="auto"/>
          <w:sz w:val="32"/>
          <w:szCs w:val="32"/>
          <w:lang w:val="en-US" w:eastAsia="zh-CN"/>
        </w:rPr>
        <w:t>70</w:t>
      </w:r>
      <w:r>
        <w:rPr>
          <w:rFonts w:hint="eastAsia" w:ascii="仿宋_GB2312" w:hAnsi="仿宋_GB2312" w:eastAsia="仿宋_GB2312" w:cs="仿宋_GB2312"/>
          <w:bCs/>
          <w:color w:val="auto"/>
          <w:sz w:val="32"/>
          <w:szCs w:val="32"/>
        </w:rPr>
        <w:t>万元，其中人员经费支出</w:t>
      </w:r>
      <w:r>
        <w:rPr>
          <w:rFonts w:hint="default" w:ascii="仿宋_GB2312" w:hAnsi="仿宋_GB2312" w:eastAsia="仿宋_GB2312" w:cs="仿宋_GB2312"/>
          <w:bCs/>
          <w:color w:val="auto"/>
          <w:sz w:val="32"/>
          <w:szCs w:val="32"/>
          <w:lang w:val="en" w:eastAsia="zh-CN"/>
        </w:rPr>
        <w:t>325.15</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主要用于</w:t>
      </w:r>
      <w:r>
        <w:rPr>
          <w:rFonts w:hint="eastAsia" w:ascii="仿宋_GB2312" w:hAnsi="仿宋_GB2312" w:eastAsia="仿宋_GB2312" w:cs="仿宋_GB2312"/>
          <w:bCs/>
          <w:color w:val="auto"/>
          <w:sz w:val="32"/>
          <w:szCs w:val="32"/>
          <w:highlight w:val="none"/>
          <w:lang w:val="en-US" w:eastAsia="zh-CN"/>
        </w:rPr>
        <w:t>职工工资、津补贴、绩效工资及社会缴费等。</w:t>
      </w:r>
      <w:r>
        <w:rPr>
          <w:rFonts w:hint="eastAsia" w:ascii="仿宋_GB2312" w:hAnsi="仿宋_GB2312" w:eastAsia="仿宋_GB2312" w:cs="仿宋_GB2312"/>
          <w:bCs/>
          <w:color w:val="auto"/>
          <w:sz w:val="32"/>
          <w:szCs w:val="32"/>
        </w:rPr>
        <w:t>公用</w:t>
      </w:r>
      <w:r>
        <w:rPr>
          <w:rFonts w:hint="eastAsia" w:ascii="仿宋_GB2312" w:hAnsi="仿宋_GB2312" w:eastAsia="仿宋_GB2312" w:cs="仿宋_GB2312"/>
          <w:bCs/>
          <w:color w:val="auto"/>
          <w:sz w:val="32"/>
          <w:szCs w:val="32"/>
          <w:lang w:val="en-US" w:eastAsia="zh-CN"/>
        </w:rPr>
        <w:t>经费</w:t>
      </w:r>
      <w:r>
        <w:rPr>
          <w:rFonts w:hint="eastAsia" w:ascii="仿宋_GB2312" w:hAnsi="仿宋_GB2312" w:eastAsia="仿宋_GB2312" w:cs="仿宋_GB2312"/>
          <w:bCs/>
          <w:color w:val="auto"/>
          <w:sz w:val="32"/>
          <w:szCs w:val="32"/>
        </w:rPr>
        <w:t>支出</w:t>
      </w:r>
      <w:r>
        <w:rPr>
          <w:rFonts w:hint="default" w:ascii="仿宋_GB2312" w:hAnsi="仿宋_GB2312" w:eastAsia="仿宋_GB2312" w:cs="仿宋_GB2312"/>
          <w:bCs/>
          <w:color w:val="auto"/>
          <w:sz w:val="32"/>
          <w:szCs w:val="32"/>
          <w:lang w:val="en" w:eastAsia="zh-CN"/>
        </w:rPr>
        <w:t>32.</w:t>
      </w:r>
      <w:r>
        <w:rPr>
          <w:rFonts w:hint="eastAsia" w:ascii="仿宋_GB2312" w:hAnsi="仿宋_GB2312" w:eastAsia="仿宋_GB2312" w:cs="仿宋_GB2312"/>
          <w:bCs/>
          <w:color w:val="auto"/>
          <w:sz w:val="32"/>
          <w:szCs w:val="32"/>
          <w:lang w:val="en-US" w:eastAsia="zh-CN"/>
        </w:rPr>
        <w:t>55</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主要用于办公费、印刷费、水电费、邮电费、取暖费、物业费、差旅费、维修（护）费、租赁费、会议费、培训费、公务接待费、劳务费、委托业务费、工会经费、公务用车运行费、其他交通费用、其他商品和服务支出等单位运转费用支出。</w:t>
      </w:r>
    </w:p>
    <w:p w14:paraId="6761BE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bCs/>
          <w:color w:val="auto"/>
          <w:sz w:val="32"/>
          <w:szCs w:val="32"/>
        </w:rPr>
        <w:t>本年度公务接待费</w:t>
      </w:r>
      <w:r>
        <w:rPr>
          <w:rFonts w:hint="eastAsia" w:ascii="仿宋_GB2312" w:hAnsi="仿宋_GB2312" w:eastAsia="仿宋_GB2312" w:cs="仿宋_GB2312"/>
          <w:bCs/>
          <w:color w:val="auto"/>
          <w:sz w:val="32"/>
          <w:szCs w:val="32"/>
          <w:lang w:eastAsia="zh-CN"/>
        </w:rPr>
        <w:t>预算</w:t>
      </w:r>
      <w:r>
        <w:rPr>
          <w:rFonts w:hint="eastAsia" w:ascii="仿宋_GB2312" w:hAnsi="仿宋_GB2312" w:eastAsia="仿宋_GB2312" w:cs="仿宋_GB2312"/>
          <w:bCs/>
          <w:color w:val="auto"/>
          <w:sz w:val="32"/>
          <w:szCs w:val="32"/>
          <w:lang w:val="en-US" w:eastAsia="zh-CN"/>
        </w:rPr>
        <w:t>0.50万元，实际</w:t>
      </w:r>
      <w:r>
        <w:rPr>
          <w:rFonts w:hint="eastAsia" w:ascii="仿宋_GB2312" w:hAnsi="仿宋_GB2312" w:eastAsia="仿宋_GB2312" w:cs="仿宋_GB2312"/>
          <w:bCs/>
          <w:color w:val="auto"/>
          <w:sz w:val="32"/>
          <w:szCs w:val="32"/>
        </w:rPr>
        <w:t>支出</w:t>
      </w:r>
      <w:r>
        <w:rPr>
          <w:rFonts w:hint="eastAsia" w:ascii="仿宋_GB2312" w:hAnsi="仿宋_GB2312" w:eastAsia="仿宋_GB2312" w:cs="仿宋_GB2312"/>
          <w:bCs/>
          <w:color w:val="auto"/>
          <w:sz w:val="32"/>
          <w:szCs w:val="32"/>
          <w:lang w:val="en-US" w:eastAsia="zh-CN"/>
        </w:rPr>
        <w:t>0</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公务用车购置及</w:t>
      </w:r>
      <w:r>
        <w:rPr>
          <w:rFonts w:hint="eastAsia" w:ascii="仿宋_GB2312" w:hAnsi="仿宋_GB2312" w:eastAsia="仿宋_GB2312" w:cs="仿宋_GB2312"/>
          <w:bCs/>
          <w:color w:val="auto"/>
          <w:sz w:val="32"/>
          <w:szCs w:val="32"/>
        </w:rPr>
        <w:t>公务用车运行维护费支出</w:t>
      </w:r>
      <w:r>
        <w:rPr>
          <w:rFonts w:hint="eastAsia" w:ascii="仿宋_GB2312" w:hAnsi="仿宋_GB2312" w:eastAsia="仿宋_GB2312" w:cs="仿宋_GB2312"/>
          <w:bCs/>
          <w:color w:val="auto"/>
          <w:sz w:val="32"/>
          <w:szCs w:val="32"/>
          <w:lang w:eastAsia="zh-CN"/>
        </w:rPr>
        <w:t>预算</w:t>
      </w:r>
      <w:r>
        <w:rPr>
          <w:rFonts w:hint="eastAsia" w:ascii="仿宋_GB2312" w:hAnsi="仿宋_GB2312" w:eastAsia="仿宋_GB2312" w:cs="仿宋_GB2312"/>
          <w:bCs/>
          <w:color w:val="auto"/>
          <w:sz w:val="32"/>
          <w:szCs w:val="32"/>
          <w:lang w:val="en-US" w:eastAsia="zh-CN"/>
        </w:rPr>
        <w:t>金额为</w:t>
      </w:r>
      <w:r>
        <w:rPr>
          <w:rFonts w:hint="default" w:ascii="仿宋_GB2312" w:hAnsi="仿宋_GB2312" w:eastAsia="仿宋_GB2312" w:cs="仿宋_GB2312"/>
          <w:bCs/>
          <w:color w:val="auto"/>
          <w:sz w:val="32"/>
          <w:szCs w:val="32"/>
          <w:lang w:val="en" w:eastAsia="zh-CN"/>
        </w:rPr>
        <w:t>16</w:t>
      </w:r>
      <w:r>
        <w:rPr>
          <w:rFonts w:hint="eastAsia" w:ascii="仿宋_GB2312" w:hAnsi="仿宋_GB2312" w:eastAsia="仿宋_GB2312" w:cs="仿宋_GB2312"/>
          <w:bCs/>
          <w:color w:val="auto"/>
          <w:sz w:val="32"/>
          <w:szCs w:val="32"/>
          <w:lang w:val="en-US" w:eastAsia="zh-CN"/>
        </w:rPr>
        <w:t>.00万元（其中公务用车购置预算0万元），公务用车购置及</w:t>
      </w:r>
      <w:r>
        <w:rPr>
          <w:rFonts w:hint="eastAsia" w:ascii="仿宋_GB2312" w:hAnsi="仿宋_GB2312" w:eastAsia="仿宋_GB2312" w:cs="仿宋_GB2312"/>
          <w:bCs/>
          <w:color w:val="auto"/>
          <w:sz w:val="32"/>
          <w:szCs w:val="32"/>
        </w:rPr>
        <w:t>公务用车运行维护费</w:t>
      </w:r>
      <w:r>
        <w:rPr>
          <w:rFonts w:hint="eastAsia" w:ascii="仿宋_GB2312" w:hAnsi="仿宋_GB2312" w:eastAsia="仿宋_GB2312" w:cs="仿宋_GB2312"/>
          <w:bCs/>
          <w:color w:val="auto"/>
          <w:sz w:val="32"/>
          <w:szCs w:val="32"/>
          <w:lang w:val="en-US" w:eastAsia="zh-CN"/>
        </w:rPr>
        <w:t>实际支出10.0</w:t>
      </w:r>
      <w:r>
        <w:rPr>
          <w:rFonts w:hint="default" w:ascii="仿宋_GB2312" w:hAnsi="仿宋_GB2312" w:eastAsia="仿宋_GB2312" w:cs="仿宋_GB2312"/>
          <w:bCs/>
          <w:color w:val="auto"/>
          <w:sz w:val="32"/>
          <w:szCs w:val="32"/>
          <w:lang w:val="en" w:eastAsia="zh-CN"/>
        </w:rPr>
        <w:t>3</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（其中公务用车购置支出0万元）</w:t>
      </w:r>
      <w:r>
        <w:rPr>
          <w:rFonts w:hint="eastAsia" w:ascii="仿宋_GB2312" w:hAnsi="仿宋_GB2312" w:eastAsia="仿宋_GB2312" w:cs="仿宋_GB2312"/>
          <w:bCs/>
          <w:color w:val="auto"/>
          <w:sz w:val="32"/>
          <w:szCs w:val="32"/>
          <w:lang w:eastAsia="zh-CN"/>
        </w:rPr>
        <w:t>，因</w:t>
      </w:r>
      <w:r>
        <w:rPr>
          <w:rFonts w:hint="eastAsia" w:ascii="仿宋_GB2312" w:hAnsi="仿宋_GB2312" w:eastAsia="仿宋_GB2312" w:cs="仿宋_GB2312"/>
          <w:bCs/>
          <w:color w:val="auto"/>
          <w:sz w:val="32"/>
          <w:szCs w:val="32"/>
        </w:rPr>
        <w:t>公出国</w:t>
      </w:r>
      <w:r>
        <w:rPr>
          <w:rFonts w:hint="eastAsia" w:ascii="仿宋_GB2312" w:hAnsi="仿宋_GB2312" w:eastAsia="仿宋_GB2312" w:cs="仿宋_GB2312"/>
          <w:bCs/>
          <w:color w:val="auto"/>
          <w:sz w:val="32"/>
          <w:szCs w:val="32"/>
          <w:lang w:eastAsia="zh-CN"/>
        </w:rPr>
        <w:t>费用</w:t>
      </w:r>
      <w:r>
        <w:rPr>
          <w:rFonts w:hint="eastAsia" w:ascii="仿宋_GB2312" w:hAnsi="仿宋_GB2312" w:eastAsia="仿宋_GB2312" w:cs="仿宋_GB2312"/>
          <w:bCs/>
          <w:color w:val="auto"/>
          <w:sz w:val="32"/>
          <w:szCs w:val="32"/>
          <w:lang w:val="en-US" w:eastAsia="zh-CN"/>
        </w:rPr>
        <w:t>预算与实际</w:t>
      </w:r>
      <w:r>
        <w:rPr>
          <w:rFonts w:hint="eastAsia" w:ascii="仿宋_GB2312" w:hAnsi="仿宋_GB2312" w:eastAsia="仿宋_GB2312" w:cs="仿宋_GB2312"/>
          <w:bCs/>
          <w:color w:val="auto"/>
          <w:sz w:val="32"/>
          <w:szCs w:val="32"/>
        </w:rPr>
        <w:t>支出</w:t>
      </w:r>
      <w:r>
        <w:rPr>
          <w:rFonts w:hint="eastAsia" w:ascii="仿宋_GB2312" w:hAnsi="仿宋_GB2312" w:eastAsia="仿宋_GB2312" w:cs="仿宋_GB2312"/>
          <w:bCs/>
          <w:color w:val="auto"/>
          <w:sz w:val="32"/>
          <w:szCs w:val="32"/>
          <w:lang w:val="en-US" w:eastAsia="zh-CN"/>
        </w:rPr>
        <w:t>均为</w:t>
      </w:r>
      <w:r>
        <w:rPr>
          <w:rFonts w:hint="eastAsia" w:ascii="仿宋_GB2312" w:hAnsi="仿宋_GB2312" w:eastAsia="仿宋_GB2312" w:cs="仿宋_GB2312"/>
          <w:bCs/>
          <w:color w:val="auto"/>
          <w:sz w:val="32"/>
          <w:szCs w:val="32"/>
        </w:rPr>
        <w:t>0万元</w:t>
      </w:r>
      <w:r>
        <w:rPr>
          <w:rFonts w:hint="eastAsia" w:ascii="仿宋_GB2312" w:hAnsi="仿宋_GB2312" w:eastAsia="仿宋_GB2312" w:cs="仿宋_GB2312"/>
          <w:bCs/>
          <w:color w:val="auto"/>
          <w:sz w:val="32"/>
          <w:szCs w:val="32"/>
          <w:lang w:eastAsia="zh-CN"/>
        </w:rPr>
        <w:t>，“三公经费”支出</w:t>
      </w:r>
      <w:r>
        <w:rPr>
          <w:rFonts w:hint="eastAsia" w:ascii="仿宋_GB2312" w:hAnsi="仿宋_GB2312" w:eastAsia="仿宋_GB2312" w:cs="仿宋_GB2312"/>
          <w:bCs/>
          <w:color w:val="auto"/>
          <w:sz w:val="32"/>
          <w:szCs w:val="32"/>
          <w:lang w:val="en-US" w:eastAsia="zh-CN"/>
        </w:rPr>
        <w:t>总额为10.0</w:t>
      </w:r>
      <w:r>
        <w:rPr>
          <w:rFonts w:hint="default" w:ascii="仿宋_GB2312" w:hAnsi="仿宋_GB2312" w:eastAsia="仿宋_GB2312" w:cs="仿宋_GB2312"/>
          <w:bCs/>
          <w:color w:val="auto"/>
          <w:sz w:val="32"/>
          <w:szCs w:val="32"/>
          <w:lang w:val="en" w:eastAsia="zh-CN"/>
        </w:rPr>
        <w:t>3</w:t>
      </w:r>
      <w:r>
        <w:rPr>
          <w:rFonts w:hint="eastAsia" w:ascii="仿宋_GB2312" w:hAnsi="仿宋_GB2312" w:eastAsia="仿宋_GB2312" w:cs="仿宋_GB2312"/>
          <w:bCs/>
          <w:color w:val="auto"/>
          <w:sz w:val="32"/>
          <w:szCs w:val="32"/>
          <w:lang w:val="en-US" w:eastAsia="zh-CN"/>
        </w:rPr>
        <w:t>万元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控制在年初预算</w:t>
      </w:r>
      <w:r>
        <w:rPr>
          <w:rFonts w:hint="default" w:ascii="仿宋_GB2312" w:hAnsi="仿宋_GB2312" w:eastAsia="仿宋_GB2312" w:cs="仿宋_GB2312"/>
          <w:bCs/>
          <w:sz w:val="32"/>
          <w:szCs w:val="32"/>
          <w:lang w:val="en" w:eastAsia="zh-CN"/>
        </w:rPr>
        <w:t>16.50</w:t>
      </w:r>
      <w:r>
        <w:rPr>
          <w:rFonts w:hint="eastAsia" w:ascii="仿宋_GB2312" w:hAnsi="仿宋_GB2312" w:eastAsia="仿宋_GB2312" w:cs="仿宋_GB2312"/>
          <w:bCs/>
          <w:sz w:val="32"/>
          <w:szCs w:val="32"/>
          <w:lang w:val="en" w:eastAsia="zh-CN"/>
        </w:rPr>
        <w:t>万元</w:t>
      </w:r>
      <w:r>
        <w:rPr>
          <w:rFonts w:hint="eastAsia" w:ascii="仿宋_GB2312" w:hAnsi="仿宋_GB2312" w:eastAsia="仿宋_GB2312" w:cs="仿宋_GB2312"/>
          <w:bCs/>
          <w:sz w:val="32"/>
          <w:szCs w:val="32"/>
          <w:lang w:eastAsia="zh-CN"/>
        </w:rPr>
        <w:t>之内</w:t>
      </w:r>
      <w:r>
        <w:rPr>
          <w:rFonts w:hint="eastAsia" w:ascii="仿宋_GB2312" w:hAnsi="仿宋_GB2312" w:eastAsia="仿宋_GB2312" w:cs="仿宋_GB2312"/>
          <w:bCs/>
          <w:sz w:val="32"/>
          <w:szCs w:val="32"/>
        </w:rPr>
        <w:t>。</w:t>
      </w:r>
    </w:p>
    <w:p w14:paraId="2BC8AC9D">
      <w:pPr>
        <w:pStyle w:val="11"/>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项目支出情况</w:t>
      </w:r>
    </w:p>
    <w:p w14:paraId="71F36DD7">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b/>
          <w:bCs/>
          <w:kern w:val="0"/>
          <w:sz w:val="32"/>
          <w:szCs w:val="32"/>
          <w:lang w:val="en-US" w:eastAsia="zh-CN"/>
        </w:rPr>
        <w:t>1、专项资金安排落实、总投入和实际使用等情况分析</w:t>
      </w:r>
    </w:p>
    <w:p w14:paraId="173F599D">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项目资金</w:t>
      </w:r>
      <w:r>
        <w:rPr>
          <w:rFonts w:hint="eastAsia" w:ascii="仿宋_GB2312" w:hAnsi="仿宋_GB2312" w:eastAsia="仿宋_GB2312" w:cs="仿宋_GB2312"/>
          <w:bCs/>
          <w:sz w:val="32"/>
          <w:szCs w:val="32"/>
          <w:lang w:val="en-US" w:eastAsia="zh-CN"/>
        </w:rPr>
        <w:t>年初</w:t>
      </w:r>
      <w:r>
        <w:rPr>
          <w:rFonts w:hint="eastAsia" w:ascii="仿宋_GB2312" w:hAnsi="仿宋_GB2312" w:eastAsia="仿宋_GB2312" w:cs="仿宋_GB2312"/>
          <w:bCs/>
          <w:sz w:val="32"/>
          <w:szCs w:val="32"/>
        </w:rPr>
        <w:t>预算</w:t>
      </w:r>
      <w:r>
        <w:rPr>
          <w:rFonts w:hint="eastAsia" w:ascii="仿宋_GB2312" w:hAnsi="仿宋_GB2312" w:eastAsia="仿宋_GB2312" w:cs="仿宋_GB2312"/>
          <w:bCs/>
          <w:sz w:val="32"/>
          <w:szCs w:val="32"/>
          <w:lang w:val="en-US" w:eastAsia="zh-CN"/>
        </w:rPr>
        <w:t>总额为82.63</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（含上年结转</w:t>
      </w:r>
      <w:r>
        <w:rPr>
          <w:rFonts w:hint="eastAsia" w:ascii="仿宋_GB2312" w:hAnsi="仿宋_GB2312" w:eastAsia="仿宋_GB2312" w:cs="仿宋_GB2312"/>
          <w:bCs/>
          <w:sz w:val="32"/>
          <w:szCs w:val="32"/>
          <w:lang w:val="en-US" w:eastAsia="zh-CN"/>
        </w:rPr>
        <w:t>10.13万元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年中项目支出预算总额调整为</w:t>
      </w:r>
      <w:r>
        <w:rPr>
          <w:rFonts w:hint="eastAsia" w:ascii="仿宋_GB2312" w:hAnsi="仿宋_GB2312" w:eastAsia="仿宋_GB2312" w:cs="仿宋_GB2312"/>
          <w:bCs/>
          <w:color w:val="auto"/>
          <w:sz w:val="32"/>
          <w:szCs w:val="32"/>
          <w:lang w:val="en-US" w:eastAsia="zh-CN"/>
        </w:rPr>
        <w:t>231.61万元，</w:t>
      </w:r>
      <w:r>
        <w:rPr>
          <w:rFonts w:hint="eastAsia" w:ascii="仿宋_GB2312" w:hAnsi="仿宋_GB2312" w:eastAsia="仿宋_GB2312" w:cs="仿宋_GB2312"/>
          <w:bCs/>
          <w:color w:val="auto"/>
          <w:sz w:val="32"/>
          <w:szCs w:val="32"/>
          <w:lang w:eastAsia="zh-CN"/>
        </w:rPr>
        <w:t>本年</w:t>
      </w:r>
      <w:r>
        <w:rPr>
          <w:rFonts w:hint="eastAsia" w:ascii="仿宋_GB2312" w:hAnsi="仿宋_GB2312" w:eastAsia="仿宋_GB2312" w:cs="仿宋_GB2312"/>
          <w:bCs/>
          <w:color w:val="auto"/>
          <w:sz w:val="32"/>
          <w:szCs w:val="32"/>
        </w:rPr>
        <w:t>项目支出</w:t>
      </w:r>
      <w:r>
        <w:rPr>
          <w:rFonts w:hint="eastAsia" w:ascii="仿宋_GB2312" w:hAnsi="仿宋_GB2312" w:eastAsia="仿宋_GB2312" w:cs="仿宋_GB2312"/>
          <w:bCs/>
          <w:color w:val="auto"/>
          <w:sz w:val="32"/>
          <w:szCs w:val="32"/>
          <w:lang w:val="en-US" w:eastAsia="zh-CN"/>
        </w:rPr>
        <w:t>总额为227.59</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其中</w:t>
      </w:r>
      <w:r>
        <w:rPr>
          <w:rFonts w:hint="eastAsia" w:ascii="仿宋_GB2312" w:hAnsi="仿宋_GB2312" w:eastAsia="仿宋_GB2312" w:cs="仿宋_GB2312"/>
          <w:color w:val="auto"/>
          <w:sz w:val="32"/>
          <w:szCs w:val="32"/>
          <w:lang w:eastAsia="zh-CN"/>
        </w:rPr>
        <w:t>城管事务</w:t>
      </w:r>
      <w:r>
        <w:rPr>
          <w:rFonts w:hint="eastAsia" w:ascii="仿宋_GB2312" w:hAnsi="仿宋_GB2312" w:eastAsia="仿宋_GB2312" w:cs="仿宋_GB2312"/>
          <w:color w:val="auto"/>
          <w:sz w:val="32"/>
          <w:szCs w:val="32"/>
        </w:rPr>
        <w:t>经费</w:t>
      </w:r>
      <w:r>
        <w:rPr>
          <w:rFonts w:hint="eastAsia" w:ascii="仿宋_GB2312" w:hAnsi="仿宋_GB2312" w:eastAsia="仿宋_GB2312" w:cs="仿宋_GB2312"/>
          <w:color w:val="auto"/>
          <w:sz w:val="32"/>
          <w:szCs w:val="32"/>
          <w:lang w:val="en-US" w:eastAsia="zh-CN"/>
        </w:rPr>
        <w:t>支出50.00</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color w:val="auto"/>
          <w:sz w:val="32"/>
          <w:szCs w:val="32"/>
          <w:lang w:val="en-US" w:eastAsia="zh-CN"/>
        </w:rPr>
        <w:t>、协管员</w:t>
      </w:r>
      <w:r>
        <w:rPr>
          <w:rFonts w:hint="eastAsia" w:ascii="仿宋_GB2312" w:hAnsi="仿宋_GB2312" w:eastAsia="仿宋_GB2312" w:cs="仿宋_GB2312"/>
          <w:color w:val="auto"/>
          <w:sz w:val="32"/>
          <w:szCs w:val="32"/>
        </w:rPr>
        <w:t>经费</w:t>
      </w:r>
      <w:r>
        <w:rPr>
          <w:rFonts w:hint="eastAsia" w:ascii="仿宋_GB2312" w:hAnsi="仿宋_GB2312" w:eastAsia="仿宋_GB2312" w:cs="仿宋_GB2312"/>
          <w:color w:val="auto"/>
          <w:sz w:val="32"/>
          <w:szCs w:val="32"/>
          <w:lang w:val="en-US" w:eastAsia="zh-CN"/>
        </w:rPr>
        <w:t>支出</w:t>
      </w:r>
      <w:r>
        <w:rPr>
          <w:rFonts w:hint="eastAsia" w:ascii="仿宋_GB2312" w:hAnsi="仿宋_GB2312" w:eastAsia="仿宋_GB2312" w:cs="仿宋_GB2312"/>
          <w:bCs/>
          <w:color w:val="auto"/>
          <w:sz w:val="32"/>
          <w:szCs w:val="32"/>
          <w:lang w:val="en-US" w:eastAsia="zh-CN"/>
        </w:rPr>
        <w:t>22.50万</w:t>
      </w:r>
      <w:r>
        <w:rPr>
          <w:rFonts w:hint="eastAsia" w:ascii="仿宋_GB2312" w:hAnsi="仿宋_GB2312" w:eastAsia="仿宋_GB2312" w:cs="仿宋_GB2312"/>
          <w:bCs/>
          <w:color w:val="auto"/>
          <w:sz w:val="32"/>
          <w:szCs w:val="32"/>
        </w:rPr>
        <w:t>元</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highlight w:val="none"/>
          <w:lang w:val="en-US" w:eastAsia="zh-CN"/>
        </w:rPr>
        <w:t>办案费支出10.13万元、</w:t>
      </w:r>
      <w:r>
        <w:rPr>
          <w:rFonts w:hint="eastAsia" w:ascii="仿宋_GB2312" w:hAnsi="仿宋_GB2312" w:eastAsia="仿宋_GB2312" w:cs="仿宋_GB2312"/>
          <w:sz w:val="32"/>
          <w:szCs w:val="32"/>
          <w:lang w:val="en-US" w:eastAsia="zh-CN"/>
        </w:rPr>
        <w:t>中心城区停车收费项目前期工作经费144.96万元，</w:t>
      </w:r>
      <w:r>
        <w:rPr>
          <w:rFonts w:hint="eastAsia" w:ascii="仿宋_GB2312" w:hAnsi="仿宋_GB2312" w:eastAsia="仿宋_GB2312" w:cs="仿宋_GB2312"/>
          <w:bCs/>
          <w:sz w:val="32"/>
          <w:szCs w:val="32"/>
          <w:lang w:val="en-US" w:eastAsia="zh-CN"/>
        </w:rPr>
        <w:t>主要用于城区人行道停车辅助设施更新及维修、违停录入平台维护及录入人员劳务费、中心城区停车管理、</w:t>
      </w:r>
      <w:r>
        <w:rPr>
          <w:rFonts w:hint="eastAsia" w:ascii="仿宋_GB2312" w:hAnsi="仿宋_GB2312" w:eastAsia="仿宋_GB2312" w:cs="仿宋_GB2312"/>
          <w:sz w:val="32"/>
          <w:szCs w:val="32"/>
          <w:lang w:val="en-US" w:eastAsia="zh-CN"/>
        </w:rPr>
        <w:t>中心城区公共资源利用前期工作经费</w:t>
      </w:r>
      <w:r>
        <w:rPr>
          <w:rFonts w:hint="eastAsia" w:ascii="仿宋_GB2312" w:hAnsi="仿宋_GB2312" w:eastAsia="仿宋_GB2312" w:cs="仿宋_GB2312"/>
          <w:bCs/>
          <w:sz w:val="32"/>
          <w:szCs w:val="32"/>
          <w:lang w:val="en-US" w:eastAsia="zh-CN"/>
        </w:rPr>
        <w:t>等项目支出。</w:t>
      </w:r>
    </w:p>
    <w:p w14:paraId="7F9A1A7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rPr>
        <w:t>2、专项资金管理情况分析</w:t>
      </w:r>
    </w:p>
    <w:p w14:paraId="7FB04DA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结合实际情况，制订了《预算业务管理制度》，从预算管理职责，预算编制，预算审批与分解下达流程，预算的执行、控制与调整，决算与绩效评价等方面对专项资金进行管理，做到专项资金预算编制有目标、预算执行有监控、预算完成有评价、评价结果有反馈、反馈结果有应。</w:t>
      </w:r>
    </w:p>
    <w:p w14:paraId="75175BA2">
      <w:pPr>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三、</w:t>
      </w:r>
      <w:r>
        <w:rPr>
          <w:rFonts w:hint="eastAsia" w:ascii="黑体" w:hAnsi="黑体" w:eastAsia="黑体" w:cs="黑体"/>
          <w:b/>
          <w:bCs/>
          <w:sz w:val="32"/>
          <w:szCs w:val="32"/>
        </w:rPr>
        <w:t>政府性基金</w:t>
      </w:r>
      <w:r>
        <w:rPr>
          <w:rFonts w:hint="eastAsia" w:ascii="黑体" w:hAnsi="黑体" w:eastAsia="黑体" w:cs="黑体"/>
          <w:b/>
          <w:bCs/>
          <w:sz w:val="32"/>
          <w:szCs w:val="32"/>
          <w:lang w:eastAsia="zh-CN"/>
        </w:rPr>
        <w:t>、</w:t>
      </w:r>
      <w:r>
        <w:rPr>
          <w:rFonts w:hint="eastAsia" w:ascii="黑体" w:hAnsi="黑体" w:eastAsia="黑体" w:cs="黑体"/>
          <w:b/>
          <w:bCs/>
          <w:sz w:val="32"/>
          <w:szCs w:val="32"/>
        </w:rPr>
        <w:t>国有资本经营</w:t>
      </w:r>
      <w:r>
        <w:rPr>
          <w:rFonts w:hint="eastAsia" w:ascii="黑体" w:hAnsi="黑体" w:eastAsia="黑体" w:cs="黑体"/>
          <w:b/>
          <w:bCs/>
          <w:sz w:val="32"/>
          <w:szCs w:val="32"/>
          <w:lang w:val="en-US" w:eastAsia="zh-CN"/>
        </w:rPr>
        <w:t>和</w:t>
      </w:r>
      <w:r>
        <w:rPr>
          <w:rFonts w:hint="eastAsia" w:ascii="黑体" w:hAnsi="黑体" w:eastAsia="黑体" w:cs="黑体"/>
          <w:b/>
          <w:bCs/>
          <w:sz w:val="32"/>
          <w:szCs w:val="32"/>
        </w:rPr>
        <w:t>社会保险基金预算支出情况</w:t>
      </w:r>
    </w:p>
    <w:p w14:paraId="5D1008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我单位无</w:t>
      </w:r>
      <w:r>
        <w:rPr>
          <w:rFonts w:hint="eastAsia" w:ascii="CESI仿宋-GB2312" w:hAnsi="CESI仿宋-GB2312" w:eastAsia="CESI仿宋-GB2312" w:cs="CESI仿宋-GB2312"/>
          <w:b w:val="0"/>
          <w:bCs w:val="0"/>
          <w:sz w:val="32"/>
          <w:szCs w:val="32"/>
        </w:rPr>
        <w:t>政府性基金</w:t>
      </w:r>
      <w:r>
        <w:rPr>
          <w:rFonts w:hint="eastAsia" w:ascii="CESI仿宋-GB2312" w:hAnsi="CESI仿宋-GB2312" w:eastAsia="CESI仿宋-GB2312" w:cs="CESI仿宋-GB2312"/>
          <w:b w:val="0"/>
          <w:bCs w:val="0"/>
          <w:sz w:val="32"/>
          <w:szCs w:val="32"/>
          <w:lang w:eastAsia="zh-CN"/>
        </w:rPr>
        <w:t>、</w:t>
      </w:r>
      <w:r>
        <w:rPr>
          <w:rFonts w:hint="eastAsia" w:ascii="仿宋_GB2312" w:hAnsi="仿宋_GB2312" w:eastAsia="仿宋_GB2312" w:cs="仿宋_GB2312"/>
          <w:sz w:val="32"/>
          <w:szCs w:val="32"/>
        </w:rPr>
        <w:t>国有资本经营</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社会保险基金预算支出</w:t>
      </w:r>
      <w:r>
        <w:rPr>
          <w:rFonts w:hint="eastAsia" w:ascii="仿宋_GB2312" w:hAnsi="仿宋_GB2312" w:eastAsia="仿宋_GB2312" w:cs="仿宋_GB2312"/>
          <w:sz w:val="32"/>
          <w:szCs w:val="32"/>
          <w:lang w:eastAsia="zh-CN"/>
        </w:rPr>
        <w:t>。</w:t>
      </w:r>
    </w:p>
    <w:p w14:paraId="1FF8C707">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eastAsia="zh-CN"/>
        </w:rPr>
        <w:t>四</w:t>
      </w:r>
      <w:r>
        <w:rPr>
          <w:rFonts w:hint="eastAsia" w:ascii="黑体" w:hAnsi="黑体" w:eastAsia="黑体" w:cs="黑体"/>
          <w:b/>
          <w:bCs/>
          <w:color w:val="auto"/>
          <w:sz w:val="32"/>
          <w:szCs w:val="32"/>
          <w:highlight w:val="none"/>
        </w:rPr>
        <w:t>、部门整体支出绩效情况</w:t>
      </w:r>
    </w:p>
    <w:p w14:paraId="622F059E">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val="0"/>
          <w:color w:val="auto"/>
          <w:kern w:val="2"/>
          <w:sz w:val="32"/>
          <w:szCs w:val="32"/>
          <w:highlight w:val="none"/>
          <w:lang w:val="en-US" w:eastAsia="zh-CN" w:bidi="ar-SA"/>
        </w:rPr>
        <w:t>（一）年度绩效目标</w:t>
      </w:r>
    </w:p>
    <w:p w14:paraId="2AF60ED8">
      <w:pPr>
        <w:keepNext w:val="0"/>
        <w:keepLines w:val="0"/>
        <w:pageBreakBefore w:val="0"/>
        <w:tabs>
          <w:tab w:val="left" w:pos="344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目标1：加强中心城区人行道停车管理，及时录入人行道违停车辆信息，改善停车秩序，保障人行道畅通；</w:t>
      </w:r>
    </w:p>
    <w:p w14:paraId="4625958F">
      <w:pPr>
        <w:keepNext w:val="0"/>
        <w:keepLines w:val="0"/>
        <w:pageBreakBefore w:val="0"/>
        <w:tabs>
          <w:tab w:val="left" w:pos="344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目标2：挖掘城区停车潜力，督促市直临街机关事业单位停车场对外开放，缓解市民停车“难”；</w:t>
      </w:r>
    </w:p>
    <w:p w14:paraId="47DB4FA5">
      <w:pPr>
        <w:keepNext w:val="0"/>
        <w:keepLines w:val="0"/>
        <w:pageBreakBefore w:val="0"/>
        <w:tabs>
          <w:tab w:val="left" w:pos="344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目标3：加强公共临时停车场管理，安装维护中心城区人行道停车辅助设施，保障其处于良好的使用状态;</w:t>
      </w:r>
    </w:p>
    <w:p w14:paraId="03BB3E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仿宋_GB2312" w:hAnsi="仿宋_GB2312" w:eastAsia="仿宋_GB2312" w:cs="仿宋_GB2312"/>
          <w:color w:val="000000"/>
          <w:sz w:val="32"/>
          <w:szCs w:val="32"/>
          <w:lang w:val="en-US" w:eastAsia="zh-CN"/>
        </w:rPr>
        <w:t xml:space="preserve">目标4：加大绿色出行宣传，提出慢行交通建设建议，确保绿色出行安全，加强行业监管考评。       </w:t>
      </w:r>
      <w:r>
        <w:rPr>
          <w:rFonts w:hint="eastAsia" w:ascii="CESI仿宋-GB2312" w:hAnsi="CESI仿宋-GB2312" w:eastAsia="CESI仿宋-GB2312" w:cs="CESI仿宋-GB2312"/>
          <w:color w:val="000000"/>
          <w:sz w:val="32"/>
          <w:szCs w:val="32"/>
          <w:lang w:val="en-US" w:eastAsia="zh-CN"/>
        </w:rPr>
        <w:t xml:space="preserve">                                                                                                                                           </w:t>
      </w:r>
    </w:p>
    <w:p w14:paraId="7EE5583E">
      <w:pPr>
        <w:pStyle w:val="11"/>
        <w:keepNext w:val="0"/>
        <w:keepLines w:val="0"/>
        <w:pageBreakBefore w:val="0"/>
        <w:widowControl/>
        <w:numPr>
          <w:ilvl w:val="0"/>
          <w:numId w:val="3"/>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val="0"/>
          <w:color w:val="auto"/>
          <w:kern w:val="2"/>
          <w:sz w:val="32"/>
          <w:szCs w:val="32"/>
          <w:highlight w:val="none"/>
          <w:lang w:val="en-US" w:eastAsia="zh-CN" w:bidi="ar-SA"/>
        </w:rPr>
        <w:t>完成情况及</w:t>
      </w:r>
      <w:r>
        <w:rPr>
          <w:rFonts w:hint="eastAsia" w:ascii="仿宋_GB2312" w:hAnsi="仿宋_GB2312" w:eastAsia="仿宋_GB2312" w:cs="仿宋_GB2312"/>
          <w:b/>
          <w:bCs/>
          <w:kern w:val="0"/>
          <w:sz w:val="32"/>
          <w:szCs w:val="32"/>
          <w:lang w:val="en-US" w:eastAsia="zh-CN"/>
        </w:rPr>
        <w:t>取得的效益情况</w:t>
      </w:r>
    </w:p>
    <w:p w14:paraId="7DBA5001">
      <w:pPr>
        <w:keepNext w:val="0"/>
        <w:keepLines w:val="0"/>
        <w:pageBreakBefore w:val="0"/>
        <w:tabs>
          <w:tab w:val="left" w:pos="344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目标1完成情况：加大了中心城区人行道停车管理力度，及时完成了人行道违停车辆信息录入，停车管理秩序良好，保障了人行道畅通；</w:t>
      </w:r>
    </w:p>
    <w:p w14:paraId="33531677">
      <w:pPr>
        <w:keepNext w:val="0"/>
        <w:keepLines w:val="0"/>
        <w:pageBreakBefore w:val="0"/>
        <w:tabs>
          <w:tab w:val="left" w:pos="344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目标2完成情况：大力挖掘城区停车潜力，开展了公共停车场专项整治，并督促临街市直机关事业单位停车场对外开放，有效缓解市民停车“难”；</w:t>
      </w:r>
    </w:p>
    <w:p w14:paraId="73E62758">
      <w:pPr>
        <w:keepNext w:val="0"/>
        <w:keepLines w:val="0"/>
        <w:pageBreakBefore w:val="0"/>
        <w:tabs>
          <w:tab w:val="left" w:pos="344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目标3完成情况：及时安装维护中心城区人行道停车辅助设施，保障其处于良好的使用状态；</w:t>
      </w:r>
    </w:p>
    <w:p w14:paraId="0D926F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目标4完成情况：开展了绿色安全出行宣传，并提出慢行交通建设建议，并加大了中心城区慢行交通行业监管考评。</w:t>
      </w:r>
    </w:p>
    <w:p w14:paraId="7CF3E1B2">
      <w:pPr>
        <w:keepNext w:val="0"/>
        <w:keepLines w:val="0"/>
        <w:pageBreakBefore w:val="0"/>
        <w:tabs>
          <w:tab w:val="left" w:pos="3444"/>
        </w:tabs>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FF0000"/>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取得的效益</w:t>
      </w:r>
    </w:p>
    <w:p w14:paraId="066CF2E8">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2025年，在市委市政府、市城管局党组的正确领导下，立足加快推进“六大城管”建设，深度服务和融入城市发展大局、着力保障和提升民生福祉，锚定“走在前、开新局”目标，多措并举、整体推进，不断加强规范停车管理工作。圆满完成了各项工作任务，具体情况如下：</w:t>
      </w:r>
    </w:p>
    <w:p w14:paraId="2B9EB663">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党风廉政建设工作。一是注重党建引领。严格落实“第一议题”制度，将学习贯彻习近平新时代中国特色社会主义思想、党的二十大精神以及党中央最新决策部署作为首要政治任务。深入开展中央八项规定精神学习教育及违规吃喝问题专项整治工作。二是强化队伍建设。支部班子严格执行民主集中制，履行“一岗双责”。全年召开专题部署会3次，分析研判会议3次，党课辅导3次，内部通报意识形态领域情况8次，未发生意识形态领域问题。认真落实“三重一大”决策制度，确保议事决策科学化、民主化、规范化。</w:t>
      </w:r>
    </w:p>
    <w:p w14:paraId="43EEC896">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安全生产工作。一是安全巡查常态化。安全生产工作稳步推进，时刻紧盯“电池充电、车辆存储”等薄弱环节，要求运营公司安排专人专岗24小时在充电库房值班值守，并不定时进行巡查。组织开展了消防安全专题知识培训与消防安全演练，强化安全主体责任，提升安全应对能力。二是配合开展《岳阳市电动自行车、电动摩托车安全隐患全链条整治行动实施方案》行动。全面落实中央、省、市关于电动自行车全链条安全监管的工作部署，加强对停车场内电动自行车停放充电的安全隐患排查整治。</w:t>
      </w:r>
    </w:p>
    <w:p w14:paraId="0A18AACF">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信访维稳，舆情引导工作。我中心于2025年2月19日收到信访件反映（信访件编号：LF430600202502192248）：“小区业委会投票设立小区外栏杆收取停车费中存在假投票行为，栏杆设立后存在堵塞消防通道的情况。诉求：拆除收费栏杆”。通过现场走访核实，并多次与信访人沟通，宣传相关政策，信访人对我中心工作表示肯定。</w:t>
      </w:r>
    </w:p>
    <w:p w14:paraId="1F48C520">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4、落实“三资”改革，</w:t>
      </w:r>
      <w:r>
        <w:rPr>
          <w:rFonts w:hint="eastAsia" w:ascii="仿宋_GB2312" w:hAnsi="仿宋_GB2312" w:eastAsia="仿宋_GB2312" w:cs="仿宋_GB2312"/>
          <w:spacing w:val="6"/>
          <w:sz w:val="32"/>
          <w:szCs w:val="32"/>
          <w:lang w:eastAsia="zh-CN"/>
        </w:rPr>
        <w:t>积极</w:t>
      </w:r>
      <w:r>
        <w:rPr>
          <w:rFonts w:hint="eastAsia" w:ascii="仿宋_GB2312" w:hAnsi="仿宋_GB2312" w:eastAsia="仿宋_GB2312" w:cs="仿宋_GB2312"/>
          <w:spacing w:val="6"/>
          <w:sz w:val="32"/>
          <w:szCs w:val="32"/>
        </w:rPr>
        <w:t>推进市城区</w:t>
      </w:r>
      <w:r>
        <w:rPr>
          <w:rFonts w:hint="eastAsia" w:ascii="仿宋_GB2312" w:hAnsi="仿宋_GB2312" w:eastAsia="仿宋_GB2312" w:cs="仿宋_GB2312"/>
          <w:spacing w:val="6"/>
          <w:sz w:val="32"/>
          <w:szCs w:val="32"/>
          <w:lang w:eastAsia="zh-CN"/>
        </w:rPr>
        <w:t>原</w:t>
      </w:r>
      <w:r>
        <w:rPr>
          <w:rFonts w:hint="eastAsia" w:ascii="仿宋_GB2312" w:hAnsi="仿宋_GB2312" w:eastAsia="仿宋_GB2312" w:cs="仿宋_GB2312"/>
          <w:spacing w:val="6"/>
          <w:sz w:val="32"/>
          <w:szCs w:val="32"/>
        </w:rPr>
        <w:t>公共自行车租赁系统</w:t>
      </w:r>
      <w:r>
        <w:rPr>
          <w:rFonts w:hint="eastAsia" w:ascii="仿宋_GB2312" w:hAnsi="仿宋_GB2312" w:eastAsia="仿宋_GB2312" w:cs="仿宋_GB2312"/>
          <w:spacing w:val="6"/>
          <w:sz w:val="32"/>
          <w:szCs w:val="32"/>
          <w:lang w:eastAsia="zh-CN"/>
        </w:rPr>
        <w:t>设备处置相关工作</w:t>
      </w:r>
      <w:r>
        <w:rPr>
          <w:rFonts w:hint="eastAsia" w:ascii="仿宋_GB2312" w:hAnsi="仿宋_GB2312" w:eastAsia="仿宋_GB2312" w:cs="仿宋_GB2312"/>
          <w:spacing w:val="6"/>
          <w:sz w:val="32"/>
          <w:szCs w:val="32"/>
        </w:rPr>
        <w:t>，于12月4日在湖南省（岳阳市）国有资产资源交易平台完成竞拍，由湖南三邦环保科技有限公司竞得，成交金额为320.57万元，已全额上缴市财政。</w:t>
      </w:r>
    </w:p>
    <w:p w14:paraId="743D0628">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5、人大、政协提案议案回复工作。2025年共收到人大、政协提案、议案7份，接到办理任务后，我中心召开提案、议案办理推进会，明确办理流程，压实办理责任。我中心在回复委员之前，首先与代表和委员进行了面对面沟通交流，听取委员对所提案的深层次意图及具体办理要求，有针对性地进行研究落实，形成回复材料。截止目前，相关提案、议案已全部进行了书面回复。</w:t>
      </w:r>
    </w:p>
    <w:p w14:paraId="64FCB94C">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6、强化服务保障旅发盛会。在旅发大会前期，第一时间成立服务保障领导小组，结合大会日程和交通管制方案，专项制定出旅发大会期间《停车场保障接待工作实施手册》、《共享电动车保障实施方案》等制度保障及任务清单，设置各重点管控区域（岳阳楼、巴陵广场、南湖广场、岳阳东站、西环线等）片区负责人，并下设调度运维组、安全保障组、用户服务组、应急响应组，明确各组成员职责分工，实行“日调度、日复盘”工作机制，确保责任逐级压实。</w:t>
      </w:r>
    </w:p>
    <w:p w14:paraId="490FFEFE">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7</w:t>
      </w:r>
      <w:r>
        <w:rPr>
          <w:rFonts w:hint="eastAsia" w:ascii="仿宋_GB2312" w:hAnsi="仿宋_GB2312" w:eastAsia="仿宋_GB2312" w:cs="仿宋_GB2312"/>
          <w:spacing w:val="6"/>
          <w:sz w:val="32"/>
          <w:szCs w:val="32"/>
        </w:rPr>
        <w:t>、整治违规投放的共享电单车。2025年10月，杭州青奇科技有限公司在未经我市任何政府部门报备准入的情况下，强制向我市中心城区投放3000余台“滴滴青桔”共享电单车，主要集中在岳阳大道东、青年中路、巴陵中路、白石岭路及望岳路等区域。杭州青奇科技有限公司短时间内大量投放的共享电单车引发交通秩序混乱、挤占人行道、影响市民安全通行，市民反映强烈。对此，我中心第一时间向市城管局汇报，多次参与召开专题会研究，制定共享电单车市容秩序整治方案，并在相关部门的大力支持联动下依法依规强力开展整治行动。自10月27日起，依据《湖南省实施〈城市市容和环境卫生管理条例〉办法》，明确由市城管执法支队组织执法队伍、我中心安排执法相应的运输车辆及清理车辆存放场地、市公安局城管执法大队提供执法保障，在市中心城区范围内专项整治清理乱停乱放的共享电单车。</w:t>
      </w:r>
    </w:p>
    <w:p w14:paraId="7E4FAD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（三）单位预算管理情况</w:t>
      </w:r>
    </w:p>
    <w:p w14:paraId="79A29AD4">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highlight w:val="none"/>
        </w:rPr>
        <w:t>《中华人民共和国预算法》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《政府会计制度》</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中共</w:t>
      </w:r>
      <w:r>
        <w:rPr>
          <w:rFonts w:hint="eastAsia" w:ascii="仿宋_GB2312" w:hAnsi="仿宋_GB2312" w:eastAsia="仿宋_GB2312" w:cs="仿宋_GB2312"/>
          <w:sz w:val="32"/>
          <w:szCs w:val="32"/>
        </w:rPr>
        <w:t>岳阳市</w:t>
      </w:r>
      <w:r>
        <w:rPr>
          <w:rFonts w:hint="eastAsia" w:ascii="仿宋_GB2312" w:hAnsi="仿宋_GB2312" w:eastAsia="仿宋_GB2312" w:cs="仿宋_GB2312"/>
          <w:sz w:val="32"/>
          <w:szCs w:val="32"/>
          <w:lang w:eastAsia="zh-CN"/>
        </w:rPr>
        <w:t>委办公室</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岳阳市人民政府办公室关于</w:t>
      </w:r>
      <w:r>
        <w:rPr>
          <w:rFonts w:hint="eastAsia" w:ascii="仿宋_GB2312" w:hAnsi="仿宋_GB2312" w:eastAsia="仿宋_GB2312" w:cs="仿宋_GB2312"/>
          <w:sz w:val="32"/>
          <w:szCs w:val="32"/>
          <w:lang w:eastAsia="zh-CN"/>
        </w:rPr>
        <w:t>印发〈岳阳市预算绩效管理实施办法〉</w:t>
      </w:r>
      <w:r>
        <w:rPr>
          <w:rFonts w:hint="eastAsia" w:ascii="仿宋_GB2312" w:hAnsi="仿宋_GB2312" w:eastAsia="仿宋_GB2312" w:cs="仿宋_GB2312"/>
          <w:sz w:val="32"/>
          <w:szCs w:val="32"/>
        </w:rPr>
        <w:t>的通知》（岳办</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及其他相关文件精神，中心成立了绩效评价及监督小组，定期开展相关工作。</w:t>
      </w:r>
    </w:p>
    <w:p w14:paraId="3B680A0A">
      <w:pPr>
        <w:pStyle w:val="3"/>
        <w:keepNext w:val="0"/>
        <w:keepLines w:val="0"/>
        <w:pageBreakBefore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1、预算及绩效管理</w:t>
      </w:r>
    </w:p>
    <w:p w14:paraId="3A8DF775">
      <w:pPr>
        <w:pStyle w:val="2"/>
        <w:keepNext w:val="0"/>
        <w:keepLines w:val="0"/>
        <w:pageBreakBefore w:val="0"/>
        <w:kinsoku/>
        <w:wordWrap/>
        <w:overflowPunct/>
        <w:topLinePunct w:val="0"/>
        <w:autoSpaceDE/>
        <w:autoSpaceDN/>
        <w:bidi w:val="0"/>
        <w:adjustRightInd/>
        <w:snapToGrid/>
        <w:spacing w:line="560" w:lineRule="exact"/>
        <w:ind w:firstLine="664" w:firstLineChars="200"/>
        <w:jc w:val="left"/>
        <w:textAlignment w:val="auto"/>
        <w:rPr>
          <w:rFonts w:hint="eastAsia" w:ascii="仿宋_GB2312" w:hAnsi="仿宋_GB2312" w:eastAsia="仿宋_GB2312" w:cs="仿宋_GB2312"/>
          <w:spacing w:val="6"/>
          <w:kern w:val="0"/>
          <w:sz w:val="32"/>
          <w:szCs w:val="32"/>
          <w:lang w:val="en-US" w:eastAsia="zh-CN"/>
        </w:rPr>
      </w:pPr>
      <w:r>
        <w:rPr>
          <w:rFonts w:hint="eastAsia" w:ascii="仿宋_GB2312" w:hAnsi="仿宋_GB2312" w:eastAsia="仿宋_GB2312" w:cs="仿宋_GB2312"/>
          <w:spacing w:val="6"/>
          <w:kern w:val="0"/>
          <w:sz w:val="32"/>
          <w:szCs w:val="32"/>
          <w:lang w:val="en-US" w:eastAsia="zh-CN"/>
        </w:rPr>
        <w:t>为加强</w:t>
      </w:r>
      <w:r>
        <w:rPr>
          <w:rFonts w:hint="eastAsia" w:ascii="仿宋_GB2312" w:hAnsi="仿宋_GB2312" w:eastAsia="仿宋_GB2312" w:cs="仿宋_GB2312"/>
          <w:spacing w:val="6"/>
          <w:kern w:val="0"/>
          <w:sz w:val="32"/>
          <w:szCs w:val="32"/>
        </w:rPr>
        <w:t>预算管理</w:t>
      </w:r>
      <w:r>
        <w:rPr>
          <w:rFonts w:hint="eastAsia" w:ascii="仿宋_GB2312" w:hAnsi="仿宋_GB2312" w:eastAsia="仿宋_GB2312" w:cs="仿宋_GB2312"/>
          <w:spacing w:val="6"/>
          <w:kern w:val="0"/>
          <w:sz w:val="32"/>
          <w:szCs w:val="32"/>
          <w:lang w:val="en-US" w:eastAsia="zh-CN"/>
        </w:rPr>
        <w:t>，中心从预算编制环节入手，编制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预算绩效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做到了费用支出预算有目标，确保资金支出效益。</w:t>
      </w:r>
    </w:p>
    <w:p w14:paraId="75119CAB">
      <w:pPr>
        <w:pStyle w:val="2"/>
        <w:keepNext w:val="0"/>
        <w:keepLines w:val="0"/>
        <w:pageBreakBefore w:val="0"/>
        <w:kinsoku/>
        <w:wordWrap/>
        <w:overflowPunct/>
        <w:topLinePunct w:val="0"/>
        <w:autoSpaceDE/>
        <w:autoSpaceDN/>
        <w:bidi w:val="0"/>
        <w:adjustRightInd/>
        <w:snapToGrid/>
        <w:spacing w:line="560" w:lineRule="exact"/>
        <w:ind w:firstLine="664"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6"/>
          <w:kern w:val="0"/>
          <w:sz w:val="32"/>
          <w:szCs w:val="32"/>
          <w:lang w:val="en-US" w:eastAsia="zh-CN"/>
        </w:rPr>
        <w:t>依据</w:t>
      </w:r>
      <w:r>
        <w:rPr>
          <w:rFonts w:hint="eastAsia" w:ascii="仿宋_GB2312" w:hAnsi="仿宋_GB2312" w:eastAsia="仿宋_GB2312" w:cs="仿宋_GB2312"/>
          <w:sz w:val="32"/>
          <w:szCs w:val="32"/>
          <w:lang w:eastAsia="zh-CN"/>
        </w:rPr>
        <w:t>岳阳市财政局</w:t>
      </w:r>
      <w:r>
        <w:rPr>
          <w:rFonts w:hint="eastAsia" w:ascii="仿宋_GB2312" w:hAnsi="仿宋_GB2312" w:eastAsia="仿宋_GB2312" w:cs="仿宋_GB2312"/>
          <w:sz w:val="32"/>
          <w:szCs w:val="32"/>
          <w:lang w:val="en-US" w:eastAsia="zh-CN"/>
        </w:rPr>
        <w:t>《岳阳市财政局关于开展2025年度市级预算支出绩效自评工作的通知》（岳财函〔2026〕25号）和</w:t>
      </w:r>
      <w:r>
        <w:rPr>
          <w:rFonts w:hint="eastAsia" w:ascii="仿宋_GB2312" w:hAnsi="仿宋_GB2312" w:eastAsia="仿宋_GB2312" w:cs="仿宋_GB2312"/>
          <w:sz w:val="32"/>
          <w:szCs w:val="32"/>
          <w:lang w:eastAsia="zh-CN"/>
        </w:rPr>
        <w:t>岳阳市财政局</w:t>
      </w:r>
      <w:r>
        <w:rPr>
          <w:rFonts w:hint="eastAsia" w:ascii="仿宋_GB2312" w:hAnsi="仿宋_GB2312" w:eastAsia="仿宋_GB2312" w:cs="仿宋_GB2312"/>
          <w:sz w:val="32"/>
          <w:szCs w:val="32"/>
          <w:lang w:val="en-US" w:eastAsia="zh-CN"/>
        </w:rPr>
        <w:t>《关于印发&lt;岳阳市市级预算部门绩效自评操作规程&gt;的通知》（岳财函〔2022〕209号）文件精神，结合岳阳市2025年市本级财政预算批复和2025年度预算绩效目标，中心</w:t>
      </w:r>
      <w:r>
        <w:rPr>
          <w:rFonts w:hint="eastAsia" w:ascii="仿宋_GB2312" w:hAnsi="仿宋_GB2312" w:eastAsia="仿宋_GB2312" w:cs="仿宋_GB2312"/>
          <w:spacing w:val="6"/>
          <w:kern w:val="0"/>
          <w:sz w:val="32"/>
          <w:szCs w:val="32"/>
          <w:lang w:val="en-US" w:eastAsia="zh-CN"/>
        </w:rPr>
        <w:t>于2025年10月底，组织开展了</w:t>
      </w:r>
      <w:r>
        <w:rPr>
          <w:rFonts w:hint="eastAsia" w:ascii="仿宋_GB2312" w:hAnsi="仿宋_GB2312" w:eastAsia="仿宋_GB2312" w:cs="仿宋_GB2312"/>
          <w:spacing w:val="6"/>
          <w:kern w:val="0"/>
          <w:sz w:val="32"/>
          <w:szCs w:val="32"/>
        </w:rPr>
        <w:t>预算执行监控</w:t>
      </w:r>
      <w:r>
        <w:rPr>
          <w:rFonts w:hint="eastAsia" w:ascii="仿宋_GB2312" w:hAnsi="仿宋_GB2312" w:eastAsia="仿宋_GB2312" w:cs="仿宋_GB2312"/>
          <w:spacing w:val="6"/>
          <w:kern w:val="0"/>
          <w:sz w:val="32"/>
          <w:szCs w:val="32"/>
          <w:lang w:val="en-US" w:eastAsia="zh-CN"/>
        </w:rPr>
        <w:t>工作，适时分析预算执行过程中的</w:t>
      </w:r>
      <w:r>
        <w:rPr>
          <w:rFonts w:hint="eastAsia" w:ascii="仿宋_GB2312" w:hAnsi="仿宋_GB2312" w:eastAsia="仿宋_GB2312" w:cs="仿宋_GB2312"/>
          <w:color w:val="000000"/>
          <w:sz w:val="32"/>
          <w:szCs w:val="32"/>
        </w:rPr>
        <w:t>偏差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并制定</w:t>
      </w:r>
      <w:r>
        <w:rPr>
          <w:rFonts w:hint="eastAsia" w:ascii="仿宋_GB2312" w:hAnsi="仿宋_GB2312" w:eastAsia="仿宋_GB2312" w:cs="仿宋_GB2312"/>
          <w:color w:val="000000"/>
          <w:sz w:val="32"/>
          <w:szCs w:val="32"/>
        </w:rPr>
        <w:t>改进措施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pacing w:val="6"/>
          <w:kern w:val="0"/>
          <w:sz w:val="32"/>
          <w:szCs w:val="32"/>
          <w:lang w:val="en-US" w:eastAsia="zh-CN"/>
        </w:rPr>
        <w:t>2026年5 月中旬开始组织对上年经费支出进行绩效自评工作，总结分析资金支出绩效情况，真正做到了</w:t>
      </w:r>
      <w:r>
        <w:rPr>
          <w:rFonts w:hint="eastAsia" w:ascii="仿宋_GB2312" w:hAnsi="仿宋_GB2312" w:eastAsia="仿宋_GB2312" w:cs="仿宋_GB2312"/>
          <w:spacing w:val="6"/>
          <w:kern w:val="0"/>
          <w:sz w:val="32"/>
          <w:szCs w:val="32"/>
        </w:rPr>
        <w:t>预算</w:t>
      </w:r>
      <w:r>
        <w:rPr>
          <w:rFonts w:hint="eastAsia" w:ascii="仿宋_GB2312" w:hAnsi="仿宋_GB2312" w:eastAsia="仿宋_GB2312" w:cs="仿宋_GB2312"/>
          <w:spacing w:val="6"/>
          <w:kern w:val="0"/>
          <w:sz w:val="32"/>
          <w:szCs w:val="32"/>
          <w:lang w:val="en-US" w:eastAsia="zh-CN"/>
        </w:rPr>
        <w:t>执行</w:t>
      </w:r>
      <w:r>
        <w:rPr>
          <w:rFonts w:hint="eastAsia" w:ascii="仿宋_GB2312" w:hAnsi="仿宋_GB2312" w:eastAsia="仿宋_GB2312" w:cs="仿宋_GB2312"/>
          <w:spacing w:val="6"/>
          <w:kern w:val="0"/>
          <w:sz w:val="32"/>
          <w:szCs w:val="32"/>
        </w:rPr>
        <w:t>完成有评价</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rPr>
        <w:t>使单位经济业务从事前、事中、事后得到</w:t>
      </w:r>
      <w:r>
        <w:rPr>
          <w:rFonts w:hint="eastAsia" w:ascii="仿宋_GB2312" w:hAnsi="仿宋_GB2312" w:eastAsia="仿宋_GB2312" w:cs="仿宋_GB2312"/>
          <w:spacing w:val="6"/>
          <w:kern w:val="0"/>
          <w:sz w:val="32"/>
          <w:szCs w:val="32"/>
          <w:lang w:val="en-US" w:eastAsia="zh-CN"/>
        </w:rPr>
        <w:t>了</w:t>
      </w:r>
      <w:r>
        <w:rPr>
          <w:rFonts w:hint="eastAsia" w:ascii="仿宋_GB2312" w:hAnsi="仿宋_GB2312" w:eastAsia="仿宋_GB2312" w:cs="仿宋_GB2312"/>
          <w:spacing w:val="6"/>
          <w:kern w:val="0"/>
          <w:sz w:val="32"/>
          <w:szCs w:val="32"/>
        </w:rPr>
        <w:t>有效管控</w:t>
      </w:r>
      <w:r>
        <w:rPr>
          <w:rFonts w:hint="eastAsia" w:ascii="仿宋_GB2312" w:hAnsi="仿宋_GB2312" w:eastAsia="仿宋_GB2312" w:cs="仿宋_GB2312"/>
          <w:spacing w:val="6"/>
          <w:kern w:val="0"/>
          <w:sz w:val="32"/>
          <w:szCs w:val="32"/>
          <w:lang w:eastAsia="zh-CN"/>
        </w:rPr>
        <w:t>。</w:t>
      </w:r>
    </w:p>
    <w:p w14:paraId="123B0BF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资金管理</w:t>
      </w:r>
    </w:p>
    <w:p w14:paraId="50BCAB1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资金使用管理严格按照《预算法》、《政府会计制度》、岳阳市财政局《关于进一步规范专项资金使用流程的通知》（岳财发〔2024〕8号）和我单位《财务管理制度》执行，资金使用合规，无截留、挪用资金等情况。</w:t>
      </w:r>
      <w:r>
        <w:rPr>
          <w:rFonts w:hint="eastAsia" w:ascii="仿宋_GB2312" w:hAnsi="仿宋_GB2312" w:eastAsia="仿宋_GB2312" w:cs="仿宋_GB2312"/>
          <w:bCs/>
          <w:sz w:val="32"/>
          <w:szCs w:val="32"/>
          <w:lang w:val="en-US" w:eastAsia="zh-CN"/>
        </w:rPr>
        <w:t>专项资金经依法批准的预算执行，按照专款专用的原则，进行日常财务管理和会计核算，配合市财政、监察和审计等部门对项目专项资金的使用和管理情况进行监督检查，并开展绩效评价工作。</w:t>
      </w:r>
    </w:p>
    <w:p w14:paraId="7C342905">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Chars="200"/>
        <w:textAlignment w:val="auto"/>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（四）政府采购管理</w:t>
      </w:r>
    </w:p>
    <w:p w14:paraId="0C13E1EE">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我单位采购项目严格按《岳阳市预算单位政府集中采购目录及标准指引(2022版)》（岳财发〔2022〕2号）和《湖南省财政厅关于印发&lt;湖南省政府采购电子卖场管理办法&gt;的通知》（湘财购〔2019〕27号）等相关制度程序办理，2025年度</w:t>
      </w:r>
      <w:r>
        <w:rPr>
          <w:rFonts w:hint="eastAsia" w:ascii="仿宋_GB2312" w:hAnsi="仿宋_GB2312" w:eastAsia="仿宋_GB2312" w:cs="仿宋_GB2312"/>
          <w:color w:val="000000"/>
          <w:kern w:val="0"/>
          <w:sz w:val="32"/>
          <w:szCs w:val="32"/>
          <w:highlight w:val="none"/>
          <w:lang w:val="en-US" w:eastAsia="zh-CN" w:bidi="ar-SA"/>
        </w:rPr>
        <w:t>我单位政府采购目录以内及政府采购限额以上项目采购总额为</w:t>
      </w:r>
      <w:r>
        <w:rPr>
          <w:rFonts w:hint="eastAsia" w:ascii="仿宋_GB2312" w:hAnsi="仿宋_GB2312" w:eastAsia="仿宋_GB2312" w:cs="仿宋_GB2312"/>
          <w:color w:val="auto"/>
          <w:kern w:val="0"/>
          <w:sz w:val="32"/>
          <w:szCs w:val="32"/>
          <w:lang w:val="en-US" w:eastAsia="zh-CN" w:bidi="ar-SA"/>
        </w:rPr>
        <w:t>24.06</w:t>
      </w:r>
      <w:r>
        <w:rPr>
          <w:rFonts w:hint="eastAsia" w:ascii="仿宋_GB2312" w:hAnsi="仿宋_GB2312" w:eastAsia="仿宋_GB2312" w:cs="仿宋_GB2312"/>
          <w:color w:val="000000"/>
          <w:kern w:val="0"/>
          <w:sz w:val="32"/>
          <w:szCs w:val="32"/>
          <w:lang w:val="en-US" w:eastAsia="zh-CN" w:bidi="ar-SA"/>
        </w:rPr>
        <w:t>万元。</w:t>
      </w:r>
    </w:p>
    <w:p w14:paraId="47111004">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（五）固定资产和无形资产管理</w:t>
      </w:r>
    </w:p>
    <w:p w14:paraId="3369E3B9">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1、2025年初，固定资产和无形资产期初账面原值为183.87万元，报废和无偿划转处置固定资产28.18万元（含 市直单位间无偿划转公务车1台），固定资产和无形资产期末账面原值为155.69万</w:t>
      </w:r>
      <w:r>
        <w:rPr>
          <w:rFonts w:hint="eastAsia" w:ascii="仿宋_GB2312" w:hAnsi="仿宋_GB2312" w:eastAsia="仿宋_GB2312" w:cs="仿宋_GB2312"/>
          <w:color w:val="000000"/>
          <w:kern w:val="0"/>
          <w:sz w:val="32"/>
          <w:szCs w:val="32"/>
          <w:lang w:val="en-US" w:eastAsia="zh-CN" w:bidi="ar-SA"/>
        </w:rPr>
        <w:t>元。固定资产和无形资产使用率为100%，无闲置固定资产和无形资产。</w:t>
      </w:r>
    </w:p>
    <w:p w14:paraId="70827572">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2、根据《岳阳市市直行政事业单位2022-2025年通用资产配置标准》（岳管发</w:t>
      </w:r>
      <w:r>
        <w:rPr>
          <w:rFonts w:hint="eastAsia" w:ascii="仿宋_GB2312" w:hAnsi="仿宋_GB2312" w:eastAsia="仿宋_GB2312" w:cs="仿宋_GB2312"/>
          <w:color w:val="auto"/>
          <w:kern w:val="0"/>
          <w:sz w:val="32"/>
          <w:szCs w:val="32"/>
          <w:lang w:val="en-US" w:eastAsia="zh-CN" w:bidi="ar-SA"/>
        </w:rPr>
        <w:t>〔2022〕27号）</w:t>
      </w:r>
      <w:r>
        <w:rPr>
          <w:rFonts w:hint="eastAsia" w:ascii="仿宋_GB2312" w:hAnsi="仿宋_GB2312" w:eastAsia="仿宋_GB2312" w:cs="仿宋_GB2312"/>
          <w:color w:val="000000"/>
          <w:kern w:val="0"/>
          <w:sz w:val="32"/>
          <w:szCs w:val="32"/>
          <w:lang w:val="en-US" w:eastAsia="zh-CN" w:bidi="ar-SA"/>
        </w:rPr>
        <w:t>落实了固定资产从购置、使用、清查，到处置、交接的规范化管理，并明确了使用人职责，保障了国有资产安全，提高了国有资产的使用效率。</w:t>
      </w:r>
    </w:p>
    <w:p w14:paraId="13165B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3、2025年，对固定资产进行了清查盘点，保证了资产账实相符。</w:t>
      </w:r>
    </w:p>
    <w:p w14:paraId="778A173C">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（六）</w:t>
      </w:r>
      <w:r>
        <w:rPr>
          <w:rFonts w:hint="eastAsia" w:ascii="仿宋_GB2312" w:hAnsi="仿宋_GB2312" w:eastAsia="仿宋_GB2312" w:cs="仿宋_GB2312"/>
          <w:b/>
          <w:bCs/>
          <w:sz w:val="32"/>
          <w:szCs w:val="32"/>
          <w:highlight w:val="none"/>
          <w:lang w:val="en-US" w:eastAsia="zh-CN"/>
        </w:rPr>
        <w:t>履职效能、社会效应、可持续发展能力和服务对象满意度等方面情况</w:t>
      </w:r>
    </w:p>
    <w:p w14:paraId="5051A90A">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加强停车管理工作，对违规停车行为进行宣传引导，积极挖掘停车资源，增划停车泊位，对</w:t>
      </w:r>
      <w:r>
        <w:rPr>
          <w:rFonts w:hint="eastAsia" w:ascii="仿宋_GB2312" w:hAnsi="仿宋_GB2312" w:eastAsia="仿宋_GB2312" w:cs="仿宋_GB2312"/>
          <w:color w:val="auto"/>
          <w:kern w:val="0"/>
          <w:sz w:val="32"/>
          <w:szCs w:val="32"/>
          <w:lang w:val="en-US" w:eastAsia="zh-CN" w:bidi="ar-SA"/>
        </w:rPr>
        <w:t>人行道隔离设施进行翻新和维护</w:t>
      </w:r>
      <w:r>
        <w:rPr>
          <w:rFonts w:hint="eastAsia" w:ascii="仿宋_GB2312" w:hAnsi="仿宋_GB2312" w:eastAsia="仿宋_GB2312" w:cs="仿宋_GB2312"/>
          <w:color w:val="auto"/>
          <w:kern w:val="0"/>
          <w:sz w:val="32"/>
          <w:szCs w:val="32"/>
          <w:highlight w:val="none"/>
          <w:lang w:val="en-US" w:eastAsia="zh-CN" w:bidi="ar-SA"/>
        </w:rPr>
        <w:t>。同时，在中心城区开展</w:t>
      </w:r>
      <w:r>
        <w:rPr>
          <w:rFonts w:hint="eastAsia" w:ascii="仿宋_GB2312" w:hAnsi="仿宋_GB2312" w:eastAsia="仿宋_GB2312" w:cs="仿宋_GB2312"/>
          <w:sz w:val="32"/>
          <w:szCs w:val="32"/>
          <w:lang w:val="en-US" w:eastAsia="zh-CN"/>
        </w:rPr>
        <w:t>公共区域停车场</w:t>
      </w:r>
      <w:r>
        <w:rPr>
          <w:rFonts w:hint="eastAsia" w:ascii="仿宋_GB2312" w:hAnsi="仿宋_GB2312" w:eastAsia="仿宋_GB2312" w:cs="仿宋_GB2312"/>
          <w:color w:val="auto"/>
          <w:kern w:val="0"/>
          <w:sz w:val="32"/>
          <w:szCs w:val="32"/>
          <w:highlight w:val="none"/>
          <w:lang w:val="en-US" w:eastAsia="zh-CN" w:bidi="ar-SA"/>
        </w:rPr>
        <w:t>专项整治工作，规范公共</w:t>
      </w:r>
      <w:r>
        <w:rPr>
          <w:rFonts w:hint="eastAsia" w:ascii="仿宋_GB2312" w:hAnsi="仿宋_GB2312" w:eastAsia="仿宋_GB2312" w:cs="仿宋_GB2312"/>
          <w:sz w:val="32"/>
          <w:szCs w:val="32"/>
          <w:lang w:val="en-US" w:eastAsia="zh-CN"/>
        </w:rPr>
        <w:t>区域</w:t>
      </w:r>
      <w:r>
        <w:rPr>
          <w:rFonts w:hint="eastAsia" w:ascii="仿宋_GB2312" w:hAnsi="仿宋_GB2312" w:eastAsia="仿宋_GB2312" w:cs="仿宋_GB2312"/>
          <w:color w:val="auto"/>
          <w:kern w:val="0"/>
          <w:sz w:val="32"/>
          <w:szCs w:val="32"/>
          <w:highlight w:val="none"/>
          <w:lang w:val="en-US" w:eastAsia="zh-CN" w:bidi="ar-SA"/>
        </w:rPr>
        <w:t>停车场管理</w:t>
      </w:r>
      <w:r>
        <w:rPr>
          <w:rFonts w:hint="eastAsia" w:ascii="仿宋_GB2312" w:hAnsi="仿宋_GB2312" w:eastAsia="仿宋_GB2312" w:cs="仿宋_GB2312"/>
          <w:color w:val="auto"/>
          <w:kern w:val="0"/>
          <w:sz w:val="32"/>
          <w:szCs w:val="32"/>
          <w:lang w:val="en-US" w:eastAsia="zh-CN" w:bidi="ar-SA"/>
        </w:rPr>
        <w:t>，为市民出行提供便利。随着城市车辆总量的增加，城市交通压力日益增大，加强共享电动自行车的规范管理，为市民出行提供了多样选择，打通市民出行“最后一公里”</w:t>
      </w:r>
      <w:r>
        <w:rPr>
          <w:rFonts w:hint="eastAsia" w:ascii="仿宋_GB2312" w:hAnsi="仿宋_GB2312" w:eastAsia="仿宋_GB2312" w:cs="仿宋_GB2312"/>
          <w:color w:val="auto"/>
          <w:kern w:val="0"/>
          <w:sz w:val="32"/>
          <w:szCs w:val="32"/>
          <w:highlight w:val="none"/>
          <w:lang w:val="en-US" w:eastAsia="zh-CN" w:bidi="ar-SA"/>
        </w:rPr>
        <w:t>。</w:t>
      </w:r>
      <w:r>
        <w:rPr>
          <w:rFonts w:hint="eastAsia" w:ascii="仿宋_GB2312" w:hAnsi="仿宋_GB2312" w:eastAsia="仿宋_GB2312" w:cs="仿宋_GB2312"/>
          <w:color w:val="auto"/>
          <w:kern w:val="0"/>
          <w:sz w:val="32"/>
          <w:szCs w:val="32"/>
          <w:lang w:val="en-US" w:eastAsia="zh-CN" w:bidi="ar-SA"/>
        </w:rPr>
        <w:t>宣传倡导绿色安全出行的理念，在一定程度上缓解城市交通压力，同时对节能减排，</w:t>
      </w:r>
      <w:r>
        <w:rPr>
          <w:rFonts w:hint="eastAsia" w:ascii="仿宋_GB2312" w:hAnsi="仿宋_GB2312" w:eastAsia="仿宋_GB2312" w:cs="仿宋_GB2312"/>
          <w:color w:val="auto"/>
          <w:kern w:val="0"/>
          <w:sz w:val="32"/>
          <w:szCs w:val="32"/>
          <w:highlight w:val="none"/>
          <w:lang w:val="en-US" w:eastAsia="zh-CN" w:bidi="ar-SA"/>
        </w:rPr>
        <w:t>改善环境污染起到了积极作用。</w:t>
      </w:r>
    </w:p>
    <w:p w14:paraId="1079A3B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val="0"/>
          <w:color w:val="auto"/>
          <w:sz w:val="32"/>
          <w:szCs w:val="32"/>
          <w:highlight w:val="none"/>
          <w:lang w:val="en-US" w:eastAsia="zh-CN"/>
        </w:rPr>
        <w:t>（七）运行成本和管理效率</w:t>
      </w:r>
    </w:p>
    <w:p w14:paraId="3025B9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2025年，中心</w:t>
      </w:r>
      <w:r>
        <w:rPr>
          <w:rFonts w:hint="eastAsia" w:ascii="仿宋_GB2312" w:hAnsi="仿宋_GB2312" w:eastAsia="仿宋_GB2312" w:cs="仿宋_GB2312"/>
          <w:sz w:val="32"/>
          <w:szCs w:val="32"/>
        </w:rPr>
        <w:t>认真履行本部门职能职责，</w:t>
      </w:r>
      <w:r>
        <w:rPr>
          <w:rFonts w:hint="eastAsia" w:ascii="仿宋_GB2312" w:hAnsi="仿宋_GB2312" w:eastAsia="仿宋_GB2312" w:cs="仿宋_GB2312"/>
          <w:sz w:val="32"/>
          <w:szCs w:val="32"/>
          <w:lang w:val="en-US" w:eastAsia="zh-CN"/>
        </w:rPr>
        <w:t>圆满完成了</w:t>
      </w:r>
      <w:r>
        <w:rPr>
          <w:rFonts w:hint="eastAsia" w:ascii="仿宋_GB2312" w:hAnsi="仿宋_GB2312" w:eastAsia="仿宋_GB2312" w:cs="仿宋_GB2312"/>
          <w:sz w:val="32"/>
          <w:szCs w:val="32"/>
        </w:rPr>
        <w:t>年初目标任务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本年预算支出总额为604.23万元，</w:t>
      </w:r>
      <w:r>
        <w:rPr>
          <w:rFonts w:hint="eastAsia" w:ascii="仿宋_GB2312" w:hAnsi="仿宋_GB2312" w:eastAsia="仿宋_GB2312" w:cs="仿宋_GB2312"/>
          <w:color w:val="auto"/>
          <w:kern w:val="0"/>
          <w:sz w:val="32"/>
          <w:szCs w:val="32"/>
          <w:lang w:val="en-US" w:eastAsia="zh-CN" w:bidi="ar-SA"/>
        </w:rPr>
        <w:t>实际支出总额为588.34万元（含其他资金支出3.04万元），其中基本支出357.93万元，项目支出总额为230.41万元，预算执行率为97.37%。预算成本控制较好，整体支出绩效良好，达到既定目标要求。</w:t>
      </w:r>
    </w:p>
    <w:p w14:paraId="73A481C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sz w:val="32"/>
          <w:szCs w:val="32"/>
          <w:lang w:val="en-US" w:eastAsia="zh-CN"/>
        </w:rPr>
        <w:t>评价结果：</w:t>
      </w:r>
    </w:p>
    <w:p w14:paraId="6E2BB6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评价小组依</w:t>
      </w:r>
      <w:r>
        <w:rPr>
          <w:rFonts w:hint="eastAsia" w:ascii="仿宋_GB2312" w:hAnsi="仿宋_GB2312" w:eastAsia="仿宋_GB2312" w:cs="仿宋_GB2312"/>
          <w:sz w:val="32"/>
          <w:szCs w:val="32"/>
        </w:rPr>
        <w:t>据</w:t>
      </w:r>
      <w:r>
        <w:rPr>
          <w:rFonts w:hint="eastAsia" w:ascii="仿宋_GB2312" w:hAnsi="仿宋_GB2312" w:eastAsia="仿宋_GB2312" w:cs="仿宋_GB2312"/>
          <w:sz w:val="32"/>
          <w:szCs w:val="32"/>
          <w:lang w:val="en-US" w:eastAsia="zh-CN"/>
        </w:rPr>
        <w:t>岳阳市财政局《关于印发&lt;岳阳市市级预算部门绩效自评操作规程&gt;的通知》岳财函〔2022〕209号文件规定相关</w:t>
      </w:r>
      <w:r>
        <w:rPr>
          <w:rFonts w:hint="eastAsia" w:ascii="仿宋_GB2312" w:hAnsi="仿宋_GB2312" w:eastAsia="仿宋_GB2312" w:cs="仿宋_GB2312"/>
          <w:sz w:val="32"/>
          <w:szCs w:val="32"/>
        </w:rPr>
        <w:t>评价指标</w:t>
      </w:r>
      <w:r>
        <w:rPr>
          <w:rFonts w:hint="eastAsia" w:ascii="仿宋_GB2312" w:hAnsi="仿宋_GB2312" w:eastAsia="仿宋_GB2312" w:cs="仿宋_GB2312"/>
          <w:sz w:val="32"/>
          <w:szCs w:val="32"/>
          <w:lang w:val="en-US" w:eastAsia="zh-CN"/>
        </w:rPr>
        <w:t>和标准进行了分析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单位整体支出绩效良好，</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年单位整体支出绩效自评得分为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lang w:val="en-US" w:eastAsia="zh-CN"/>
        </w:rPr>
        <w:t>6.74”</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具体评分明细见附件二），评定等级为优秀</w:t>
      </w:r>
      <w:r>
        <w:rPr>
          <w:rFonts w:hint="eastAsia" w:ascii="仿宋_GB2312" w:hAnsi="仿宋_GB2312" w:eastAsia="仿宋_GB2312" w:cs="仿宋_GB2312"/>
          <w:sz w:val="32"/>
          <w:szCs w:val="32"/>
          <w:lang w:eastAsia="zh-CN"/>
        </w:rPr>
        <w:t>。</w:t>
      </w:r>
    </w:p>
    <w:p w14:paraId="1072EB99">
      <w:pPr>
        <w:pStyle w:val="11"/>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eastAsia="zh-CN"/>
        </w:rPr>
        <w:t>五</w:t>
      </w:r>
      <w:r>
        <w:rPr>
          <w:rFonts w:hint="eastAsia" w:ascii="黑体" w:hAnsi="黑体" w:eastAsia="黑体" w:cs="黑体"/>
          <w:b/>
          <w:bCs/>
          <w:color w:val="auto"/>
          <w:sz w:val="32"/>
          <w:szCs w:val="32"/>
          <w:highlight w:val="none"/>
        </w:rPr>
        <w:t>、存在的问题及原因分析</w:t>
      </w:r>
    </w:p>
    <w:p w14:paraId="1652A2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1、</w:t>
      </w:r>
      <w:r>
        <w:rPr>
          <w:rFonts w:hint="eastAsia" w:ascii="仿宋_GB2312" w:hAnsi="仿宋_GB2312" w:eastAsia="仿宋_GB2312" w:cs="仿宋_GB2312"/>
          <w:b w:val="0"/>
          <w:bCs w:val="0"/>
          <w:spacing w:val="9"/>
          <w:sz w:val="32"/>
          <w:szCs w:val="32"/>
          <w:shd w:val="clear" w:color="auto" w:fill="FFFFFF"/>
          <w:lang w:val="en-US" w:eastAsia="zh-CN"/>
        </w:rPr>
        <w:t>停车设施管理标准难以统一。由于停车设施的管理涉及到多个部门，管理标准难以完全统一，跨部门之间的协调比较复杂。</w:t>
      </w:r>
    </w:p>
    <w:p w14:paraId="7DB31794">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SA"/>
        </w:rPr>
        <w:t>预算绩效目标中绩效指标制订细化、量化，与业务工作融合程度还有待进一步提升。主要原因工作人员对相关政策法规掌握不够全面，部门间交流沟通还有待进一步加强。</w:t>
      </w:r>
    </w:p>
    <w:p w14:paraId="41DBDA6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highlight w:val="none"/>
        </w:rPr>
      </w:pPr>
      <w:r>
        <w:rPr>
          <w:rFonts w:hint="eastAsia" w:ascii="黑体" w:hAnsi="黑体" w:eastAsia="黑体" w:cs="黑体"/>
          <w:b/>
          <w:bCs/>
          <w:sz w:val="32"/>
          <w:szCs w:val="32"/>
          <w:highlight w:val="none"/>
          <w:lang w:val="en-US" w:eastAsia="zh-CN"/>
        </w:rPr>
        <w:t>六、</w:t>
      </w:r>
      <w:r>
        <w:rPr>
          <w:rFonts w:hint="eastAsia" w:ascii="黑体" w:hAnsi="黑体" w:eastAsia="黑体" w:cs="黑体"/>
          <w:b/>
          <w:bCs/>
          <w:sz w:val="32"/>
          <w:szCs w:val="32"/>
          <w:highlight w:val="none"/>
        </w:rPr>
        <w:t>下一步改进措施</w:t>
      </w:r>
    </w:p>
    <w:p w14:paraId="6ED5D2E7">
      <w:pPr>
        <w:pStyle w:val="4"/>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1、加强部门间协调联动，制订统一的</w:t>
      </w:r>
      <w:r>
        <w:rPr>
          <w:rFonts w:hint="eastAsia" w:ascii="仿宋_GB2312" w:hAnsi="仿宋_GB2312" w:eastAsia="仿宋_GB2312" w:cs="仿宋_GB2312"/>
          <w:b w:val="0"/>
          <w:bCs w:val="0"/>
          <w:spacing w:val="9"/>
          <w:sz w:val="32"/>
          <w:szCs w:val="32"/>
          <w:shd w:val="clear" w:color="auto" w:fill="FFFFFF"/>
          <w:lang w:val="en-US" w:eastAsia="zh-CN"/>
        </w:rPr>
        <w:t>停车设施管理标准，避免因标准不统一造成的资源浪费现象发生。</w:t>
      </w:r>
    </w:p>
    <w:p w14:paraId="0E93F1C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lang w:val="en-US" w:eastAsia="zh-CN" w:bidi="ar-SA"/>
        </w:rPr>
        <w:t>2、</w:t>
      </w:r>
      <w:r>
        <w:rPr>
          <w:rFonts w:hint="eastAsia" w:ascii="仿宋_GB2312" w:hAnsi="仿宋_GB2312" w:eastAsia="仿宋_GB2312" w:cs="仿宋_GB2312"/>
          <w:color w:val="auto"/>
          <w:kern w:val="0"/>
          <w:sz w:val="32"/>
          <w:szCs w:val="32"/>
          <w:highlight w:val="none"/>
          <w:lang w:val="en-US" w:eastAsia="zh-CN" w:bidi="ar-SA"/>
        </w:rPr>
        <w:t>加强预算绩效管理相关业务知识培训，进一步增强预算意识和绩效意识。深入一线调查研究，了解具体业务情况，优化细化预算绩效目标的编制，深化预算绩效目标与业务工作的融合，增强预算的约束性，进一步提升单位预算支出绩效。</w:t>
      </w:r>
    </w:p>
    <w:p w14:paraId="21370926">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highlight w:val="none"/>
        </w:rPr>
      </w:pPr>
      <w:r>
        <w:rPr>
          <w:rFonts w:hint="eastAsia" w:ascii="黑体" w:hAnsi="黑体" w:eastAsia="黑体" w:cs="黑体"/>
          <w:b/>
          <w:bCs/>
          <w:sz w:val="32"/>
          <w:szCs w:val="32"/>
          <w:highlight w:val="none"/>
          <w:lang w:eastAsia="zh-CN"/>
        </w:rPr>
        <w:t>七</w:t>
      </w:r>
      <w:r>
        <w:rPr>
          <w:rFonts w:hint="eastAsia" w:ascii="黑体" w:hAnsi="黑体" w:eastAsia="黑体" w:cs="黑体"/>
          <w:b/>
          <w:bCs/>
          <w:sz w:val="32"/>
          <w:szCs w:val="32"/>
          <w:highlight w:val="none"/>
        </w:rPr>
        <w:t>、部门整体支出绩效自评结果拟应用和公开情况</w:t>
      </w:r>
    </w:p>
    <w:p w14:paraId="6842D68F">
      <w:pPr>
        <w:pStyle w:val="3"/>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val="0"/>
          <w:bCs w:val="0"/>
          <w:sz w:val="32"/>
          <w:szCs w:val="32"/>
        </w:rPr>
        <w:t>部门整体支出绩效自评结果</w:t>
      </w:r>
      <w:r>
        <w:rPr>
          <w:rFonts w:hint="eastAsia" w:ascii="仿宋_GB2312" w:hAnsi="仿宋_GB2312" w:eastAsia="仿宋_GB2312" w:cs="仿宋_GB2312"/>
          <w:b w:val="0"/>
          <w:bCs w:val="0"/>
          <w:sz w:val="32"/>
          <w:szCs w:val="32"/>
          <w:lang w:val="en-US" w:eastAsia="zh-CN"/>
        </w:rPr>
        <w:t>将作为完善我单位相关制度，改进资金管理的重要依据，同时，也将作为单位内部工作总结的参考依据。我单位的预算绩效目标、预算、决算及绩效评价等信息均按相关规定及时在市城管局门户网站进行了公开，</w:t>
      </w:r>
      <w:r>
        <w:rPr>
          <w:rFonts w:hint="eastAsia" w:ascii="仿宋_GB2312" w:hAnsi="仿宋_GB2312" w:eastAsia="仿宋_GB2312" w:cs="仿宋_GB2312"/>
          <w:kern w:val="0"/>
          <w:sz w:val="32"/>
          <w:szCs w:val="32"/>
        </w:rPr>
        <w:t>公开信息基础数据和会计信息资料准确、真实、完整</w:t>
      </w:r>
      <w:r>
        <w:rPr>
          <w:rFonts w:hint="eastAsia" w:ascii="仿宋_GB2312" w:hAnsi="仿宋_GB2312" w:eastAsia="仿宋_GB2312" w:cs="仿宋_GB2312"/>
          <w:kern w:val="0"/>
          <w:sz w:val="32"/>
          <w:szCs w:val="32"/>
          <w:lang w:eastAsia="zh-CN"/>
        </w:rPr>
        <w:t>。</w:t>
      </w:r>
    </w:p>
    <w:p w14:paraId="402B62C5">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1EBAFFB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07F0715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16113AA8">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sz w:val="32"/>
          <w:szCs w:val="32"/>
          <w:highlight w:val="none"/>
          <w:lang w:eastAsia="zh-CN"/>
        </w:rPr>
      </w:pPr>
    </w:p>
    <w:p w14:paraId="0A5B46D3">
      <w:pPr>
        <w:keepNext w:val="0"/>
        <w:keepLines w:val="0"/>
        <w:pageBreakBefore w:val="0"/>
        <w:widowControl w:val="0"/>
        <w:kinsoku/>
        <w:wordWrap/>
        <w:overflowPunct/>
        <w:topLinePunct w:val="0"/>
        <w:autoSpaceDE/>
        <w:autoSpaceDN/>
        <w:bidi w:val="0"/>
        <w:adjustRightInd/>
        <w:snapToGrid/>
        <w:spacing w:afterLines="0" w:line="560" w:lineRule="exact"/>
        <w:jc w:val="both"/>
        <w:textAlignment w:val="auto"/>
        <w:rPr>
          <w:rFonts w:hint="eastAsia" w:ascii="仿宋_GB2312" w:hAnsi="仿宋_GB2312" w:eastAsia="仿宋_GB2312" w:cs="仿宋_GB2312"/>
          <w:sz w:val="32"/>
          <w:szCs w:val="32"/>
          <w:highlight w:val="none"/>
          <w:lang w:eastAsia="zh-CN"/>
        </w:rPr>
      </w:pPr>
    </w:p>
    <w:p w14:paraId="2802CF37">
      <w:pPr>
        <w:keepNext w:val="0"/>
        <w:keepLines w:val="0"/>
        <w:pageBreakBefore w:val="0"/>
        <w:widowControl w:val="0"/>
        <w:kinsoku/>
        <w:wordWrap/>
        <w:overflowPunct/>
        <w:topLinePunct w:val="0"/>
        <w:autoSpaceDE/>
        <w:autoSpaceDN/>
        <w:bidi w:val="0"/>
        <w:adjustRightInd/>
        <w:snapToGrid/>
        <w:spacing w:afterLines="0" w:line="560" w:lineRule="exact"/>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159B2D8A">
      <w:pPr>
        <w:pStyle w:val="2"/>
        <w:rPr>
          <w:rFonts w:hint="eastAsia" w:ascii="仿宋_GB2312" w:hAnsi="仿宋_GB2312" w:eastAsia="仿宋_GB2312" w:cs="仿宋_GB2312"/>
          <w:sz w:val="32"/>
          <w:szCs w:val="32"/>
          <w:highlight w:val="none"/>
          <w:lang w:val="en-US" w:eastAsia="zh-CN"/>
        </w:rPr>
      </w:pPr>
    </w:p>
    <w:p w14:paraId="69226E34">
      <w:pPr>
        <w:pStyle w:val="3"/>
        <w:rPr>
          <w:rFonts w:hint="eastAsia"/>
          <w:lang w:val="en-US" w:eastAsia="zh-CN"/>
        </w:rPr>
      </w:pPr>
    </w:p>
    <w:p w14:paraId="74A51808">
      <w:pPr>
        <w:keepNext w:val="0"/>
        <w:keepLines w:val="0"/>
        <w:pageBreakBefore w:val="0"/>
        <w:widowControl w:val="0"/>
        <w:kinsoku/>
        <w:wordWrap/>
        <w:overflowPunct/>
        <w:topLinePunct w:val="0"/>
        <w:autoSpaceDE/>
        <w:autoSpaceDN/>
        <w:bidi w:val="0"/>
        <w:adjustRightInd/>
        <w:snapToGrid/>
        <w:spacing w:afterLines="0" w:line="560" w:lineRule="exact"/>
        <w:jc w:val="both"/>
        <w:textAlignment w:val="auto"/>
        <w:rPr>
          <w:rFonts w:hint="eastAsia" w:ascii="仿宋_GB2312" w:hAnsi="仿宋_GB2312" w:eastAsia="仿宋_GB2312" w:cs="仿宋_GB2312"/>
          <w:sz w:val="32"/>
          <w:szCs w:val="32"/>
          <w:highlight w:val="none"/>
          <w:lang w:eastAsia="zh-CN"/>
        </w:rPr>
      </w:pPr>
    </w:p>
    <w:p w14:paraId="0CEAA16F">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eastAsia="zh-CN"/>
        </w:rPr>
      </w:pPr>
    </w:p>
    <w:p w14:paraId="12B9D584">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eastAsia="zh-CN"/>
        </w:rPr>
      </w:pPr>
    </w:p>
    <w:p w14:paraId="0B7EF759">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eastAsia="zh-CN"/>
        </w:rPr>
      </w:pPr>
    </w:p>
    <w:p w14:paraId="3DCCAE10">
      <w:pPr>
        <w:pStyle w:val="2"/>
        <w:rPr>
          <w:rFonts w:hint="eastAsia"/>
          <w:lang w:eastAsia="zh-CN"/>
        </w:rPr>
      </w:pPr>
    </w:p>
    <w:p w14:paraId="1C6D4C76">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eastAsia="zh-CN"/>
        </w:rPr>
      </w:pPr>
    </w:p>
    <w:p w14:paraId="672E0D6C">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2037F335">
      <w:pPr>
        <w:spacing w:after="120" w:afterLines="50" w:line="600" w:lineRule="exact"/>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202</w:t>
      </w:r>
      <w:r>
        <w:rPr>
          <w:rFonts w:hint="default" w:ascii="方正小标宋简体" w:hAnsi="方正小标宋简体" w:eastAsia="方正小标宋简体" w:cs="方正小标宋简体"/>
          <w:sz w:val="36"/>
          <w:szCs w:val="36"/>
          <w:highlight w:val="none"/>
          <w:lang w:val="en"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p w14:paraId="6CDFF35D">
      <w:pPr>
        <w:pStyle w:val="4"/>
        <w:rPr>
          <w:rFonts w:hint="eastAsia"/>
        </w:rPr>
      </w:pPr>
    </w:p>
    <w:tbl>
      <w:tblPr>
        <w:tblStyle w:val="8"/>
        <w:tblW w:w="9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92"/>
        <w:gridCol w:w="820"/>
      </w:tblGrid>
      <w:tr w14:paraId="22CD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vMerge w:val="restart"/>
            <w:noWrap w:val="0"/>
            <w:vAlign w:val="center"/>
          </w:tcPr>
          <w:p w14:paraId="201DC72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noWrap w:val="0"/>
            <w:vAlign w:val="center"/>
          </w:tcPr>
          <w:p w14:paraId="078E2EB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noWrap w:val="0"/>
            <w:vAlign w:val="center"/>
          </w:tcPr>
          <w:p w14:paraId="246C8B6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eastAsia="zh-CN"/>
              </w:rPr>
              <w:t>5</w:t>
            </w:r>
            <w:r>
              <w:rPr>
                <w:rFonts w:hint="eastAsia" w:ascii="仿宋_GB2312" w:hAnsi="仿宋_GB2312" w:eastAsia="仿宋_GB2312" w:cs="仿宋_GB2312"/>
                <w:b/>
                <w:bCs/>
                <w:sz w:val="20"/>
                <w:szCs w:val="20"/>
                <w:highlight w:val="none"/>
              </w:rPr>
              <w:t>年实际在职人数</w:t>
            </w:r>
          </w:p>
        </w:tc>
        <w:tc>
          <w:tcPr>
            <w:tcW w:w="1812" w:type="dxa"/>
            <w:gridSpan w:val="2"/>
            <w:noWrap w:val="0"/>
            <w:vAlign w:val="center"/>
          </w:tcPr>
          <w:p w14:paraId="5A55354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2476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vMerge w:val="continue"/>
            <w:noWrap w:val="0"/>
            <w:vAlign w:val="center"/>
          </w:tcPr>
          <w:p w14:paraId="3ED16A8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p>
        </w:tc>
        <w:tc>
          <w:tcPr>
            <w:tcW w:w="2038" w:type="dxa"/>
            <w:gridSpan w:val="2"/>
            <w:noWrap w:val="0"/>
            <w:vAlign w:val="center"/>
          </w:tcPr>
          <w:p w14:paraId="391880B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21</w:t>
            </w:r>
          </w:p>
        </w:tc>
        <w:tc>
          <w:tcPr>
            <w:tcW w:w="2240" w:type="dxa"/>
            <w:gridSpan w:val="2"/>
            <w:noWrap w:val="0"/>
            <w:vAlign w:val="center"/>
          </w:tcPr>
          <w:p w14:paraId="26BA1C5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20</w:t>
            </w:r>
          </w:p>
        </w:tc>
        <w:tc>
          <w:tcPr>
            <w:tcW w:w="1812" w:type="dxa"/>
            <w:gridSpan w:val="2"/>
            <w:noWrap w:val="0"/>
            <w:vAlign w:val="center"/>
          </w:tcPr>
          <w:p w14:paraId="769B46B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eastAsia="zh-CN"/>
              </w:rPr>
              <w:t>95.24</w:t>
            </w:r>
            <w:r>
              <w:rPr>
                <w:rFonts w:hint="eastAsia" w:ascii="仿宋_GB2312" w:hAnsi="仿宋_GB2312" w:eastAsia="仿宋_GB2312" w:cs="仿宋_GB2312"/>
                <w:sz w:val="20"/>
                <w:szCs w:val="20"/>
                <w:highlight w:val="none"/>
                <w:lang w:val="en-US" w:eastAsia="zh-CN"/>
              </w:rPr>
              <w:t>%</w:t>
            </w:r>
            <w:r>
              <w:rPr>
                <w:rFonts w:hint="eastAsia" w:ascii="仿宋_GB2312" w:hAnsi="仿宋_GB2312" w:eastAsia="仿宋_GB2312" w:cs="仿宋_GB2312"/>
                <w:sz w:val="20"/>
                <w:szCs w:val="20"/>
                <w:highlight w:val="none"/>
              </w:rPr>
              <w:t>　</w:t>
            </w:r>
          </w:p>
        </w:tc>
      </w:tr>
      <w:tr w14:paraId="4956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15E885C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noWrap w:val="0"/>
            <w:vAlign w:val="center"/>
          </w:tcPr>
          <w:p w14:paraId="5E8CCCB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eastAsia="zh-CN"/>
              </w:rPr>
              <w:t>4</w:t>
            </w:r>
            <w:r>
              <w:rPr>
                <w:rFonts w:hint="eastAsia" w:ascii="仿宋_GB2312" w:hAnsi="仿宋_GB2312" w:eastAsia="仿宋_GB2312" w:cs="仿宋_GB2312"/>
                <w:b/>
                <w:bCs/>
                <w:sz w:val="20"/>
                <w:szCs w:val="20"/>
                <w:highlight w:val="none"/>
              </w:rPr>
              <w:t>年决算数</w:t>
            </w:r>
          </w:p>
        </w:tc>
        <w:tc>
          <w:tcPr>
            <w:tcW w:w="2240" w:type="dxa"/>
            <w:gridSpan w:val="2"/>
            <w:noWrap w:val="0"/>
            <w:vAlign w:val="center"/>
          </w:tcPr>
          <w:p w14:paraId="75DC474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eastAsia="zh-CN"/>
              </w:rPr>
              <w:t>5</w:t>
            </w:r>
            <w:r>
              <w:rPr>
                <w:rFonts w:hint="eastAsia" w:ascii="仿宋_GB2312" w:hAnsi="仿宋_GB2312" w:eastAsia="仿宋_GB2312" w:cs="仿宋_GB2312"/>
                <w:b/>
                <w:bCs/>
                <w:sz w:val="20"/>
                <w:szCs w:val="20"/>
                <w:highlight w:val="none"/>
              </w:rPr>
              <w:t>年预算数</w:t>
            </w:r>
          </w:p>
        </w:tc>
        <w:tc>
          <w:tcPr>
            <w:tcW w:w="1812" w:type="dxa"/>
            <w:gridSpan w:val="2"/>
            <w:noWrap w:val="0"/>
            <w:vAlign w:val="center"/>
          </w:tcPr>
          <w:p w14:paraId="1E340A7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eastAsia="zh-CN"/>
              </w:rPr>
              <w:t>5</w:t>
            </w:r>
            <w:r>
              <w:rPr>
                <w:rFonts w:hint="eastAsia" w:ascii="仿宋_GB2312" w:hAnsi="仿宋_GB2312" w:eastAsia="仿宋_GB2312" w:cs="仿宋_GB2312"/>
                <w:b/>
                <w:bCs/>
                <w:sz w:val="20"/>
                <w:szCs w:val="20"/>
                <w:highlight w:val="none"/>
              </w:rPr>
              <w:t>年决算数</w:t>
            </w:r>
          </w:p>
        </w:tc>
      </w:tr>
      <w:tr w14:paraId="33C2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050860CF">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noWrap w:val="0"/>
            <w:vAlign w:val="center"/>
          </w:tcPr>
          <w:p w14:paraId="2EAA913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10.08</w:t>
            </w:r>
          </w:p>
        </w:tc>
        <w:tc>
          <w:tcPr>
            <w:tcW w:w="2240" w:type="dxa"/>
            <w:gridSpan w:val="2"/>
            <w:noWrap w:val="0"/>
            <w:vAlign w:val="center"/>
          </w:tcPr>
          <w:p w14:paraId="084877C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16.50</w:t>
            </w:r>
          </w:p>
        </w:tc>
        <w:tc>
          <w:tcPr>
            <w:tcW w:w="1812" w:type="dxa"/>
            <w:gridSpan w:val="2"/>
            <w:noWrap w:val="0"/>
            <w:vAlign w:val="center"/>
          </w:tcPr>
          <w:p w14:paraId="26CACD1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10.03</w:t>
            </w:r>
          </w:p>
        </w:tc>
      </w:tr>
      <w:tr w14:paraId="6BA2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40BAE9B5">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noWrap w:val="0"/>
            <w:vAlign w:val="center"/>
          </w:tcPr>
          <w:p w14:paraId="6E70DBA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eastAsia="zh-CN"/>
              </w:rPr>
              <w:t>10.08</w:t>
            </w:r>
          </w:p>
        </w:tc>
        <w:tc>
          <w:tcPr>
            <w:tcW w:w="2240" w:type="dxa"/>
            <w:gridSpan w:val="2"/>
            <w:noWrap w:val="0"/>
            <w:vAlign w:val="center"/>
          </w:tcPr>
          <w:p w14:paraId="072DCC6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16.00</w:t>
            </w:r>
          </w:p>
        </w:tc>
        <w:tc>
          <w:tcPr>
            <w:tcW w:w="1812" w:type="dxa"/>
            <w:gridSpan w:val="2"/>
            <w:noWrap w:val="0"/>
            <w:vAlign w:val="center"/>
          </w:tcPr>
          <w:p w14:paraId="1D11E85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10.03</w:t>
            </w:r>
          </w:p>
        </w:tc>
      </w:tr>
      <w:tr w14:paraId="09C2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652A071D">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noWrap w:val="0"/>
            <w:vAlign w:val="center"/>
          </w:tcPr>
          <w:p w14:paraId="0A6D626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0.00</w:t>
            </w:r>
          </w:p>
        </w:tc>
        <w:tc>
          <w:tcPr>
            <w:tcW w:w="2240" w:type="dxa"/>
            <w:gridSpan w:val="2"/>
            <w:noWrap w:val="0"/>
            <w:vAlign w:val="center"/>
          </w:tcPr>
          <w:p w14:paraId="547999D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1812" w:type="dxa"/>
            <w:gridSpan w:val="2"/>
            <w:noWrap w:val="0"/>
            <w:vAlign w:val="center"/>
          </w:tcPr>
          <w:p w14:paraId="7C48982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6416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36EB04CB">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noWrap w:val="0"/>
            <w:vAlign w:val="center"/>
          </w:tcPr>
          <w:p w14:paraId="7716C6F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eastAsia="zh-CN"/>
              </w:rPr>
              <w:t>10.08</w:t>
            </w:r>
          </w:p>
        </w:tc>
        <w:tc>
          <w:tcPr>
            <w:tcW w:w="2240" w:type="dxa"/>
            <w:gridSpan w:val="2"/>
            <w:noWrap w:val="0"/>
            <w:vAlign w:val="center"/>
          </w:tcPr>
          <w:p w14:paraId="18BEBDD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16.00</w:t>
            </w:r>
          </w:p>
        </w:tc>
        <w:tc>
          <w:tcPr>
            <w:tcW w:w="1812" w:type="dxa"/>
            <w:gridSpan w:val="2"/>
            <w:noWrap w:val="0"/>
            <w:vAlign w:val="center"/>
          </w:tcPr>
          <w:p w14:paraId="3A1F90E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10.03</w:t>
            </w:r>
          </w:p>
        </w:tc>
      </w:tr>
      <w:tr w14:paraId="2238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221E6C07">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noWrap w:val="0"/>
            <w:vAlign w:val="center"/>
          </w:tcPr>
          <w:p w14:paraId="65BC1F6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eastAsia="zh-CN"/>
              </w:rPr>
              <w:t>0</w:t>
            </w:r>
            <w:r>
              <w:rPr>
                <w:rFonts w:hint="eastAsia" w:ascii="仿宋_GB2312" w:hAnsi="仿宋_GB2312" w:eastAsia="仿宋_GB2312" w:cs="仿宋_GB2312"/>
                <w:sz w:val="20"/>
                <w:szCs w:val="20"/>
                <w:highlight w:val="none"/>
                <w:lang w:val="en-US" w:eastAsia="zh-CN"/>
              </w:rPr>
              <w:t>.00</w:t>
            </w:r>
          </w:p>
        </w:tc>
        <w:tc>
          <w:tcPr>
            <w:tcW w:w="2240" w:type="dxa"/>
            <w:gridSpan w:val="2"/>
            <w:noWrap w:val="0"/>
            <w:vAlign w:val="center"/>
          </w:tcPr>
          <w:p w14:paraId="38862A3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1812" w:type="dxa"/>
            <w:gridSpan w:val="2"/>
            <w:noWrap w:val="0"/>
            <w:vAlign w:val="center"/>
          </w:tcPr>
          <w:p w14:paraId="45E70B0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6A63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1C685476">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noWrap w:val="0"/>
            <w:vAlign w:val="center"/>
          </w:tcPr>
          <w:p w14:paraId="6B171E2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eastAsia="zh-CN"/>
              </w:rPr>
              <w:t>0</w:t>
            </w:r>
            <w:r>
              <w:rPr>
                <w:rFonts w:hint="eastAsia" w:ascii="仿宋_GB2312" w:hAnsi="仿宋_GB2312" w:eastAsia="仿宋_GB2312" w:cs="仿宋_GB2312"/>
                <w:sz w:val="20"/>
                <w:szCs w:val="20"/>
                <w:highlight w:val="none"/>
                <w:lang w:val="en-US" w:eastAsia="zh-CN"/>
              </w:rPr>
              <w:t>.00</w:t>
            </w:r>
          </w:p>
        </w:tc>
        <w:tc>
          <w:tcPr>
            <w:tcW w:w="2240" w:type="dxa"/>
            <w:gridSpan w:val="2"/>
            <w:noWrap w:val="0"/>
            <w:vAlign w:val="center"/>
          </w:tcPr>
          <w:p w14:paraId="7924E85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0.50</w:t>
            </w:r>
          </w:p>
        </w:tc>
        <w:tc>
          <w:tcPr>
            <w:tcW w:w="1812" w:type="dxa"/>
            <w:gridSpan w:val="2"/>
            <w:noWrap w:val="0"/>
            <w:vAlign w:val="center"/>
          </w:tcPr>
          <w:p w14:paraId="54A021B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055F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1ADFAC5C">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noWrap w:val="0"/>
            <w:vAlign w:val="center"/>
          </w:tcPr>
          <w:p w14:paraId="7804845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 w:eastAsia="zh-CN" w:bidi="ar-SA"/>
              </w:rPr>
            </w:pPr>
            <w:r>
              <w:rPr>
                <w:rFonts w:hint="default" w:ascii="仿宋_GB2312" w:hAnsi="仿宋_GB2312" w:eastAsia="仿宋_GB2312" w:cs="仿宋_GB2312"/>
                <w:sz w:val="20"/>
                <w:szCs w:val="20"/>
                <w:highlight w:val="none"/>
                <w:lang w:val="en" w:eastAsia="zh-CN"/>
              </w:rPr>
              <w:t>315.21</w:t>
            </w:r>
          </w:p>
        </w:tc>
        <w:tc>
          <w:tcPr>
            <w:tcW w:w="2240" w:type="dxa"/>
            <w:gridSpan w:val="2"/>
            <w:noWrap w:val="0"/>
            <w:vAlign w:val="center"/>
          </w:tcPr>
          <w:p w14:paraId="459AE129">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234.61</w:t>
            </w:r>
          </w:p>
        </w:tc>
        <w:tc>
          <w:tcPr>
            <w:tcW w:w="1812" w:type="dxa"/>
            <w:gridSpan w:val="2"/>
            <w:noWrap w:val="0"/>
            <w:vAlign w:val="center"/>
          </w:tcPr>
          <w:p w14:paraId="16F31CA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kern w:val="0"/>
                <w:sz w:val="20"/>
                <w:szCs w:val="20"/>
                <w:highlight w:val="none"/>
                <w:lang w:val="en" w:eastAsia="zh-CN" w:bidi="ar-SA"/>
              </w:rPr>
            </w:pPr>
            <w:r>
              <w:rPr>
                <w:rFonts w:hint="eastAsia" w:ascii="仿宋_GB2312" w:hAnsi="仿宋_GB2312" w:eastAsia="仿宋_GB2312" w:cs="仿宋_GB2312"/>
                <w:sz w:val="20"/>
                <w:szCs w:val="20"/>
                <w:highlight w:val="none"/>
                <w:lang w:val="en-US" w:eastAsia="zh-CN"/>
              </w:rPr>
              <w:t>230.41</w:t>
            </w:r>
          </w:p>
        </w:tc>
      </w:tr>
      <w:tr w14:paraId="3FF3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354" w:type="dxa"/>
            <w:noWrap w:val="0"/>
            <w:vAlign w:val="center"/>
          </w:tcPr>
          <w:p w14:paraId="0FF6A5F8">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noWrap w:val="0"/>
            <w:vAlign w:val="center"/>
          </w:tcPr>
          <w:p w14:paraId="6646304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0.00</w:t>
            </w:r>
          </w:p>
        </w:tc>
        <w:tc>
          <w:tcPr>
            <w:tcW w:w="2240" w:type="dxa"/>
            <w:gridSpan w:val="2"/>
            <w:noWrap w:val="0"/>
            <w:vAlign w:val="center"/>
          </w:tcPr>
          <w:p w14:paraId="1258C25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1812" w:type="dxa"/>
            <w:gridSpan w:val="2"/>
            <w:noWrap w:val="0"/>
            <w:vAlign w:val="center"/>
          </w:tcPr>
          <w:p w14:paraId="69B839E3">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15BD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4F82972D">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noWrap w:val="0"/>
            <w:vAlign w:val="center"/>
          </w:tcPr>
          <w:p w14:paraId="41BBD3D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0.00</w:t>
            </w:r>
          </w:p>
        </w:tc>
        <w:tc>
          <w:tcPr>
            <w:tcW w:w="2240" w:type="dxa"/>
            <w:gridSpan w:val="2"/>
            <w:noWrap w:val="0"/>
            <w:vAlign w:val="center"/>
          </w:tcPr>
          <w:p w14:paraId="5561E8A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1812" w:type="dxa"/>
            <w:gridSpan w:val="2"/>
            <w:noWrap w:val="0"/>
            <w:vAlign w:val="center"/>
          </w:tcPr>
          <w:p w14:paraId="568BBD8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43F4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62AB22EC">
            <w:pPr>
              <w:keepNext w:val="0"/>
              <w:keepLines w:val="0"/>
              <w:pageBreakBefore w:val="0"/>
              <w:widowControl/>
              <w:kinsoku/>
              <w:wordWrap/>
              <w:overflowPunct/>
              <w:topLinePunct w:val="0"/>
              <w:autoSpaceDE/>
              <w:autoSpaceDN/>
              <w:bidi w:val="0"/>
              <w:adjustRightInd/>
              <w:snapToGrid/>
              <w:spacing w:line="48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w:t>
            </w:r>
          </w:p>
        </w:tc>
        <w:tc>
          <w:tcPr>
            <w:tcW w:w="2038" w:type="dxa"/>
            <w:gridSpan w:val="2"/>
            <w:noWrap w:val="0"/>
            <w:vAlign w:val="center"/>
          </w:tcPr>
          <w:p w14:paraId="33B54463">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eastAsia="zh-CN"/>
              </w:rPr>
              <w:t>315.21</w:t>
            </w:r>
          </w:p>
        </w:tc>
        <w:tc>
          <w:tcPr>
            <w:tcW w:w="2240" w:type="dxa"/>
            <w:gridSpan w:val="2"/>
            <w:noWrap w:val="0"/>
            <w:vAlign w:val="center"/>
          </w:tcPr>
          <w:p w14:paraId="02F7312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234.61</w:t>
            </w:r>
          </w:p>
        </w:tc>
        <w:tc>
          <w:tcPr>
            <w:tcW w:w="1812" w:type="dxa"/>
            <w:gridSpan w:val="2"/>
            <w:noWrap w:val="0"/>
            <w:vAlign w:val="center"/>
          </w:tcPr>
          <w:p w14:paraId="4C6AAA5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230.41</w:t>
            </w:r>
          </w:p>
        </w:tc>
      </w:tr>
      <w:tr w14:paraId="3140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4035C894">
            <w:pPr>
              <w:keepNext w:val="0"/>
              <w:keepLines w:val="0"/>
              <w:pageBreakBefore w:val="0"/>
              <w:widowControl/>
              <w:kinsoku/>
              <w:wordWrap/>
              <w:overflowPunct/>
              <w:topLinePunct w:val="0"/>
              <w:autoSpaceDE/>
              <w:autoSpaceDN/>
              <w:bidi w:val="0"/>
              <w:adjustRightInd/>
              <w:snapToGrid/>
              <w:spacing w:line="480" w:lineRule="exact"/>
              <w:ind w:firstLine="400" w:firstLineChars="200"/>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w:t>
            </w:r>
            <w:r>
              <w:rPr>
                <w:rFonts w:hint="eastAsia" w:ascii="仿宋_GB2312" w:hAnsi="仿宋_GB2312" w:eastAsia="仿宋_GB2312" w:cs="仿宋_GB2312"/>
                <w:sz w:val="20"/>
                <w:szCs w:val="20"/>
                <w:highlight w:val="none"/>
                <w:lang w:val="en" w:eastAsia="zh-CN"/>
              </w:rPr>
              <w:t>城管事务经费</w:t>
            </w:r>
          </w:p>
        </w:tc>
        <w:tc>
          <w:tcPr>
            <w:tcW w:w="2038" w:type="dxa"/>
            <w:gridSpan w:val="2"/>
            <w:noWrap w:val="0"/>
            <w:vAlign w:val="center"/>
          </w:tcPr>
          <w:p w14:paraId="54A833F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23.60</w:t>
            </w:r>
          </w:p>
        </w:tc>
        <w:tc>
          <w:tcPr>
            <w:tcW w:w="2240" w:type="dxa"/>
            <w:gridSpan w:val="2"/>
            <w:noWrap w:val="0"/>
            <w:vAlign w:val="center"/>
          </w:tcPr>
          <w:p w14:paraId="44EBC12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50.00</w:t>
            </w:r>
          </w:p>
        </w:tc>
        <w:tc>
          <w:tcPr>
            <w:tcW w:w="1812" w:type="dxa"/>
            <w:gridSpan w:val="2"/>
            <w:noWrap w:val="0"/>
            <w:vAlign w:val="center"/>
          </w:tcPr>
          <w:p w14:paraId="19C5088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50.00</w:t>
            </w:r>
          </w:p>
        </w:tc>
      </w:tr>
      <w:tr w14:paraId="7E89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742678E1">
            <w:pPr>
              <w:keepNext w:val="0"/>
              <w:keepLines w:val="0"/>
              <w:pageBreakBefore w:val="0"/>
              <w:widowControl/>
              <w:kinsoku/>
              <w:wordWrap/>
              <w:overflowPunct/>
              <w:topLinePunct w:val="0"/>
              <w:autoSpaceDE/>
              <w:autoSpaceDN/>
              <w:bidi w:val="0"/>
              <w:adjustRightInd/>
              <w:snapToGrid/>
              <w:spacing w:line="480" w:lineRule="exact"/>
              <w:ind w:firstLine="400" w:firstLineChars="200"/>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（2）协管员经费</w:t>
            </w:r>
          </w:p>
        </w:tc>
        <w:tc>
          <w:tcPr>
            <w:tcW w:w="2038" w:type="dxa"/>
            <w:gridSpan w:val="2"/>
            <w:noWrap w:val="0"/>
            <w:vAlign w:val="center"/>
          </w:tcPr>
          <w:p w14:paraId="05458FC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22.00</w:t>
            </w:r>
          </w:p>
        </w:tc>
        <w:tc>
          <w:tcPr>
            <w:tcW w:w="2240" w:type="dxa"/>
            <w:gridSpan w:val="2"/>
            <w:noWrap w:val="0"/>
            <w:vAlign w:val="center"/>
          </w:tcPr>
          <w:p w14:paraId="76966FB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22.50</w:t>
            </w:r>
          </w:p>
        </w:tc>
        <w:tc>
          <w:tcPr>
            <w:tcW w:w="1812" w:type="dxa"/>
            <w:gridSpan w:val="2"/>
            <w:noWrap w:val="0"/>
            <w:vAlign w:val="center"/>
          </w:tcPr>
          <w:p w14:paraId="641400C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22.50</w:t>
            </w:r>
          </w:p>
        </w:tc>
      </w:tr>
      <w:tr w14:paraId="78C2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47AE9FC3">
            <w:pPr>
              <w:keepNext w:val="0"/>
              <w:keepLines w:val="0"/>
              <w:pageBreakBefore w:val="0"/>
              <w:widowControl/>
              <w:kinsoku/>
              <w:wordWrap/>
              <w:overflowPunct/>
              <w:topLinePunct w:val="0"/>
              <w:autoSpaceDE/>
              <w:autoSpaceDN/>
              <w:bidi w:val="0"/>
              <w:adjustRightInd/>
              <w:snapToGrid/>
              <w:spacing w:line="480" w:lineRule="exact"/>
              <w:ind w:firstLine="400" w:firstLineChars="200"/>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color w:val="auto"/>
                <w:sz w:val="20"/>
                <w:szCs w:val="20"/>
                <w:highlight w:val="none"/>
                <w:lang w:val="en-US" w:eastAsia="zh-CN"/>
              </w:rPr>
              <w:t>（3）办案费</w:t>
            </w:r>
          </w:p>
        </w:tc>
        <w:tc>
          <w:tcPr>
            <w:tcW w:w="2038" w:type="dxa"/>
            <w:gridSpan w:val="2"/>
            <w:noWrap w:val="0"/>
            <w:vAlign w:val="center"/>
          </w:tcPr>
          <w:p w14:paraId="187F9A0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125.39</w:t>
            </w:r>
          </w:p>
        </w:tc>
        <w:tc>
          <w:tcPr>
            <w:tcW w:w="2240" w:type="dxa"/>
            <w:gridSpan w:val="2"/>
            <w:noWrap w:val="0"/>
            <w:vAlign w:val="center"/>
          </w:tcPr>
          <w:p w14:paraId="6F3325B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10.13</w:t>
            </w:r>
          </w:p>
        </w:tc>
        <w:tc>
          <w:tcPr>
            <w:tcW w:w="1812" w:type="dxa"/>
            <w:gridSpan w:val="2"/>
            <w:noWrap w:val="0"/>
            <w:vAlign w:val="center"/>
          </w:tcPr>
          <w:p w14:paraId="6388F15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10.13</w:t>
            </w:r>
          </w:p>
        </w:tc>
      </w:tr>
      <w:tr w14:paraId="284C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79938CC2">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（4）中心城区停车收费项目前期工作经费</w:t>
            </w:r>
          </w:p>
        </w:tc>
        <w:tc>
          <w:tcPr>
            <w:tcW w:w="2038" w:type="dxa"/>
            <w:gridSpan w:val="2"/>
            <w:noWrap w:val="0"/>
            <w:vAlign w:val="center"/>
          </w:tcPr>
          <w:p w14:paraId="69327E3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2240" w:type="dxa"/>
            <w:gridSpan w:val="2"/>
            <w:noWrap w:val="0"/>
            <w:vAlign w:val="center"/>
          </w:tcPr>
          <w:p w14:paraId="265E517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148.98</w:t>
            </w:r>
          </w:p>
        </w:tc>
        <w:tc>
          <w:tcPr>
            <w:tcW w:w="1812" w:type="dxa"/>
            <w:gridSpan w:val="2"/>
            <w:noWrap w:val="0"/>
            <w:vAlign w:val="center"/>
          </w:tcPr>
          <w:p w14:paraId="3B9A9FD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144.96</w:t>
            </w:r>
          </w:p>
        </w:tc>
      </w:tr>
      <w:tr w14:paraId="3478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3BAA2751">
            <w:pPr>
              <w:keepNext w:val="0"/>
              <w:keepLines w:val="0"/>
              <w:pageBreakBefore w:val="0"/>
              <w:widowControl/>
              <w:kinsoku/>
              <w:wordWrap/>
              <w:overflowPunct/>
              <w:topLinePunct w:val="0"/>
              <w:autoSpaceDE/>
              <w:autoSpaceDN/>
              <w:bidi w:val="0"/>
              <w:adjustRightInd/>
              <w:snapToGrid/>
              <w:spacing w:line="480" w:lineRule="exact"/>
              <w:ind w:firstLine="400" w:firstLineChars="200"/>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（5）党建阵地建设工作经费</w:t>
            </w:r>
          </w:p>
        </w:tc>
        <w:tc>
          <w:tcPr>
            <w:tcW w:w="2038" w:type="dxa"/>
            <w:gridSpan w:val="2"/>
            <w:noWrap w:val="0"/>
            <w:vAlign w:val="center"/>
          </w:tcPr>
          <w:p w14:paraId="2573060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2240" w:type="dxa"/>
            <w:gridSpan w:val="2"/>
            <w:noWrap w:val="0"/>
            <w:vAlign w:val="center"/>
          </w:tcPr>
          <w:p w14:paraId="475A616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3.00</w:t>
            </w:r>
          </w:p>
        </w:tc>
        <w:tc>
          <w:tcPr>
            <w:tcW w:w="1812" w:type="dxa"/>
            <w:gridSpan w:val="2"/>
            <w:noWrap w:val="0"/>
            <w:vAlign w:val="center"/>
          </w:tcPr>
          <w:p w14:paraId="743023A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2.82</w:t>
            </w:r>
          </w:p>
        </w:tc>
      </w:tr>
      <w:tr w14:paraId="13C7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6C6A4373">
            <w:pPr>
              <w:keepNext w:val="0"/>
              <w:keepLines w:val="0"/>
              <w:pageBreakBefore w:val="0"/>
              <w:widowControl/>
              <w:kinsoku/>
              <w:wordWrap/>
              <w:overflowPunct/>
              <w:topLinePunct w:val="0"/>
              <w:autoSpaceDE/>
              <w:autoSpaceDN/>
              <w:bidi w:val="0"/>
              <w:adjustRightInd/>
              <w:snapToGrid/>
              <w:spacing w:line="480" w:lineRule="exact"/>
              <w:ind w:firstLine="400" w:firstLineChars="200"/>
              <w:jc w:val="left"/>
              <w:textAlignment w:val="auto"/>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lang w:val="en-US" w:eastAsia="zh-CN"/>
              </w:rPr>
              <w:t>（6）慢行交通管理工作经费</w:t>
            </w:r>
          </w:p>
        </w:tc>
        <w:tc>
          <w:tcPr>
            <w:tcW w:w="2038" w:type="dxa"/>
            <w:gridSpan w:val="2"/>
            <w:noWrap w:val="0"/>
            <w:vAlign w:val="center"/>
          </w:tcPr>
          <w:p w14:paraId="739E4E8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18.99</w:t>
            </w:r>
          </w:p>
        </w:tc>
        <w:tc>
          <w:tcPr>
            <w:tcW w:w="2240" w:type="dxa"/>
            <w:gridSpan w:val="2"/>
            <w:noWrap w:val="0"/>
            <w:vAlign w:val="center"/>
          </w:tcPr>
          <w:p w14:paraId="14CCFE4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1812" w:type="dxa"/>
            <w:gridSpan w:val="2"/>
            <w:noWrap w:val="0"/>
            <w:vAlign w:val="center"/>
          </w:tcPr>
          <w:p w14:paraId="1FE0BB3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3CC5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354" w:type="dxa"/>
            <w:noWrap w:val="0"/>
            <w:vAlign w:val="center"/>
          </w:tcPr>
          <w:p w14:paraId="1AEB2C7C">
            <w:pPr>
              <w:keepNext w:val="0"/>
              <w:keepLines w:val="0"/>
              <w:pageBreakBefore w:val="0"/>
              <w:widowControl/>
              <w:kinsoku/>
              <w:wordWrap/>
              <w:overflowPunct/>
              <w:topLinePunct w:val="0"/>
              <w:autoSpaceDE/>
              <w:autoSpaceDN/>
              <w:bidi w:val="0"/>
              <w:adjustRightInd/>
              <w:snapToGrid/>
              <w:spacing w:line="480" w:lineRule="exact"/>
              <w:ind w:firstLine="400" w:firstLineChars="200"/>
              <w:jc w:val="both"/>
              <w:textAlignment w:val="auto"/>
              <w:rPr>
                <w:rFonts w:hint="eastAsia" w:ascii="仿宋_GB2312" w:hAnsi="仿宋_GB2312" w:eastAsia="仿宋_GB2312" w:cs="仿宋_GB2312"/>
                <w:kern w:val="0"/>
                <w:sz w:val="20"/>
                <w:szCs w:val="20"/>
                <w:lang w:val="en-US" w:eastAsia="zh-CN" w:bidi="ar-SA"/>
              </w:rPr>
            </w:pPr>
            <w:r>
              <w:rPr>
                <w:rFonts w:hint="eastAsia" w:ascii="仿宋_GB2312" w:hAnsi="仿宋_GB2312" w:eastAsia="仿宋_GB2312" w:cs="仿宋_GB2312"/>
                <w:sz w:val="20"/>
                <w:szCs w:val="20"/>
                <w:lang w:val="en-US" w:eastAsia="zh-CN"/>
              </w:rPr>
              <w:t>（7）设施设备维护费</w:t>
            </w:r>
          </w:p>
        </w:tc>
        <w:tc>
          <w:tcPr>
            <w:tcW w:w="2038" w:type="dxa"/>
            <w:gridSpan w:val="2"/>
            <w:noWrap w:val="0"/>
            <w:vAlign w:val="center"/>
          </w:tcPr>
          <w:p w14:paraId="20341C5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33.46</w:t>
            </w:r>
          </w:p>
        </w:tc>
        <w:tc>
          <w:tcPr>
            <w:tcW w:w="2240" w:type="dxa"/>
            <w:gridSpan w:val="2"/>
            <w:noWrap w:val="0"/>
            <w:vAlign w:val="center"/>
          </w:tcPr>
          <w:p w14:paraId="35C9143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1812" w:type="dxa"/>
            <w:gridSpan w:val="2"/>
            <w:noWrap w:val="0"/>
            <w:vAlign w:val="center"/>
          </w:tcPr>
          <w:p w14:paraId="0907586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542F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2BA8AAF0">
            <w:pPr>
              <w:keepNext w:val="0"/>
              <w:keepLines w:val="0"/>
              <w:pageBreakBefore w:val="0"/>
              <w:widowControl/>
              <w:kinsoku/>
              <w:wordWrap/>
              <w:overflowPunct/>
              <w:topLinePunct w:val="0"/>
              <w:autoSpaceDE/>
              <w:autoSpaceDN/>
              <w:bidi w:val="0"/>
              <w:adjustRightInd/>
              <w:snapToGrid/>
              <w:spacing w:line="320" w:lineRule="exact"/>
              <w:ind w:left="397" w:leftChars="142" w:firstLine="0" w:firstLineChars="0"/>
              <w:jc w:val="left"/>
              <w:textAlignment w:val="auto"/>
              <w:rPr>
                <w:rFonts w:hint="eastAsia" w:ascii="仿宋_GB2312" w:hAnsi="仿宋_GB2312" w:eastAsia="仿宋_GB2312" w:cs="仿宋_GB2312"/>
                <w:kern w:val="0"/>
                <w:sz w:val="20"/>
                <w:szCs w:val="20"/>
                <w:lang w:val="en-US" w:eastAsia="zh-CN" w:bidi="ar-SA"/>
              </w:rPr>
            </w:pPr>
            <w:r>
              <w:rPr>
                <w:rFonts w:hint="eastAsia" w:ascii="仿宋_GB2312" w:hAnsi="仿宋_GB2312" w:eastAsia="仿宋_GB2312" w:cs="仿宋_GB2312"/>
                <w:sz w:val="20"/>
                <w:szCs w:val="20"/>
                <w:lang w:val="en-US" w:eastAsia="zh-CN"/>
              </w:rPr>
              <w:t>（8）执勤巡逻车辆补助（含拖车经费）</w:t>
            </w:r>
          </w:p>
        </w:tc>
        <w:tc>
          <w:tcPr>
            <w:tcW w:w="2038" w:type="dxa"/>
            <w:gridSpan w:val="2"/>
            <w:noWrap w:val="0"/>
            <w:vAlign w:val="center"/>
          </w:tcPr>
          <w:p w14:paraId="470EC06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25.97</w:t>
            </w:r>
          </w:p>
        </w:tc>
        <w:tc>
          <w:tcPr>
            <w:tcW w:w="2240" w:type="dxa"/>
            <w:gridSpan w:val="2"/>
            <w:noWrap w:val="0"/>
            <w:vAlign w:val="center"/>
          </w:tcPr>
          <w:p w14:paraId="71D8480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c>
          <w:tcPr>
            <w:tcW w:w="1812" w:type="dxa"/>
            <w:gridSpan w:val="2"/>
            <w:noWrap w:val="0"/>
            <w:vAlign w:val="center"/>
          </w:tcPr>
          <w:p w14:paraId="3F4F7C5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0.00</w:t>
            </w:r>
          </w:p>
        </w:tc>
      </w:tr>
      <w:tr w14:paraId="42EC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3354" w:type="dxa"/>
            <w:noWrap w:val="0"/>
            <w:vAlign w:val="center"/>
          </w:tcPr>
          <w:p w14:paraId="61D9C3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kern w:val="0"/>
                <w:sz w:val="20"/>
                <w:szCs w:val="20"/>
                <w:highlight w:val="none"/>
                <w:lang w:val="en" w:eastAsia="zh-CN" w:bidi="ar-SA"/>
              </w:rPr>
            </w:pPr>
            <w:r>
              <w:rPr>
                <w:rFonts w:hint="eastAsia" w:ascii="仿宋_GB2312" w:hAnsi="仿宋_GB2312" w:eastAsia="仿宋_GB2312" w:cs="仿宋_GB2312"/>
                <w:sz w:val="20"/>
                <w:szCs w:val="20"/>
                <w:highlight w:val="none"/>
                <w:lang w:eastAsia="zh-CN"/>
              </w:rPr>
              <w:t>（</w:t>
            </w:r>
            <w:r>
              <w:rPr>
                <w:rFonts w:hint="eastAsia" w:ascii="仿宋_GB2312" w:hAnsi="仿宋_GB2312" w:eastAsia="仿宋_GB2312" w:cs="仿宋_GB2312"/>
                <w:sz w:val="20"/>
                <w:szCs w:val="20"/>
                <w:highlight w:val="none"/>
                <w:lang w:val="en-US" w:eastAsia="zh-CN"/>
              </w:rPr>
              <w:t>9</w:t>
            </w:r>
            <w:r>
              <w:rPr>
                <w:rFonts w:hint="eastAsia" w:ascii="仿宋_GB2312" w:hAnsi="仿宋_GB2312" w:eastAsia="仿宋_GB2312" w:cs="仿宋_GB2312"/>
                <w:sz w:val="20"/>
                <w:szCs w:val="20"/>
                <w:highlight w:val="none"/>
                <w:lang w:eastAsia="zh-CN"/>
              </w:rPr>
              <w:t>）市主城区慢行系统专项规划</w:t>
            </w:r>
          </w:p>
        </w:tc>
        <w:tc>
          <w:tcPr>
            <w:tcW w:w="2038" w:type="dxa"/>
            <w:gridSpan w:val="2"/>
            <w:noWrap w:val="0"/>
            <w:vAlign w:val="center"/>
          </w:tcPr>
          <w:p w14:paraId="3F037563">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65.80</w:t>
            </w:r>
          </w:p>
        </w:tc>
        <w:tc>
          <w:tcPr>
            <w:tcW w:w="2240" w:type="dxa"/>
            <w:gridSpan w:val="2"/>
            <w:noWrap w:val="0"/>
            <w:vAlign w:val="center"/>
          </w:tcPr>
          <w:p w14:paraId="7BFC9F4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0.00</w:t>
            </w:r>
          </w:p>
        </w:tc>
        <w:tc>
          <w:tcPr>
            <w:tcW w:w="1812" w:type="dxa"/>
            <w:gridSpan w:val="2"/>
            <w:noWrap w:val="0"/>
            <w:vAlign w:val="center"/>
          </w:tcPr>
          <w:p w14:paraId="7A7435F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0.00</w:t>
            </w:r>
          </w:p>
        </w:tc>
      </w:tr>
      <w:tr w14:paraId="51A2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188245AB">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noWrap w:val="0"/>
            <w:vAlign w:val="center"/>
          </w:tcPr>
          <w:p w14:paraId="0DC3625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43.40</w:t>
            </w:r>
          </w:p>
        </w:tc>
        <w:tc>
          <w:tcPr>
            <w:tcW w:w="2240" w:type="dxa"/>
            <w:gridSpan w:val="2"/>
            <w:noWrap w:val="0"/>
            <w:vAlign w:val="center"/>
          </w:tcPr>
          <w:p w14:paraId="0476B07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34.66</w:t>
            </w:r>
          </w:p>
        </w:tc>
        <w:tc>
          <w:tcPr>
            <w:tcW w:w="1812" w:type="dxa"/>
            <w:gridSpan w:val="2"/>
            <w:noWrap w:val="0"/>
            <w:vAlign w:val="center"/>
          </w:tcPr>
          <w:p w14:paraId="28014C1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32.56</w:t>
            </w:r>
          </w:p>
        </w:tc>
      </w:tr>
      <w:tr w14:paraId="6514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6D5DC1BB">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noWrap w:val="0"/>
            <w:vAlign w:val="center"/>
          </w:tcPr>
          <w:p w14:paraId="04C666A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sz w:val="20"/>
                <w:szCs w:val="20"/>
                <w:highlight w:val="none"/>
                <w:lang w:val="en" w:eastAsia="zh-CN"/>
              </w:rPr>
              <w:t>3.6</w:t>
            </w:r>
            <w:r>
              <w:rPr>
                <w:rFonts w:hint="eastAsia" w:ascii="仿宋_GB2312" w:hAnsi="仿宋_GB2312" w:eastAsia="仿宋_GB2312" w:cs="仿宋_GB2312"/>
                <w:color w:val="auto"/>
                <w:sz w:val="20"/>
                <w:szCs w:val="20"/>
                <w:highlight w:val="none"/>
                <w:lang w:val="en-US" w:eastAsia="zh-CN"/>
              </w:rPr>
              <w:t>0</w:t>
            </w:r>
          </w:p>
        </w:tc>
        <w:tc>
          <w:tcPr>
            <w:tcW w:w="2240" w:type="dxa"/>
            <w:gridSpan w:val="2"/>
            <w:noWrap w:val="0"/>
            <w:vAlign w:val="center"/>
          </w:tcPr>
          <w:p w14:paraId="74E26AD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2.40</w:t>
            </w:r>
          </w:p>
        </w:tc>
        <w:tc>
          <w:tcPr>
            <w:tcW w:w="1812" w:type="dxa"/>
            <w:gridSpan w:val="2"/>
            <w:noWrap w:val="0"/>
            <w:vAlign w:val="center"/>
          </w:tcPr>
          <w:p w14:paraId="3437FCC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2.40</w:t>
            </w:r>
          </w:p>
        </w:tc>
      </w:tr>
      <w:tr w14:paraId="5608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0407E77E">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noWrap w:val="0"/>
            <w:vAlign w:val="center"/>
          </w:tcPr>
          <w:p w14:paraId="680C5F5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sz w:val="20"/>
                <w:szCs w:val="20"/>
                <w:highlight w:val="none"/>
                <w:lang w:val="en"/>
              </w:rPr>
              <w:t>5.14</w:t>
            </w:r>
          </w:p>
        </w:tc>
        <w:tc>
          <w:tcPr>
            <w:tcW w:w="2240" w:type="dxa"/>
            <w:gridSpan w:val="2"/>
            <w:noWrap w:val="0"/>
            <w:vAlign w:val="center"/>
          </w:tcPr>
          <w:p w14:paraId="08770F3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4.60</w:t>
            </w:r>
          </w:p>
        </w:tc>
        <w:tc>
          <w:tcPr>
            <w:tcW w:w="1812" w:type="dxa"/>
            <w:gridSpan w:val="2"/>
            <w:noWrap w:val="0"/>
            <w:vAlign w:val="center"/>
          </w:tcPr>
          <w:p w14:paraId="210C7A1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4.60</w:t>
            </w:r>
          </w:p>
        </w:tc>
      </w:tr>
      <w:tr w14:paraId="3E35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322778CE">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noWrap w:val="0"/>
            <w:vAlign w:val="center"/>
          </w:tcPr>
          <w:p w14:paraId="1E782F6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sz w:val="20"/>
                <w:szCs w:val="20"/>
                <w:highlight w:val="none"/>
                <w:lang w:val="en"/>
              </w:rPr>
              <w:t>0.43</w:t>
            </w:r>
          </w:p>
        </w:tc>
        <w:tc>
          <w:tcPr>
            <w:tcW w:w="2240" w:type="dxa"/>
            <w:gridSpan w:val="2"/>
            <w:noWrap w:val="0"/>
            <w:vAlign w:val="center"/>
          </w:tcPr>
          <w:p w14:paraId="1F16E4D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0.50</w:t>
            </w:r>
          </w:p>
        </w:tc>
        <w:tc>
          <w:tcPr>
            <w:tcW w:w="1812" w:type="dxa"/>
            <w:gridSpan w:val="2"/>
            <w:noWrap w:val="0"/>
            <w:vAlign w:val="center"/>
          </w:tcPr>
          <w:p w14:paraId="6429B45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0.38</w:t>
            </w:r>
          </w:p>
        </w:tc>
      </w:tr>
      <w:tr w14:paraId="3813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3FDDF189">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noWrap w:val="0"/>
            <w:vAlign w:val="center"/>
          </w:tcPr>
          <w:p w14:paraId="36368C6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noWrap w:val="0"/>
            <w:vAlign w:val="center"/>
          </w:tcPr>
          <w:p w14:paraId="42322F8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86.74</w:t>
            </w:r>
          </w:p>
        </w:tc>
        <w:tc>
          <w:tcPr>
            <w:tcW w:w="1812" w:type="dxa"/>
            <w:gridSpan w:val="2"/>
            <w:noWrap w:val="0"/>
            <w:vAlign w:val="center"/>
          </w:tcPr>
          <w:p w14:paraId="3B4C350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24.06</w:t>
            </w:r>
          </w:p>
        </w:tc>
      </w:tr>
      <w:tr w14:paraId="5857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4884A146">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sz w:val="20"/>
                <w:szCs w:val="20"/>
                <w:highlight w:val="none"/>
              </w:rPr>
              <w:t xml:space="preserve">部门基本支出预算调整 </w:t>
            </w:r>
          </w:p>
        </w:tc>
        <w:tc>
          <w:tcPr>
            <w:tcW w:w="2038" w:type="dxa"/>
            <w:gridSpan w:val="2"/>
            <w:noWrap w:val="0"/>
            <w:vAlign w:val="center"/>
          </w:tcPr>
          <w:p w14:paraId="0198219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noWrap w:val="0"/>
            <w:vAlign w:val="center"/>
          </w:tcPr>
          <w:p w14:paraId="1F4D73E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369.63</w:t>
            </w:r>
          </w:p>
        </w:tc>
        <w:tc>
          <w:tcPr>
            <w:tcW w:w="1812" w:type="dxa"/>
            <w:gridSpan w:val="2"/>
            <w:noWrap w:val="0"/>
            <w:vAlign w:val="center"/>
          </w:tcPr>
          <w:p w14:paraId="03FA500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357.93</w:t>
            </w:r>
          </w:p>
        </w:tc>
      </w:tr>
      <w:tr w14:paraId="717C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vMerge w:val="restart"/>
            <w:noWrap w:val="0"/>
            <w:vAlign w:val="center"/>
          </w:tcPr>
          <w:p w14:paraId="16D9E5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noWrap w:val="0"/>
            <w:vAlign w:val="center"/>
          </w:tcPr>
          <w:p w14:paraId="1F29AF7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noWrap w:val="0"/>
            <w:vAlign w:val="center"/>
          </w:tcPr>
          <w:p w14:paraId="3079CF9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noWrap w:val="0"/>
            <w:vAlign w:val="center"/>
          </w:tcPr>
          <w:p w14:paraId="1044F45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noWrap w:val="0"/>
            <w:vAlign w:val="center"/>
          </w:tcPr>
          <w:p w14:paraId="24CCF6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992" w:type="dxa"/>
            <w:noWrap w:val="0"/>
            <w:vAlign w:val="center"/>
          </w:tcPr>
          <w:p w14:paraId="10B4BA7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820" w:type="dxa"/>
            <w:noWrap w:val="0"/>
            <w:vAlign w:val="center"/>
          </w:tcPr>
          <w:p w14:paraId="3D89812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62D8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vMerge w:val="continue"/>
            <w:noWrap w:val="0"/>
            <w:vAlign w:val="center"/>
          </w:tcPr>
          <w:p w14:paraId="2D092520">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p>
        </w:tc>
        <w:tc>
          <w:tcPr>
            <w:tcW w:w="1189" w:type="dxa"/>
            <w:noWrap w:val="0"/>
            <w:vAlign w:val="center"/>
          </w:tcPr>
          <w:p w14:paraId="261DE804">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849" w:type="dxa"/>
            <w:noWrap w:val="0"/>
            <w:vAlign w:val="center"/>
          </w:tcPr>
          <w:p w14:paraId="4201DC34">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129" w:type="dxa"/>
            <w:noWrap w:val="0"/>
            <w:vAlign w:val="center"/>
          </w:tcPr>
          <w:p w14:paraId="773A5A4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noWrap w:val="0"/>
            <w:vAlign w:val="center"/>
          </w:tcPr>
          <w:p w14:paraId="462C75D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92" w:type="dxa"/>
            <w:noWrap w:val="0"/>
            <w:vAlign w:val="center"/>
          </w:tcPr>
          <w:p w14:paraId="7B5139C7">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20" w:type="dxa"/>
            <w:noWrap w:val="0"/>
            <w:vAlign w:val="center"/>
          </w:tcPr>
          <w:p w14:paraId="3E1FE423">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3AB5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54" w:type="dxa"/>
            <w:noWrap w:val="0"/>
            <w:vAlign w:val="center"/>
          </w:tcPr>
          <w:p w14:paraId="5DDC9B1B">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090" w:type="dxa"/>
            <w:gridSpan w:val="6"/>
            <w:noWrap w:val="0"/>
            <w:vAlign w:val="center"/>
          </w:tcPr>
          <w:p w14:paraId="59EEE264">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sz w:val="20"/>
                <w:szCs w:val="20"/>
                <w:highlight w:val="none"/>
                <w:lang w:val="en-US" w:eastAsia="zh-CN"/>
              </w:rPr>
              <w:t xml:space="preserve">    </w:t>
            </w:r>
            <w:r>
              <w:rPr>
                <w:rFonts w:hint="eastAsia" w:ascii="仿宋_GB2312" w:hAnsi="仿宋_GB2312" w:eastAsia="仿宋_GB2312" w:cs="仿宋_GB2312"/>
                <w:color w:val="auto"/>
                <w:sz w:val="20"/>
                <w:szCs w:val="20"/>
                <w:highlight w:val="none"/>
              </w:rPr>
              <w:t>压缩“一般性财政支出”，严控“三公经费”</w:t>
            </w:r>
            <w:r>
              <w:rPr>
                <w:rFonts w:hint="eastAsia" w:ascii="仿宋_GB2312" w:hAnsi="仿宋_GB2312" w:eastAsia="仿宋_GB2312" w:cs="仿宋_GB2312"/>
                <w:color w:val="auto"/>
                <w:sz w:val="20"/>
                <w:szCs w:val="20"/>
                <w:highlight w:val="none"/>
                <w:lang w:eastAsia="zh-CN"/>
              </w:rPr>
              <w:t>，</w:t>
            </w:r>
            <w:r>
              <w:rPr>
                <w:rFonts w:hint="eastAsia" w:ascii="仿宋_GB2312" w:hAnsi="仿宋_GB2312" w:eastAsia="仿宋_GB2312" w:cs="仿宋_GB2312"/>
                <w:color w:val="auto"/>
                <w:sz w:val="20"/>
                <w:szCs w:val="20"/>
                <w:highlight w:val="none"/>
                <w:lang w:val="en-US" w:eastAsia="zh-CN"/>
              </w:rPr>
              <w:t>加强内部控制与管理以及资金支出绩效管理。具体措施有：（1）抓好食堂和公务接待领域的节约用餐。食堂建立以需供餐预测制度，提高原辅材料利用率，强化成本核算和节约管理。单位的公务活动严格执行会议、接待、培训等用餐标准，把节约理念贯穿于公务接待采购、用餐等各方面、全过程，坚决落实中央八项规定及其实施细则精神，杜绝铺张浪费现象发生，推进“光盘行动”常态化。（2）加强事前绩效管理，各项目支出采取先定事，再确定支出规模的方式，确保了资金支出绩效。</w:t>
            </w:r>
            <w:r>
              <w:rPr>
                <w:rFonts w:hint="eastAsia" w:ascii="仿宋_GB2312" w:hAnsi="仿宋_GB2312" w:eastAsia="仿宋_GB2312" w:cs="仿宋_GB2312"/>
                <w:sz w:val="20"/>
                <w:szCs w:val="20"/>
                <w:highlight w:val="none"/>
              </w:rPr>
              <w:t>　</w:t>
            </w:r>
          </w:p>
        </w:tc>
      </w:tr>
    </w:tbl>
    <w:p w14:paraId="65145B86">
      <w:pPr>
        <w:keepNext w:val="0"/>
        <w:keepLines w:val="0"/>
        <w:pageBreakBefore w:val="0"/>
        <w:widowControl/>
        <w:kinsoku/>
        <w:wordWrap/>
        <w:overflowPunct/>
        <w:topLinePunct w:val="0"/>
        <w:autoSpaceDE/>
        <w:autoSpaceDN/>
        <w:bidi w:val="0"/>
        <w:adjustRightInd/>
        <w:snapToGrid/>
        <w:spacing w:afterLines="0" w:line="480" w:lineRule="exact"/>
        <w:jc w:val="left"/>
        <w:textAlignment w:val="auto"/>
        <w:rPr>
          <w:rFonts w:hint="default" w:ascii="Times New Roman" w:hAnsi="Times New Roman" w:eastAsia="仿宋_GB2312" w:cs="Times New Roman"/>
          <w:sz w:val="22"/>
          <w:highlight w:val="none"/>
        </w:rPr>
      </w:pPr>
    </w:p>
    <w:p w14:paraId="48129318">
      <w:pPr>
        <w:keepNext w:val="0"/>
        <w:keepLines w:val="0"/>
        <w:pageBreakBefore w:val="0"/>
        <w:widowControl/>
        <w:kinsoku/>
        <w:wordWrap/>
        <w:overflowPunct/>
        <w:topLinePunct w:val="0"/>
        <w:autoSpaceDE/>
        <w:autoSpaceDN/>
        <w:bidi w:val="0"/>
        <w:adjustRightInd/>
        <w:snapToGrid/>
        <w:spacing w:after="0" w:afterLines="0" w:line="480" w:lineRule="exact"/>
        <w:jc w:val="left"/>
        <w:textAlignment w:val="auto"/>
        <w:rPr>
          <w:rFonts w:hint="eastAsia" w:ascii="黑体" w:hAnsi="黑体" w:eastAsia="黑体" w:cs="黑体"/>
          <w:sz w:val="32"/>
          <w:szCs w:val="32"/>
          <w:highlight w:val="none"/>
          <w:lang w:eastAsia="zh-CN"/>
        </w:rPr>
      </w:pPr>
      <w:r>
        <w:rPr>
          <w:rFonts w:hint="eastAsia" w:ascii="仿宋_GB2312" w:hAnsi="仿宋_GB2312" w:eastAsia="仿宋_GB2312" w:cs="仿宋_GB2312"/>
          <w:sz w:val="22"/>
          <w:highlight w:val="none"/>
        </w:rPr>
        <w:t>填表人：</w:t>
      </w:r>
      <w:r>
        <w:rPr>
          <w:rFonts w:hint="eastAsia" w:ascii="仿宋_GB2312" w:hAnsi="仿宋_GB2312" w:eastAsia="仿宋_GB2312" w:cs="仿宋_GB2312"/>
          <w:sz w:val="22"/>
          <w:highlight w:val="none"/>
          <w:lang w:val="en-US" w:eastAsia="zh-CN"/>
        </w:rPr>
        <w:t>龙邓</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填报日期：</w:t>
      </w:r>
      <w:r>
        <w:rPr>
          <w:rFonts w:hint="eastAsia" w:ascii="仿宋_GB2312" w:hAnsi="仿宋_GB2312" w:eastAsia="仿宋_GB2312" w:cs="仿宋_GB2312"/>
          <w:sz w:val="22"/>
          <w:highlight w:val="none"/>
          <w:lang w:val="en-US" w:eastAsia="zh-CN"/>
        </w:rPr>
        <w:t>202</w:t>
      </w:r>
      <w:r>
        <w:rPr>
          <w:rFonts w:hint="default" w:ascii="仿宋_GB2312" w:hAnsi="仿宋_GB2312" w:eastAsia="仿宋_GB2312" w:cs="仿宋_GB2312"/>
          <w:sz w:val="22"/>
          <w:highlight w:val="none"/>
          <w:lang w:val="en" w:eastAsia="zh-CN"/>
        </w:rPr>
        <w:t>6</w:t>
      </w:r>
      <w:r>
        <w:rPr>
          <w:rFonts w:hint="eastAsia" w:ascii="仿宋_GB2312" w:hAnsi="仿宋_GB2312" w:eastAsia="仿宋_GB2312" w:cs="仿宋_GB2312"/>
          <w:sz w:val="22"/>
          <w:highlight w:val="none"/>
          <w:lang w:val="en-US" w:eastAsia="zh-CN"/>
        </w:rPr>
        <w:t xml:space="preserve">.6.22 </w:t>
      </w:r>
      <w:r>
        <w:rPr>
          <w:rFonts w:hint="eastAsia" w:ascii="仿宋_GB2312" w:hAnsi="仿宋_GB2312" w:eastAsia="仿宋_GB2312" w:cs="仿宋_GB2312"/>
          <w:sz w:val="22"/>
          <w:highlight w:val="none"/>
        </w:rPr>
        <w:t>联系电话：</w:t>
      </w:r>
      <w:r>
        <w:rPr>
          <w:rFonts w:hint="eastAsia" w:ascii="仿宋_GB2312" w:hAnsi="仿宋_GB2312" w:eastAsia="仿宋_GB2312" w:cs="仿宋_GB2312"/>
          <w:sz w:val="22"/>
          <w:highlight w:val="none"/>
          <w:lang w:val="en-US" w:eastAsia="zh-CN"/>
        </w:rPr>
        <w:t>8220516</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单位负责人：</w:t>
      </w:r>
      <w:r>
        <w:rPr>
          <w:rFonts w:hint="eastAsia" w:ascii="仿宋_GB2312" w:hAnsi="仿宋_GB2312" w:eastAsia="仿宋_GB2312" w:cs="仿宋_GB2312"/>
          <w:sz w:val="22"/>
          <w:highlight w:val="none"/>
          <w:lang w:val="en-US" w:eastAsia="zh-CN"/>
        </w:rPr>
        <w:t>何志军</w:t>
      </w:r>
      <w:r>
        <w:rPr>
          <w:rFonts w:hint="eastAsia" w:ascii="仿宋_GB2312" w:hAnsi="仿宋_GB2312" w:eastAsia="仿宋_GB2312" w:cs="仿宋_GB2312"/>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3C4413DF">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default" w:ascii="方正小标宋简体" w:hAnsi="方正小标宋简体" w:eastAsia="方正小标宋简体" w:cs="方正小标宋简体"/>
          <w:color w:val="000000"/>
          <w:sz w:val="36"/>
          <w:szCs w:val="36"/>
          <w:highlight w:val="none"/>
          <w:lang w:val="en"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8"/>
        <w:tblW w:w="10022" w:type="dxa"/>
        <w:jc w:val="center"/>
        <w:tblLayout w:type="fixed"/>
        <w:tblCellMar>
          <w:top w:w="0" w:type="dxa"/>
          <w:left w:w="108" w:type="dxa"/>
          <w:bottom w:w="0" w:type="dxa"/>
          <w:right w:w="108" w:type="dxa"/>
        </w:tblCellMar>
      </w:tblPr>
      <w:tblGrid>
        <w:gridCol w:w="1080"/>
        <w:gridCol w:w="1080"/>
        <w:gridCol w:w="1034"/>
        <w:gridCol w:w="1428"/>
        <w:gridCol w:w="1221"/>
        <w:gridCol w:w="1225"/>
        <w:gridCol w:w="725"/>
        <w:gridCol w:w="819"/>
        <w:gridCol w:w="1410"/>
      </w:tblGrid>
      <w:tr w14:paraId="39151CAD">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13779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42" w:type="dxa"/>
            <w:gridSpan w:val="8"/>
            <w:tcBorders>
              <w:top w:val="single" w:color="auto" w:sz="4" w:space="0"/>
              <w:left w:val="nil"/>
              <w:bottom w:val="single" w:color="auto" w:sz="4" w:space="0"/>
              <w:right w:val="single" w:color="auto" w:sz="4" w:space="0"/>
            </w:tcBorders>
            <w:noWrap w:val="0"/>
            <w:vAlign w:val="center"/>
          </w:tcPr>
          <w:p w14:paraId="389F71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岳阳市停车管理服务中心</w:t>
            </w:r>
            <w:r>
              <w:rPr>
                <w:rFonts w:hint="eastAsia" w:ascii="仿宋_GB2312" w:hAnsi="仿宋_GB2312" w:eastAsia="仿宋_GB2312" w:cs="仿宋_GB2312"/>
                <w:color w:val="000000"/>
                <w:sz w:val="20"/>
                <w:szCs w:val="20"/>
                <w:highlight w:val="none"/>
              </w:rPr>
              <w:t>　</w:t>
            </w:r>
          </w:p>
        </w:tc>
      </w:tr>
      <w:tr w14:paraId="5867A4BE">
        <w:tblPrEx>
          <w:tblCellMar>
            <w:top w:w="0" w:type="dxa"/>
            <w:left w:w="108" w:type="dxa"/>
            <w:bottom w:w="0" w:type="dxa"/>
            <w:right w:w="108" w:type="dxa"/>
          </w:tblCellMar>
        </w:tblPrEx>
        <w:trPr>
          <w:trHeight w:val="265" w:hRule="atLeast"/>
          <w:jc w:val="center"/>
        </w:trPr>
        <w:tc>
          <w:tcPr>
            <w:tcW w:w="1080" w:type="dxa"/>
            <w:vMerge w:val="restart"/>
            <w:tcBorders>
              <w:top w:val="nil"/>
              <w:left w:val="single" w:color="auto" w:sz="4" w:space="0"/>
              <w:right w:val="single" w:color="auto" w:sz="4" w:space="0"/>
            </w:tcBorders>
            <w:noWrap w:val="0"/>
            <w:vAlign w:val="center"/>
          </w:tcPr>
          <w:p w14:paraId="270B2A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309668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noWrap w:val="0"/>
            <w:vAlign w:val="center"/>
          </w:tcPr>
          <w:p w14:paraId="0E5BD4BE">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p>
        </w:tc>
        <w:tc>
          <w:tcPr>
            <w:tcW w:w="1428" w:type="dxa"/>
            <w:tcBorders>
              <w:top w:val="nil"/>
              <w:left w:val="nil"/>
              <w:bottom w:val="single" w:color="auto" w:sz="4" w:space="0"/>
              <w:right w:val="single" w:color="auto" w:sz="4" w:space="0"/>
            </w:tcBorders>
            <w:noWrap w:val="0"/>
            <w:vAlign w:val="center"/>
          </w:tcPr>
          <w:p w14:paraId="7CC6989C">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221" w:type="dxa"/>
            <w:tcBorders>
              <w:top w:val="nil"/>
              <w:left w:val="nil"/>
              <w:bottom w:val="single" w:color="auto" w:sz="4" w:space="0"/>
              <w:right w:val="single" w:color="auto" w:sz="4" w:space="0"/>
            </w:tcBorders>
            <w:noWrap w:val="0"/>
            <w:vAlign w:val="center"/>
          </w:tcPr>
          <w:p w14:paraId="0B29C1E3">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25" w:type="dxa"/>
            <w:tcBorders>
              <w:top w:val="nil"/>
              <w:left w:val="nil"/>
              <w:bottom w:val="single" w:color="auto" w:sz="4" w:space="0"/>
              <w:right w:val="single" w:color="auto" w:sz="4" w:space="0"/>
            </w:tcBorders>
            <w:noWrap w:val="0"/>
            <w:vAlign w:val="center"/>
          </w:tcPr>
          <w:p w14:paraId="02009D6E">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25" w:type="dxa"/>
            <w:tcBorders>
              <w:top w:val="nil"/>
              <w:left w:val="nil"/>
              <w:bottom w:val="single" w:color="auto" w:sz="4" w:space="0"/>
              <w:right w:val="single" w:color="auto" w:sz="4" w:space="0"/>
            </w:tcBorders>
            <w:noWrap w:val="0"/>
            <w:vAlign w:val="center"/>
          </w:tcPr>
          <w:p w14:paraId="0474C84A">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19" w:type="dxa"/>
            <w:tcBorders>
              <w:top w:val="nil"/>
              <w:left w:val="nil"/>
              <w:bottom w:val="single" w:color="auto" w:sz="4" w:space="0"/>
              <w:right w:val="single" w:color="auto" w:sz="4" w:space="0"/>
            </w:tcBorders>
            <w:noWrap w:val="0"/>
            <w:vAlign w:val="center"/>
          </w:tcPr>
          <w:p w14:paraId="03F8A2CC">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0" w:type="dxa"/>
            <w:tcBorders>
              <w:top w:val="nil"/>
              <w:left w:val="nil"/>
              <w:bottom w:val="single" w:color="auto" w:sz="4" w:space="0"/>
              <w:right w:val="single" w:color="auto" w:sz="4" w:space="0"/>
            </w:tcBorders>
            <w:noWrap w:val="0"/>
            <w:vAlign w:val="center"/>
          </w:tcPr>
          <w:p w14:paraId="15B07A1B">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2BF54C7">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5E7C22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noWrap w:val="0"/>
            <w:vAlign w:val="center"/>
          </w:tcPr>
          <w:p w14:paraId="7AB9E0D0">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428" w:type="dxa"/>
            <w:tcBorders>
              <w:top w:val="nil"/>
              <w:left w:val="nil"/>
              <w:bottom w:val="single" w:color="auto" w:sz="4" w:space="0"/>
              <w:right w:val="single" w:color="auto" w:sz="4" w:space="0"/>
            </w:tcBorders>
            <w:noWrap w:val="0"/>
            <w:vAlign w:val="center"/>
          </w:tcPr>
          <w:p w14:paraId="0EBA524F">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431.66</w:t>
            </w:r>
          </w:p>
        </w:tc>
        <w:tc>
          <w:tcPr>
            <w:tcW w:w="1221" w:type="dxa"/>
            <w:tcBorders>
              <w:top w:val="nil"/>
              <w:left w:val="nil"/>
              <w:bottom w:val="single" w:color="auto" w:sz="4" w:space="0"/>
              <w:right w:val="single" w:color="auto" w:sz="4" w:space="0"/>
            </w:tcBorders>
            <w:noWrap w:val="0"/>
            <w:vAlign w:val="center"/>
          </w:tcPr>
          <w:p w14:paraId="452A8C82">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604.23</w:t>
            </w:r>
          </w:p>
        </w:tc>
        <w:tc>
          <w:tcPr>
            <w:tcW w:w="1225" w:type="dxa"/>
            <w:tcBorders>
              <w:top w:val="nil"/>
              <w:left w:val="nil"/>
              <w:bottom w:val="single" w:color="auto" w:sz="4" w:space="0"/>
              <w:right w:val="single" w:color="auto" w:sz="4" w:space="0"/>
            </w:tcBorders>
            <w:noWrap w:val="0"/>
            <w:vAlign w:val="center"/>
          </w:tcPr>
          <w:p w14:paraId="02F69F0E">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588.34</w:t>
            </w:r>
          </w:p>
        </w:tc>
        <w:tc>
          <w:tcPr>
            <w:tcW w:w="725" w:type="dxa"/>
            <w:tcBorders>
              <w:top w:val="nil"/>
              <w:left w:val="nil"/>
              <w:bottom w:val="single" w:color="auto" w:sz="4" w:space="0"/>
              <w:right w:val="single" w:color="auto" w:sz="4" w:space="0"/>
            </w:tcBorders>
            <w:noWrap w:val="0"/>
            <w:vAlign w:val="center"/>
          </w:tcPr>
          <w:p w14:paraId="2ACB72DF">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19" w:type="dxa"/>
            <w:tcBorders>
              <w:top w:val="nil"/>
              <w:left w:val="nil"/>
              <w:bottom w:val="single" w:color="auto" w:sz="4" w:space="0"/>
              <w:right w:val="single" w:color="auto" w:sz="4" w:space="0"/>
            </w:tcBorders>
            <w:noWrap w:val="0"/>
            <w:vAlign w:val="center"/>
          </w:tcPr>
          <w:p w14:paraId="2C716B77">
            <w:pPr>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97.37%</w:t>
            </w:r>
          </w:p>
        </w:tc>
        <w:tc>
          <w:tcPr>
            <w:tcW w:w="1410" w:type="dxa"/>
            <w:tcBorders>
              <w:top w:val="nil"/>
              <w:left w:val="nil"/>
              <w:bottom w:val="single" w:color="auto" w:sz="4" w:space="0"/>
              <w:right w:val="single" w:color="auto" w:sz="4" w:space="0"/>
            </w:tcBorders>
            <w:noWrap w:val="0"/>
            <w:vAlign w:val="center"/>
          </w:tcPr>
          <w:p w14:paraId="347350B3">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9.74</w:t>
            </w:r>
          </w:p>
        </w:tc>
      </w:tr>
      <w:tr w14:paraId="50A0EB5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9473A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763" w:type="dxa"/>
            <w:gridSpan w:val="4"/>
            <w:tcBorders>
              <w:top w:val="nil"/>
              <w:left w:val="nil"/>
              <w:bottom w:val="single" w:color="auto" w:sz="4" w:space="0"/>
              <w:right w:val="single" w:color="auto" w:sz="4" w:space="0"/>
            </w:tcBorders>
            <w:noWrap w:val="0"/>
            <w:vAlign w:val="center"/>
          </w:tcPr>
          <w:p w14:paraId="6D33FA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按收入性质分：</w:t>
            </w:r>
          </w:p>
        </w:tc>
        <w:tc>
          <w:tcPr>
            <w:tcW w:w="4179" w:type="dxa"/>
            <w:gridSpan w:val="4"/>
            <w:tcBorders>
              <w:top w:val="nil"/>
              <w:left w:val="nil"/>
              <w:bottom w:val="single" w:color="auto" w:sz="4" w:space="0"/>
              <w:right w:val="single" w:color="auto" w:sz="4" w:space="0"/>
            </w:tcBorders>
            <w:noWrap w:val="0"/>
            <w:vAlign w:val="center"/>
          </w:tcPr>
          <w:p w14:paraId="485C7A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422B273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A3DFD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763" w:type="dxa"/>
            <w:gridSpan w:val="4"/>
            <w:tcBorders>
              <w:top w:val="nil"/>
              <w:left w:val="nil"/>
              <w:bottom w:val="single" w:color="auto" w:sz="4" w:space="0"/>
              <w:right w:val="single" w:color="auto" w:sz="4" w:space="0"/>
            </w:tcBorders>
            <w:noWrap w:val="0"/>
            <w:vAlign w:val="center"/>
          </w:tcPr>
          <w:p w14:paraId="6A3142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xml:space="preserve"> </w:t>
            </w:r>
            <w:r>
              <w:rPr>
                <w:rFonts w:hint="eastAsia" w:ascii="仿宋_GB2312" w:hAnsi="仿宋_GB2312" w:eastAsia="仿宋_GB2312" w:cs="仿宋_GB2312"/>
                <w:color w:val="auto"/>
                <w:sz w:val="20"/>
                <w:szCs w:val="20"/>
                <w:highlight w:val="none"/>
                <w:lang w:val="en-US" w:eastAsia="zh-CN"/>
              </w:rPr>
              <w:t xml:space="preserve">    </w:t>
            </w:r>
            <w:r>
              <w:rPr>
                <w:rFonts w:hint="eastAsia" w:ascii="仿宋_GB2312" w:hAnsi="仿宋_GB2312" w:eastAsia="仿宋_GB2312" w:cs="仿宋_GB2312"/>
                <w:color w:val="auto"/>
                <w:sz w:val="20"/>
                <w:szCs w:val="20"/>
                <w:highlight w:val="none"/>
              </w:rPr>
              <w:t xml:space="preserve"> 其中：  一般公共预算：</w:t>
            </w:r>
            <w:r>
              <w:rPr>
                <w:rFonts w:hint="eastAsia" w:ascii="仿宋_GB2312" w:hAnsi="仿宋_GB2312" w:eastAsia="仿宋_GB2312" w:cs="仿宋_GB2312"/>
                <w:color w:val="auto"/>
                <w:sz w:val="20"/>
                <w:szCs w:val="20"/>
                <w:highlight w:val="none"/>
                <w:lang w:val="en-US" w:eastAsia="zh-CN"/>
              </w:rPr>
              <w:t>381.66</w:t>
            </w:r>
          </w:p>
        </w:tc>
        <w:tc>
          <w:tcPr>
            <w:tcW w:w="4179" w:type="dxa"/>
            <w:gridSpan w:val="4"/>
            <w:tcBorders>
              <w:top w:val="nil"/>
              <w:left w:val="nil"/>
              <w:bottom w:val="single" w:color="auto" w:sz="4" w:space="0"/>
              <w:right w:val="single" w:color="auto" w:sz="4" w:space="0"/>
            </w:tcBorders>
            <w:noWrap w:val="0"/>
            <w:vAlign w:val="center"/>
          </w:tcPr>
          <w:p w14:paraId="6D8B6C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357.93</w:t>
            </w:r>
          </w:p>
        </w:tc>
      </w:tr>
      <w:tr w14:paraId="53416DC1">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14:paraId="07176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763" w:type="dxa"/>
            <w:gridSpan w:val="4"/>
            <w:tcBorders>
              <w:top w:val="nil"/>
              <w:left w:val="nil"/>
              <w:bottom w:val="single" w:color="auto" w:sz="4" w:space="0"/>
              <w:right w:val="single" w:color="auto" w:sz="4" w:space="0"/>
            </w:tcBorders>
            <w:noWrap w:val="0"/>
            <w:vAlign w:val="center"/>
          </w:tcPr>
          <w:p w14:paraId="0779B9F1">
            <w:pPr>
              <w:keepNext w:val="0"/>
              <w:keepLines w:val="0"/>
              <w:pageBreakBefore w:val="0"/>
              <w:widowControl/>
              <w:kinsoku/>
              <w:wordWrap/>
              <w:overflowPunct/>
              <w:topLinePunct w:val="0"/>
              <w:autoSpaceDE/>
              <w:autoSpaceDN/>
              <w:bidi w:val="0"/>
              <w:adjustRightInd/>
              <w:snapToGrid/>
              <w:spacing w:line="280" w:lineRule="exact"/>
              <w:ind w:firstLine="1200" w:firstLineChars="6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政府性基金拨款：</w:t>
            </w:r>
            <w:r>
              <w:rPr>
                <w:rFonts w:hint="eastAsia" w:ascii="仿宋_GB2312" w:hAnsi="仿宋_GB2312" w:eastAsia="仿宋_GB2312" w:cs="仿宋_GB2312"/>
                <w:color w:val="auto"/>
                <w:sz w:val="20"/>
                <w:szCs w:val="20"/>
                <w:highlight w:val="none"/>
                <w:lang w:val="en-US" w:eastAsia="zh-CN"/>
              </w:rPr>
              <w:t>0.00</w:t>
            </w:r>
          </w:p>
        </w:tc>
        <w:tc>
          <w:tcPr>
            <w:tcW w:w="4179" w:type="dxa"/>
            <w:gridSpan w:val="4"/>
            <w:tcBorders>
              <w:top w:val="nil"/>
              <w:left w:val="nil"/>
              <w:bottom w:val="single" w:color="auto" w:sz="4" w:space="0"/>
              <w:right w:val="single" w:color="auto" w:sz="4" w:space="0"/>
            </w:tcBorders>
            <w:noWrap w:val="0"/>
            <w:vAlign w:val="center"/>
          </w:tcPr>
          <w:p w14:paraId="258C524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230.41</w:t>
            </w:r>
          </w:p>
        </w:tc>
      </w:tr>
      <w:tr w14:paraId="005DE5A3">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14:paraId="07837C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763" w:type="dxa"/>
            <w:gridSpan w:val="4"/>
            <w:tcBorders>
              <w:top w:val="nil"/>
              <w:left w:val="nil"/>
              <w:bottom w:val="single" w:color="auto" w:sz="4" w:space="0"/>
              <w:right w:val="single" w:color="auto" w:sz="4" w:space="0"/>
            </w:tcBorders>
            <w:noWrap w:val="0"/>
            <w:vAlign w:val="center"/>
          </w:tcPr>
          <w:p w14:paraId="147AEB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纳入专户管理的非税收入拨款：</w:t>
            </w:r>
            <w:r>
              <w:rPr>
                <w:rFonts w:hint="eastAsia" w:ascii="仿宋_GB2312" w:hAnsi="仿宋_GB2312" w:eastAsia="仿宋_GB2312" w:cs="仿宋_GB2312"/>
                <w:color w:val="auto"/>
                <w:sz w:val="20"/>
                <w:szCs w:val="20"/>
                <w:highlight w:val="none"/>
                <w:lang w:val="en-US" w:eastAsia="zh-CN"/>
              </w:rPr>
              <w:t>0.00</w:t>
            </w:r>
          </w:p>
        </w:tc>
        <w:tc>
          <w:tcPr>
            <w:tcW w:w="4179" w:type="dxa"/>
            <w:gridSpan w:val="4"/>
            <w:tcBorders>
              <w:top w:val="nil"/>
              <w:left w:val="nil"/>
              <w:bottom w:val="single" w:color="auto" w:sz="4" w:space="0"/>
              <w:right w:val="single" w:color="auto" w:sz="4" w:space="0"/>
            </w:tcBorders>
            <w:noWrap w:val="0"/>
            <w:vAlign w:val="center"/>
          </w:tcPr>
          <w:p w14:paraId="53B817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2464A305">
        <w:tblPrEx>
          <w:tblCellMar>
            <w:top w:w="0" w:type="dxa"/>
            <w:left w:w="108" w:type="dxa"/>
            <w:bottom w:w="0" w:type="dxa"/>
            <w:right w:w="108" w:type="dxa"/>
          </w:tblCellMar>
        </w:tblPrEx>
        <w:trPr>
          <w:trHeight w:val="225"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0B04F9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763" w:type="dxa"/>
            <w:gridSpan w:val="4"/>
            <w:tcBorders>
              <w:top w:val="nil"/>
              <w:left w:val="nil"/>
              <w:bottom w:val="single" w:color="auto" w:sz="4" w:space="0"/>
              <w:right w:val="single" w:color="auto" w:sz="4" w:space="0"/>
            </w:tcBorders>
            <w:noWrap w:val="0"/>
            <w:vAlign w:val="center"/>
          </w:tcPr>
          <w:p w14:paraId="2512D4CD">
            <w:pPr>
              <w:keepNext w:val="0"/>
              <w:keepLines w:val="0"/>
              <w:pageBreakBefore w:val="0"/>
              <w:widowControl/>
              <w:kinsoku/>
              <w:wordWrap/>
              <w:overflowPunct/>
              <w:topLinePunct w:val="0"/>
              <w:autoSpaceDE/>
              <w:autoSpaceDN/>
              <w:bidi w:val="0"/>
              <w:adjustRightInd/>
              <w:snapToGrid/>
              <w:spacing w:line="280" w:lineRule="exact"/>
              <w:ind w:firstLine="1800" w:firstLineChars="9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其他资金：</w:t>
            </w:r>
            <w:r>
              <w:rPr>
                <w:rFonts w:hint="eastAsia" w:ascii="仿宋_GB2312" w:hAnsi="仿宋_GB2312" w:eastAsia="仿宋_GB2312" w:cs="仿宋_GB2312"/>
                <w:color w:val="auto"/>
                <w:sz w:val="20"/>
                <w:szCs w:val="20"/>
                <w:highlight w:val="none"/>
                <w:lang w:val="en-US" w:eastAsia="zh-CN"/>
              </w:rPr>
              <w:t>50.00</w:t>
            </w:r>
          </w:p>
        </w:tc>
        <w:tc>
          <w:tcPr>
            <w:tcW w:w="4179" w:type="dxa"/>
            <w:gridSpan w:val="4"/>
            <w:tcBorders>
              <w:top w:val="nil"/>
              <w:left w:val="nil"/>
              <w:bottom w:val="single" w:color="auto" w:sz="4" w:space="0"/>
              <w:right w:val="single" w:color="auto" w:sz="4" w:space="0"/>
            </w:tcBorders>
            <w:noWrap w:val="0"/>
            <w:vAlign w:val="center"/>
          </w:tcPr>
          <w:p w14:paraId="2324A1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5B29F65F">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2E8D32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63" w:type="dxa"/>
            <w:gridSpan w:val="4"/>
            <w:tcBorders>
              <w:top w:val="single" w:color="auto" w:sz="4" w:space="0"/>
              <w:left w:val="nil"/>
              <w:bottom w:val="single" w:color="auto" w:sz="4" w:space="0"/>
              <w:right w:val="single" w:color="000000" w:sz="4" w:space="0"/>
            </w:tcBorders>
            <w:noWrap w:val="0"/>
            <w:vAlign w:val="center"/>
          </w:tcPr>
          <w:p w14:paraId="32034F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179" w:type="dxa"/>
            <w:gridSpan w:val="4"/>
            <w:tcBorders>
              <w:top w:val="single" w:color="auto" w:sz="4" w:space="0"/>
              <w:left w:val="nil"/>
              <w:bottom w:val="single" w:color="auto" w:sz="4" w:space="0"/>
              <w:right w:val="single" w:color="auto" w:sz="4" w:space="0"/>
            </w:tcBorders>
            <w:noWrap w:val="0"/>
            <w:vAlign w:val="center"/>
          </w:tcPr>
          <w:p w14:paraId="2C160D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6025D54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DDC8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4763" w:type="dxa"/>
            <w:gridSpan w:val="4"/>
            <w:tcBorders>
              <w:top w:val="single" w:color="auto" w:sz="4" w:space="0"/>
              <w:left w:val="nil"/>
              <w:bottom w:val="single" w:color="auto" w:sz="4" w:space="0"/>
              <w:right w:val="single" w:color="000000" w:sz="4" w:space="0"/>
            </w:tcBorders>
            <w:noWrap w:val="0"/>
            <w:vAlign w:val="center"/>
          </w:tcPr>
          <w:p w14:paraId="44C94A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目标1：加强中心城区人行道停车管理，及时录入人行道违停车辆信息，改善停车秩序，保障人行道畅通;</w:t>
            </w:r>
          </w:p>
          <w:p w14:paraId="19E5C5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xml:space="preserve">目标2：挖掘城区停车潜力，督促市直临街机关事业单位停车场对外开放，缓解市民停车“难”; </w:t>
            </w:r>
          </w:p>
          <w:p w14:paraId="18A695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xml:space="preserve">目标3：安装维护中心城区人行道停车辅助设施，保障其处于良好的使用状态; </w:t>
            </w:r>
          </w:p>
          <w:p w14:paraId="27D1BA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目标4：加大绿色出行宣传，提出慢行交通建设建议，确保绿色出行安全，加强行业监管考评。                                                                                                                                                                         　　</w:t>
            </w:r>
          </w:p>
        </w:tc>
        <w:tc>
          <w:tcPr>
            <w:tcW w:w="4179" w:type="dxa"/>
            <w:gridSpan w:val="4"/>
            <w:tcBorders>
              <w:top w:val="single" w:color="auto" w:sz="4" w:space="0"/>
              <w:left w:val="nil"/>
              <w:bottom w:val="single" w:color="auto" w:sz="4" w:space="0"/>
              <w:right w:val="single" w:color="auto" w:sz="4" w:space="0"/>
            </w:tcBorders>
            <w:noWrap w:val="0"/>
            <w:vAlign w:val="center"/>
          </w:tcPr>
          <w:p w14:paraId="1A190F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w:t>
            </w:r>
            <w:r>
              <w:rPr>
                <w:rFonts w:hint="eastAsia" w:ascii="仿宋_GB2312" w:hAnsi="仿宋_GB2312" w:eastAsia="仿宋_GB2312" w:cs="仿宋_GB2312"/>
                <w:color w:val="000000"/>
                <w:sz w:val="20"/>
                <w:szCs w:val="20"/>
                <w:highlight w:val="none"/>
                <w:lang w:eastAsia="zh-CN"/>
              </w:rPr>
              <w:t>加大了</w:t>
            </w:r>
            <w:r>
              <w:rPr>
                <w:rFonts w:hint="eastAsia" w:ascii="仿宋_GB2312" w:hAnsi="仿宋_GB2312" w:eastAsia="仿宋_GB2312" w:cs="仿宋_GB2312"/>
                <w:color w:val="000000"/>
                <w:sz w:val="20"/>
                <w:szCs w:val="20"/>
                <w:highlight w:val="none"/>
              </w:rPr>
              <w:t>中心城区人行道停车管理，人行道违停车辆信息录入及时，改善</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停车秩序，保障人行道畅通;</w:t>
            </w:r>
          </w:p>
          <w:p w14:paraId="3AB856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目标2：挖掘</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城区停车潜力，督促市直临街机关事业单位停车场</w:t>
            </w:r>
            <w:r>
              <w:rPr>
                <w:rFonts w:hint="eastAsia" w:ascii="仿宋_GB2312" w:hAnsi="仿宋_GB2312" w:eastAsia="仿宋_GB2312" w:cs="仿宋_GB2312"/>
                <w:color w:val="000000"/>
                <w:sz w:val="20"/>
                <w:szCs w:val="20"/>
                <w:highlight w:val="none"/>
                <w:lang w:eastAsia="zh-CN"/>
              </w:rPr>
              <w:t>正常</w:t>
            </w:r>
            <w:r>
              <w:rPr>
                <w:rFonts w:hint="eastAsia" w:ascii="仿宋_GB2312" w:hAnsi="仿宋_GB2312" w:eastAsia="仿宋_GB2312" w:cs="仿宋_GB2312"/>
                <w:color w:val="000000"/>
                <w:sz w:val="20"/>
                <w:szCs w:val="20"/>
                <w:highlight w:val="none"/>
              </w:rPr>
              <w:t>对外开放，</w:t>
            </w:r>
            <w:r>
              <w:rPr>
                <w:rFonts w:hint="eastAsia" w:ascii="仿宋_GB2312" w:hAnsi="仿宋_GB2312" w:eastAsia="仿宋_GB2312" w:cs="仿宋_GB2312"/>
                <w:color w:val="000000"/>
                <w:sz w:val="20"/>
                <w:szCs w:val="20"/>
                <w:highlight w:val="none"/>
                <w:lang w:eastAsia="zh-CN"/>
              </w:rPr>
              <w:t>有效</w:t>
            </w:r>
            <w:r>
              <w:rPr>
                <w:rFonts w:hint="eastAsia" w:ascii="仿宋_GB2312" w:hAnsi="仿宋_GB2312" w:eastAsia="仿宋_GB2312" w:cs="仿宋_GB2312"/>
                <w:color w:val="000000"/>
                <w:sz w:val="20"/>
                <w:szCs w:val="20"/>
                <w:highlight w:val="none"/>
              </w:rPr>
              <w:t>缓解</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 xml:space="preserve">市民停车“难”; </w:t>
            </w:r>
          </w:p>
          <w:p w14:paraId="4DD544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目标3：</w:t>
            </w:r>
            <w:r>
              <w:rPr>
                <w:rFonts w:hint="eastAsia" w:ascii="仿宋_GB2312" w:hAnsi="仿宋_GB2312" w:eastAsia="仿宋_GB2312" w:cs="仿宋_GB2312"/>
                <w:color w:val="000000"/>
                <w:sz w:val="20"/>
                <w:szCs w:val="20"/>
                <w:highlight w:val="none"/>
                <w:lang w:eastAsia="zh-CN"/>
              </w:rPr>
              <w:t>及时维护了</w:t>
            </w:r>
            <w:r>
              <w:rPr>
                <w:rFonts w:hint="eastAsia" w:ascii="仿宋_GB2312" w:hAnsi="仿宋_GB2312" w:eastAsia="仿宋_GB2312" w:cs="仿宋_GB2312"/>
                <w:color w:val="000000"/>
                <w:sz w:val="20"/>
                <w:szCs w:val="20"/>
                <w:highlight w:val="none"/>
              </w:rPr>
              <w:t xml:space="preserve">中心城区人行道停车辅助设施，保障其处于良好的使用状态; </w:t>
            </w:r>
          </w:p>
          <w:p w14:paraId="2C8FC1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目标4：加大</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绿色</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安全出行宣传，</w:t>
            </w:r>
            <w:r>
              <w:rPr>
                <w:rFonts w:hint="eastAsia" w:ascii="仿宋_GB2312" w:hAnsi="仿宋_GB2312" w:eastAsia="仿宋_GB2312" w:cs="仿宋_GB2312"/>
                <w:color w:val="000000"/>
                <w:sz w:val="20"/>
                <w:szCs w:val="20"/>
                <w:highlight w:val="none"/>
                <w:lang w:eastAsia="zh-CN"/>
              </w:rPr>
              <w:t>并</w:t>
            </w:r>
            <w:r>
              <w:rPr>
                <w:rFonts w:hint="eastAsia" w:ascii="仿宋_GB2312" w:hAnsi="仿宋_GB2312" w:eastAsia="仿宋_GB2312" w:cs="仿宋_GB2312"/>
                <w:color w:val="000000"/>
                <w:sz w:val="20"/>
                <w:szCs w:val="20"/>
                <w:highlight w:val="none"/>
              </w:rPr>
              <w:t>提出慢行交通建设建议，加</w:t>
            </w:r>
            <w:r>
              <w:rPr>
                <w:rFonts w:hint="eastAsia" w:ascii="仿宋_GB2312" w:hAnsi="仿宋_GB2312" w:eastAsia="仿宋_GB2312" w:cs="仿宋_GB2312"/>
                <w:color w:val="000000"/>
                <w:sz w:val="20"/>
                <w:szCs w:val="20"/>
                <w:highlight w:val="none"/>
                <w:lang w:eastAsia="zh-CN"/>
              </w:rPr>
              <w:t>大了</w:t>
            </w:r>
            <w:r>
              <w:rPr>
                <w:rFonts w:hint="eastAsia" w:ascii="仿宋_GB2312" w:hAnsi="仿宋_GB2312" w:eastAsia="仿宋_GB2312" w:cs="仿宋_GB2312"/>
                <w:color w:val="000000"/>
                <w:sz w:val="20"/>
                <w:szCs w:val="20"/>
                <w:highlight w:val="none"/>
              </w:rPr>
              <w:t xml:space="preserve">行业监管考评。          </w:t>
            </w:r>
          </w:p>
        </w:tc>
      </w:tr>
      <w:tr w14:paraId="0313FED6">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27790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9772D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D5C1C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237D54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02B0CF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nil"/>
              <w:left w:val="nil"/>
              <w:bottom w:val="single" w:color="auto" w:sz="4" w:space="0"/>
              <w:right w:val="single" w:color="auto" w:sz="4" w:space="0"/>
            </w:tcBorders>
            <w:noWrap w:val="0"/>
            <w:vAlign w:val="center"/>
          </w:tcPr>
          <w:p w14:paraId="7A3F33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nil"/>
              <w:left w:val="nil"/>
              <w:bottom w:val="single" w:color="auto" w:sz="4" w:space="0"/>
              <w:right w:val="single" w:color="auto" w:sz="4" w:space="0"/>
            </w:tcBorders>
            <w:noWrap w:val="0"/>
            <w:vAlign w:val="center"/>
          </w:tcPr>
          <w:p w14:paraId="5B90C6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428" w:type="dxa"/>
            <w:tcBorders>
              <w:top w:val="nil"/>
              <w:left w:val="nil"/>
              <w:bottom w:val="single" w:color="auto" w:sz="4" w:space="0"/>
              <w:right w:val="single" w:color="auto" w:sz="4" w:space="0"/>
            </w:tcBorders>
            <w:noWrap w:val="0"/>
            <w:vAlign w:val="center"/>
          </w:tcPr>
          <w:p w14:paraId="625681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21" w:type="dxa"/>
            <w:tcBorders>
              <w:top w:val="nil"/>
              <w:left w:val="nil"/>
              <w:bottom w:val="single" w:color="auto" w:sz="4" w:space="0"/>
              <w:right w:val="single" w:color="auto" w:sz="4" w:space="0"/>
            </w:tcBorders>
            <w:noWrap w:val="0"/>
            <w:vAlign w:val="center"/>
          </w:tcPr>
          <w:p w14:paraId="10FF06D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25" w:type="dxa"/>
            <w:tcBorders>
              <w:top w:val="nil"/>
              <w:left w:val="nil"/>
              <w:bottom w:val="single" w:color="auto" w:sz="4" w:space="0"/>
              <w:right w:val="single" w:color="auto" w:sz="4" w:space="0"/>
            </w:tcBorders>
            <w:noWrap w:val="0"/>
            <w:vAlign w:val="center"/>
          </w:tcPr>
          <w:p w14:paraId="0E59CECE">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25" w:type="dxa"/>
            <w:tcBorders>
              <w:top w:val="nil"/>
              <w:left w:val="nil"/>
              <w:bottom w:val="single" w:color="auto" w:sz="4" w:space="0"/>
              <w:right w:val="single" w:color="auto" w:sz="4" w:space="0"/>
            </w:tcBorders>
            <w:noWrap w:val="0"/>
            <w:vAlign w:val="center"/>
          </w:tcPr>
          <w:p w14:paraId="1C41EA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19" w:type="dxa"/>
            <w:tcBorders>
              <w:top w:val="nil"/>
              <w:left w:val="nil"/>
              <w:bottom w:val="single" w:color="auto" w:sz="4" w:space="0"/>
              <w:right w:val="single" w:color="auto" w:sz="4" w:space="0"/>
            </w:tcBorders>
            <w:noWrap w:val="0"/>
            <w:vAlign w:val="center"/>
          </w:tcPr>
          <w:p w14:paraId="321E8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0" w:type="dxa"/>
            <w:tcBorders>
              <w:top w:val="nil"/>
              <w:left w:val="nil"/>
              <w:bottom w:val="single" w:color="auto" w:sz="4" w:space="0"/>
              <w:right w:val="single" w:color="auto" w:sz="4" w:space="0"/>
            </w:tcBorders>
            <w:noWrap w:val="0"/>
            <w:vAlign w:val="center"/>
          </w:tcPr>
          <w:p w14:paraId="0C766775">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D9B959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58BD95F">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C0BBE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CA26A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p w14:paraId="7A5A8A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4F730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87863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开展倡导绿色出行宣传工作</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1E9208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≥2</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F2F11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w:t>
            </w:r>
          </w:p>
        </w:tc>
        <w:tc>
          <w:tcPr>
            <w:tcW w:w="725" w:type="dxa"/>
            <w:tcBorders>
              <w:top w:val="nil"/>
              <w:left w:val="nil"/>
              <w:bottom w:val="single" w:color="auto" w:sz="4" w:space="0"/>
              <w:right w:val="single" w:color="auto" w:sz="4" w:space="0"/>
            </w:tcBorders>
            <w:noWrap w:val="0"/>
            <w:vAlign w:val="center"/>
          </w:tcPr>
          <w:p w14:paraId="04A05F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4958D0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1C00E6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911BE7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B1798D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DA2BA6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8D46DF7">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2A04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学习其他地区先进的管理工作经验</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15052C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≥2</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8109C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w:t>
            </w:r>
          </w:p>
        </w:tc>
        <w:tc>
          <w:tcPr>
            <w:tcW w:w="725" w:type="dxa"/>
            <w:tcBorders>
              <w:top w:val="nil"/>
              <w:left w:val="nil"/>
              <w:bottom w:val="single" w:color="auto" w:sz="4" w:space="0"/>
              <w:right w:val="single" w:color="auto" w:sz="4" w:space="0"/>
            </w:tcBorders>
            <w:noWrap w:val="0"/>
            <w:vAlign w:val="center"/>
          </w:tcPr>
          <w:p w14:paraId="3D6266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501920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75BACD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7809C94">
        <w:tblPrEx>
          <w:tblCellMar>
            <w:top w:w="0" w:type="dxa"/>
            <w:left w:w="108" w:type="dxa"/>
            <w:bottom w:w="0" w:type="dxa"/>
            <w:right w:w="108" w:type="dxa"/>
          </w:tblCellMar>
        </w:tblPrEx>
        <w:trPr>
          <w:trHeight w:val="612" w:hRule="atLeast"/>
          <w:jc w:val="center"/>
        </w:trPr>
        <w:tc>
          <w:tcPr>
            <w:tcW w:w="1080" w:type="dxa"/>
            <w:vMerge w:val="continue"/>
            <w:tcBorders>
              <w:left w:val="single" w:color="auto" w:sz="4" w:space="0"/>
              <w:right w:val="single" w:color="auto" w:sz="4" w:space="0"/>
            </w:tcBorders>
            <w:noWrap w:val="0"/>
            <w:vAlign w:val="center"/>
          </w:tcPr>
          <w:p w14:paraId="434990A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8CF23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4A203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62258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拖车</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57949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次/台/天</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79400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次/台/天</w:t>
            </w:r>
          </w:p>
        </w:tc>
        <w:tc>
          <w:tcPr>
            <w:tcW w:w="725" w:type="dxa"/>
            <w:tcBorders>
              <w:top w:val="nil"/>
              <w:left w:val="nil"/>
              <w:bottom w:val="single" w:color="auto" w:sz="4" w:space="0"/>
              <w:right w:val="single" w:color="auto" w:sz="4" w:space="0"/>
            </w:tcBorders>
            <w:noWrap w:val="0"/>
            <w:vAlign w:val="center"/>
          </w:tcPr>
          <w:p w14:paraId="34E44D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36EDE2CF">
            <w:pPr>
              <w:keepNext w:val="0"/>
              <w:keepLines w:val="0"/>
              <w:pageBreakBefore w:val="0"/>
              <w:widowControl/>
              <w:kinsoku/>
              <w:wordWrap/>
              <w:overflowPunct/>
              <w:topLinePunct w:val="0"/>
              <w:autoSpaceDE/>
              <w:autoSpaceDN/>
              <w:bidi w:val="0"/>
              <w:adjustRightInd/>
              <w:snapToGrid/>
              <w:spacing w:line="280" w:lineRule="exact"/>
              <w:ind w:firstLine="200" w:firstLineChars="1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5C10B5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3FA1998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31B9BA3">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84872C">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BB520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85D9A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僵尸车、广告车集中整治</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22D4BB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2次</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04A60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2次</w:t>
            </w:r>
          </w:p>
        </w:tc>
        <w:tc>
          <w:tcPr>
            <w:tcW w:w="725" w:type="dxa"/>
            <w:tcBorders>
              <w:top w:val="nil"/>
              <w:left w:val="nil"/>
              <w:bottom w:val="single" w:color="auto" w:sz="4" w:space="0"/>
              <w:right w:val="single" w:color="auto" w:sz="4" w:space="0"/>
            </w:tcBorders>
            <w:noWrap w:val="0"/>
            <w:vAlign w:val="center"/>
          </w:tcPr>
          <w:p w14:paraId="20A7AD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63030F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4E5A1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2976C89E">
        <w:tblPrEx>
          <w:tblCellMar>
            <w:top w:w="0" w:type="dxa"/>
            <w:left w:w="108" w:type="dxa"/>
            <w:bottom w:w="0" w:type="dxa"/>
            <w:right w:w="108" w:type="dxa"/>
          </w:tblCellMar>
        </w:tblPrEx>
        <w:trPr>
          <w:trHeight w:val="638" w:hRule="atLeast"/>
          <w:jc w:val="center"/>
        </w:trPr>
        <w:tc>
          <w:tcPr>
            <w:tcW w:w="1080" w:type="dxa"/>
            <w:vMerge w:val="continue"/>
            <w:tcBorders>
              <w:left w:val="single" w:color="auto" w:sz="4" w:space="0"/>
              <w:right w:val="single" w:color="auto" w:sz="4" w:space="0"/>
            </w:tcBorders>
            <w:noWrap w:val="0"/>
            <w:vAlign w:val="center"/>
          </w:tcPr>
          <w:p w14:paraId="2D311B2D">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FA490B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05520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6EE04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摩托车</w:t>
            </w:r>
            <w:r>
              <w:rPr>
                <w:rFonts w:hint="eastAsia" w:ascii="仿宋_GB2312" w:hAnsi="仿宋_GB2312" w:eastAsia="仿宋_GB2312" w:cs="仿宋_GB2312"/>
                <w:color w:val="000000"/>
                <w:sz w:val="20"/>
                <w:szCs w:val="20"/>
                <w:highlight w:val="none"/>
              </w:rPr>
              <w:t>运行</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25AB8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次/台/天</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024E8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次/台/天</w:t>
            </w:r>
          </w:p>
        </w:tc>
        <w:tc>
          <w:tcPr>
            <w:tcW w:w="725" w:type="dxa"/>
            <w:tcBorders>
              <w:top w:val="nil"/>
              <w:left w:val="nil"/>
              <w:bottom w:val="single" w:color="auto" w:sz="4" w:space="0"/>
              <w:right w:val="single" w:color="auto" w:sz="4" w:space="0"/>
            </w:tcBorders>
            <w:noWrap w:val="0"/>
            <w:vAlign w:val="center"/>
          </w:tcPr>
          <w:p w14:paraId="5DF1FF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54BE20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51E4B9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6C42D8F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F9EA4CE">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CC0957E">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487E9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6439B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有固定协管队伍</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F8278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5人</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D2FF9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5人</w:t>
            </w:r>
          </w:p>
        </w:tc>
        <w:tc>
          <w:tcPr>
            <w:tcW w:w="725" w:type="dxa"/>
            <w:tcBorders>
              <w:top w:val="nil"/>
              <w:left w:val="nil"/>
              <w:bottom w:val="single" w:color="auto" w:sz="4" w:space="0"/>
              <w:right w:val="single" w:color="auto" w:sz="4" w:space="0"/>
            </w:tcBorders>
            <w:noWrap w:val="0"/>
            <w:vAlign w:val="center"/>
          </w:tcPr>
          <w:p w14:paraId="77D539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62D9A3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3B6D4B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53AB9FE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CC67F3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7FCE1C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2B976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2AD05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法律法规、文明执法、作风纪律等</w:t>
            </w:r>
            <w:r>
              <w:rPr>
                <w:rFonts w:hint="eastAsia" w:ascii="仿宋_GB2312" w:hAnsi="仿宋_GB2312" w:eastAsia="仿宋_GB2312" w:cs="仿宋_GB2312"/>
                <w:color w:val="000000"/>
                <w:sz w:val="20"/>
                <w:szCs w:val="20"/>
                <w:highlight w:val="none"/>
                <w:lang w:val="en-US" w:eastAsia="zh-CN"/>
              </w:rPr>
              <w:t>培训</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ED5B1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1次</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C9FD1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1次</w:t>
            </w:r>
          </w:p>
        </w:tc>
        <w:tc>
          <w:tcPr>
            <w:tcW w:w="725" w:type="dxa"/>
            <w:tcBorders>
              <w:top w:val="nil"/>
              <w:left w:val="nil"/>
              <w:bottom w:val="single" w:color="auto" w:sz="4" w:space="0"/>
              <w:right w:val="single" w:color="auto" w:sz="4" w:space="0"/>
            </w:tcBorders>
            <w:noWrap w:val="0"/>
            <w:vAlign w:val="center"/>
          </w:tcPr>
          <w:p w14:paraId="564983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487B1B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13AD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7B7676EB">
        <w:tblPrEx>
          <w:tblCellMar>
            <w:top w:w="0" w:type="dxa"/>
            <w:left w:w="108" w:type="dxa"/>
            <w:bottom w:w="0" w:type="dxa"/>
            <w:right w:w="108" w:type="dxa"/>
          </w:tblCellMar>
        </w:tblPrEx>
        <w:trPr>
          <w:trHeight w:val="1319" w:hRule="atLeast"/>
          <w:jc w:val="center"/>
        </w:trPr>
        <w:tc>
          <w:tcPr>
            <w:tcW w:w="1080" w:type="dxa"/>
            <w:vMerge w:val="continue"/>
            <w:tcBorders>
              <w:left w:val="single" w:color="auto" w:sz="4" w:space="0"/>
              <w:right w:val="single" w:color="auto" w:sz="4" w:space="0"/>
            </w:tcBorders>
            <w:noWrap w:val="0"/>
            <w:vAlign w:val="center"/>
          </w:tcPr>
          <w:p w14:paraId="5236FE22">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9B72527">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C993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1BDBF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协管员</w:t>
            </w:r>
            <w:r>
              <w:rPr>
                <w:rFonts w:hint="eastAsia" w:ascii="仿宋_GB2312" w:hAnsi="仿宋_GB2312" w:eastAsia="仿宋_GB2312" w:cs="仿宋_GB2312"/>
                <w:color w:val="000000"/>
                <w:sz w:val="20"/>
                <w:szCs w:val="20"/>
                <w:highlight w:val="none"/>
              </w:rPr>
              <w:t>业务考核</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2C6941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2次</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020B7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2次</w:t>
            </w:r>
          </w:p>
        </w:tc>
        <w:tc>
          <w:tcPr>
            <w:tcW w:w="725" w:type="dxa"/>
            <w:tcBorders>
              <w:top w:val="nil"/>
              <w:left w:val="nil"/>
              <w:bottom w:val="single" w:color="auto" w:sz="4" w:space="0"/>
              <w:right w:val="single" w:color="auto" w:sz="4" w:space="0"/>
            </w:tcBorders>
            <w:noWrap w:val="0"/>
            <w:vAlign w:val="center"/>
          </w:tcPr>
          <w:p w14:paraId="3A9769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45DEB1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03D901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1B84E61C">
        <w:trPr>
          <w:jc w:val="center"/>
        </w:trPr>
        <w:tc>
          <w:tcPr>
            <w:tcW w:w="1080" w:type="dxa"/>
            <w:vMerge w:val="continue"/>
            <w:tcBorders>
              <w:left w:val="single" w:color="auto" w:sz="4" w:space="0"/>
              <w:right w:val="single" w:color="auto" w:sz="4" w:space="0"/>
            </w:tcBorders>
            <w:noWrap w:val="0"/>
            <w:vAlign w:val="center"/>
          </w:tcPr>
          <w:p w14:paraId="2C9152DA">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4DB40ED">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DCE18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58FEA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市直临街机关事业单位停车场对外开放</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0D9CC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48家</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0D56FC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48家正常对外开放</w:t>
            </w:r>
          </w:p>
        </w:tc>
        <w:tc>
          <w:tcPr>
            <w:tcW w:w="725" w:type="dxa"/>
            <w:tcBorders>
              <w:top w:val="single" w:color="auto" w:sz="4" w:space="0"/>
              <w:left w:val="nil"/>
              <w:bottom w:val="single" w:color="auto" w:sz="4" w:space="0"/>
              <w:right w:val="single" w:color="auto" w:sz="4" w:space="0"/>
            </w:tcBorders>
            <w:noWrap w:val="0"/>
            <w:vAlign w:val="center"/>
          </w:tcPr>
          <w:p w14:paraId="278094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single" w:color="auto" w:sz="4" w:space="0"/>
              <w:left w:val="nil"/>
              <w:bottom w:val="single" w:color="auto" w:sz="4" w:space="0"/>
              <w:right w:val="single" w:color="auto" w:sz="4" w:space="0"/>
            </w:tcBorders>
            <w:noWrap w:val="0"/>
            <w:vAlign w:val="center"/>
          </w:tcPr>
          <w:p w14:paraId="70A259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single" w:color="auto" w:sz="4" w:space="0"/>
              <w:left w:val="nil"/>
              <w:bottom w:val="single" w:color="auto" w:sz="4" w:space="0"/>
              <w:right w:val="single" w:color="auto" w:sz="4" w:space="0"/>
            </w:tcBorders>
            <w:noWrap w:val="0"/>
            <w:vAlign w:val="center"/>
          </w:tcPr>
          <w:p w14:paraId="7EE319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1DD7CF3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33D9E14">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887728B">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07F6A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DB9A8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共享电动自行车运营管理考评考核</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5D8282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6次/年以上</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80B5D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12次</w:t>
            </w:r>
          </w:p>
        </w:tc>
        <w:tc>
          <w:tcPr>
            <w:tcW w:w="725" w:type="dxa"/>
            <w:tcBorders>
              <w:top w:val="nil"/>
              <w:left w:val="nil"/>
              <w:bottom w:val="single" w:color="auto" w:sz="4" w:space="0"/>
              <w:right w:val="single" w:color="auto" w:sz="4" w:space="0"/>
            </w:tcBorders>
            <w:noWrap w:val="0"/>
            <w:vAlign w:val="center"/>
          </w:tcPr>
          <w:p w14:paraId="547B9A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250D0B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688B12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7292F2B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D25050C">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9374474">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7547C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59FA1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维护人行道公共停车泊位</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A570C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lang w:val="en" w:eastAsia="zh-CN"/>
              </w:rPr>
              <w:t>20</w:t>
            </w:r>
            <w:r>
              <w:rPr>
                <w:rFonts w:hint="eastAsia" w:ascii="仿宋_GB2312" w:hAnsi="仿宋_GB2312" w:eastAsia="仿宋_GB2312" w:cs="仿宋_GB2312"/>
                <w:color w:val="000000"/>
                <w:sz w:val="20"/>
                <w:szCs w:val="20"/>
                <w:highlight w:val="none"/>
                <w:lang w:val="en-US" w:eastAsia="zh-CN"/>
              </w:rPr>
              <w:t>00个</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96577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lang w:val="en" w:eastAsia="zh-CN"/>
              </w:rPr>
              <w:t>20</w:t>
            </w:r>
            <w:r>
              <w:rPr>
                <w:rFonts w:hint="eastAsia" w:ascii="仿宋_GB2312" w:hAnsi="仿宋_GB2312" w:eastAsia="仿宋_GB2312" w:cs="仿宋_GB2312"/>
                <w:color w:val="000000"/>
                <w:sz w:val="20"/>
                <w:szCs w:val="20"/>
                <w:highlight w:val="none"/>
                <w:lang w:val="en-US" w:eastAsia="zh-CN"/>
              </w:rPr>
              <w:t>00个</w:t>
            </w:r>
          </w:p>
        </w:tc>
        <w:tc>
          <w:tcPr>
            <w:tcW w:w="725" w:type="dxa"/>
            <w:tcBorders>
              <w:top w:val="nil"/>
              <w:left w:val="nil"/>
              <w:bottom w:val="single" w:color="auto" w:sz="4" w:space="0"/>
              <w:right w:val="single" w:color="auto" w:sz="4" w:space="0"/>
            </w:tcBorders>
            <w:noWrap w:val="0"/>
            <w:vAlign w:val="center"/>
          </w:tcPr>
          <w:p w14:paraId="729269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6499A4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62CEBF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79BA79A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8E503EF">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D7B386">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1D38DF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92A39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维护及安装隔离桩</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976F364">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 w:eastAsia="zh-CN"/>
              </w:rPr>
              <w:t>约</w:t>
            </w:r>
            <w:r>
              <w:rPr>
                <w:rFonts w:hint="eastAsia" w:ascii="仿宋_GB2312" w:hAnsi="仿宋_GB2312" w:eastAsia="仿宋_GB2312" w:cs="仿宋_GB2312"/>
                <w:color w:val="000000"/>
                <w:sz w:val="20"/>
                <w:szCs w:val="20"/>
                <w:highlight w:val="none"/>
                <w:lang w:val="en-US" w:eastAsia="zh-CN"/>
              </w:rPr>
              <w:t>600个</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3ECC196">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lang w:val="en" w:eastAsia="zh-CN"/>
              </w:rPr>
              <w:t>约</w:t>
            </w:r>
            <w:r>
              <w:rPr>
                <w:rFonts w:hint="eastAsia" w:ascii="仿宋_GB2312" w:hAnsi="仿宋_GB2312" w:eastAsia="仿宋_GB2312" w:cs="仿宋_GB2312"/>
                <w:color w:val="000000"/>
                <w:sz w:val="20"/>
                <w:szCs w:val="20"/>
                <w:highlight w:val="none"/>
                <w:lang w:val="en-US" w:eastAsia="zh-CN"/>
              </w:rPr>
              <w:t>600个</w:t>
            </w:r>
          </w:p>
        </w:tc>
        <w:tc>
          <w:tcPr>
            <w:tcW w:w="725" w:type="dxa"/>
            <w:tcBorders>
              <w:top w:val="nil"/>
              <w:left w:val="nil"/>
              <w:bottom w:val="single" w:color="auto" w:sz="4" w:space="0"/>
              <w:right w:val="single" w:color="auto" w:sz="4" w:space="0"/>
            </w:tcBorders>
            <w:noWrap w:val="0"/>
            <w:vAlign w:val="center"/>
          </w:tcPr>
          <w:p w14:paraId="4B4E4F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1BE45B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493C05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47E1C074">
        <w:trPr>
          <w:jc w:val="center"/>
        </w:trPr>
        <w:tc>
          <w:tcPr>
            <w:tcW w:w="1080" w:type="dxa"/>
            <w:vMerge w:val="continue"/>
            <w:tcBorders>
              <w:left w:val="single" w:color="auto" w:sz="4" w:space="0"/>
              <w:right w:val="single" w:color="auto" w:sz="4" w:space="0"/>
            </w:tcBorders>
            <w:noWrap w:val="0"/>
            <w:vAlign w:val="center"/>
          </w:tcPr>
          <w:p w14:paraId="79AF1CDD">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81768AE">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5AAA1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68E44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违停温馨提示短信发送</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DA0A031">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6万台次</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6E19B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3.63万台次</w:t>
            </w:r>
          </w:p>
        </w:tc>
        <w:tc>
          <w:tcPr>
            <w:tcW w:w="725" w:type="dxa"/>
            <w:tcBorders>
              <w:top w:val="nil"/>
              <w:left w:val="nil"/>
              <w:bottom w:val="single" w:color="auto" w:sz="4" w:space="0"/>
              <w:right w:val="single" w:color="auto" w:sz="4" w:space="0"/>
            </w:tcBorders>
            <w:noWrap w:val="0"/>
            <w:vAlign w:val="center"/>
          </w:tcPr>
          <w:p w14:paraId="2CDA51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0FD46A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w:t>
            </w:r>
          </w:p>
        </w:tc>
        <w:tc>
          <w:tcPr>
            <w:tcW w:w="1410" w:type="dxa"/>
            <w:tcBorders>
              <w:top w:val="nil"/>
              <w:left w:val="nil"/>
              <w:bottom w:val="single" w:color="auto" w:sz="4" w:space="0"/>
              <w:right w:val="single" w:color="auto" w:sz="4" w:space="0"/>
            </w:tcBorders>
            <w:noWrap w:val="0"/>
            <w:vAlign w:val="center"/>
          </w:tcPr>
          <w:p w14:paraId="1F30F4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因车辆管理信息平台升级，有一段时间未发送相关信息</w:t>
            </w:r>
          </w:p>
        </w:tc>
      </w:tr>
      <w:tr w14:paraId="66FA466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D75AC68">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76962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39DA4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E6B94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维护及安装停车栏杆</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3C54A86D">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lang w:val="en" w:eastAsia="zh-CN"/>
              </w:rPr>
              <w:t>约</w:t>
            </w:r>
            <w:r>
              <w:rPr>
                <w:rFonts w:hint="eastAsia" w:ascii="仿宋_GB2312" w:hAnsi="仿宋_GB2312" w:eastAsia="仿宋_GB2312" w:cs="仿宋_GB2312"/>
                <w:color w:val="000000"/>
                <w:sz w:val="20"/>
                <w:szCs w:val="20"/>
                <w:highlight w:val="none"/>
                <w:lang w:val="en"/>
              </w:rPr>
              <w:t>70</w:t>
            </w:r>
            <w:r>
              <w:rPr>
                <w:rFonts w:hint="eastAsia" w:ascii="仿宋_GB2312" w:hAnsi="仿宋_GB2312" w:eastAsia="仿宋_GB2312" w:cs="仿宋_GB2312"/>
                <w:color w:val="000000"/>
                <w:sz w:val="20"/>
                <w:szCs w:val="20"/>
                <w:highlight w:val="none"/>
                <w:lang w:val="en-US" w:eastAsia="zh-CN"/>
              </w:rPr>
              <w:t>0</w:t>
            </w:r>
            <w:r>
              <w:rPr>
                <w:rFonts w:hint="eastAsia" w:ascii="仿宋_GB2312" w:hAnsi="仿宋_GB2312" w:eastAsia="仿宋_GB2312" w:cs="仿宋_GB2312"/>
                <w:color w:val="000000"/>
                <w:sz w:val="20"/>
                <w:szCs w:val="20"/>
                <w:highlight w:val="none"/>
                <w:lang w:val="en" w:eastAsia="zh-CN"/>
              </w:rPr>
              <w:t>米</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502E805">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 w:eastAsia="zh-CN"/>
              </w:rPr>
              <w:t>约</w:t>
            </w:r>
            <w:r>
              <w:rPr>
                <w:rFonts w:hint="eastAsia" w:ascii="仿宋_GB2312" w:hAnsi="仿宋_GB2312" w:eastAsia="仿宋_GB2312" w:cs="仿宋_GB2312"/>
                <w:color w:val="000000"/>
                <w:sz w:val="20"/>
                <w:szCs w:val="20"/>
                <w:highlight w:val="none"/>
                <w:lang w:val="en"/>
              </w:rPr>
              <w:t>70</w:t>
            </w:r>
            <w:r>
              <w:rPr>
                <w:rFonts w:hint="eastAsia" w:ascii="仿宋_GB2312" w:hAnsi="仿宋_GB2312" w:eastAsia="仿宋_GB2312" w:cs="仿宋_GB2312"/>
                <w:color w:val="000000"/>
                <w:sz w:val="20"/>
                <w:szCs w:val="20"/>
                <w:highlight w:val="none"/>
                <w:lang w:val="en-US" w:eastAsia="zh-CN"/>
              </w:rPr>
              <w:t>0</w:t>
            </w:r>
            <w:r>
              <w:rPr>
                <w:rFonts w:hint="eastAsia" w:ascii="仿宋_GB2312" w:hAnsi="仿宋_GB2312" w:eastAsia="仿宋_GB2312" w:cs="仿宋_GB2312"/>
                <w:color w:val="000000"/>
                <w:sz w:val="20"/>
                <w:szCs w:val="20"/>
                <w:highlight w:val="none"/>
                <w:lang w:val="en" w:eastAsia="zh-CN"/>
              </w:rPr>
              <w:t>米</w:t>
            </w:r>
          </w:p>
        </w:tc>
        <w:tc>
          <w:tcPr>
            <w:tcW w:w="725" w:type="dxa"/>
            <w:tcBorders>
              <w:top w:val="nil"/>
              <w:left w:val="nil"/>
              <w:bottom w:val="single" w:color="auto" w:sz="4" w:space="0"/>
              <w:right w:val="single" w:color="auto" w:sz="4" w:space="0"/>
            </w:tcBorders>
            <w:noWrap w:val="0"/>
            <w:vAlign w:val="center"/>
          </w:tcPr>
          <w:p w14:paraId="646AD6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6749E2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4438ED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A9363B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FBAC0E7">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368AAAF">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4F2120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4FEC4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共享电动自行车网点设置</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36755D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合理规划共享电动车网点</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F1950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共享电动自行车网点设置</w:t>
            </w:r>
            <w:r>
              <w:rPr>
                <w:rFonts w:hint="eastAsia" w:ascii="仿宋_GB2312" w:hAnsi="仿宋_GB2312" w:eastAsia="仿宋_GB2312" w:cs="仿宋_GB2312"/>
                <w:color w:val="000000"/>
                <w:sz w:val="20"/>
                <w:szCs w:val="20"/>
                <w:highlight w:val="none"/>
                <w:lang w:eastAsia="zh-CN"/>
              </w:rPr>
              <w:t>合理</w:t>
            </w:r>
          </w:p>
        </w:tc>
        <w:tc>
          <w:tcPr>
            <w:tcW w:w="725" w:type="dxa"/>
            <w:tcBorders>
              <w:top w:val="nil"/>
              <w:left w:val="nil"/>
              <w:bottom w:val="single" w:color="auto" w:sz="4" w:space="0"/>
              <w:right w:val="single" w:color="auto" w:sz="4" w:space="0"/>
            </w:tcBorders>
            <w:noWrap w:val="0"/>
            <w:vAlign w:val="center"/>
          </w:tcPr>
          <w:p w14:paraId="0C254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000E90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7EF314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F9C526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81A01CC">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8421F7A">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1C0A0111">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F1B80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停车管理文明规范</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616BB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无违规投诉</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5B805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无违规投诉</w:t>
            </w:r>
          </w:p>
        </w:tc>
        <w:tc>
          <w:tcPr>
            <w:tcW w:w="725" w:type="dxa"/>
            <w:tcBorders>
              <w:top w:val="nil"/>
              <w:left w:val="nil"/>
              <w:bottom w:val="single" w:color="auto" w:sz="4" w:space="0"/>
              <w:right w:val="single" w:color="auto" w:sz="4" w:space="0"/>
            </w:tcBorders>
            <w:noWrap w:val="0"/>
            <w:vAlign w:val="center"/>
          </w:tcPr>
          <w:p w14:paraId="7F8AFE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512C22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16C789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55B6A1BD">
        <w:tblPrEx>
          <w:tblCellMar>
            <w:top w:w="0" w:type="dxa"/>
            <w:left w:w="108" w:type="dxa"/>
            <w:bottom w:w="0" w:type="dxa"/>
            <w:right w:w="108" w:type="dxa"/>
          </w:tblCellMar>
        </w:tblPrEx>
        <w:trPr>
          <w:trHeight w:val="610" w:hRule="atLeast"/>
          <w:jc w:val="center"/>
        </w:trPr>
        <w:tc>
          <w:tcPr>
            <w:tcW w:w="1080" w:type="dxa"/>
            <w:vMerge w:val="continue"/>
            <w:tcBorders>
              <w:left w:val="single" w:color="auto" w:sz="4" w:space="0"/>
              <w:right w:val="single" w:color="auto" w:sz="4" w:space="0"/>
            </w:tcBorders>
            <w:noWrap w:val="0"/>
            <w:vAlign w:val="center"/>
          </w:tcPr>
          <w:p w14:paraId="6274093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0C3D47">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54009D2">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28085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违停车辆信息录入准确</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D9C8985">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97%以上</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FAF63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99.5%以上</w:t>
            </w:r>
          </w:p>
        </w:tc>
        <w:tc>
          <w:tcPr>
            <w:tcW w:w="725" w:type="dxa"/>
            <w:tcBorders>
              <w:top w:val="nil"/>
              <w:left w:val="nil"/>
              <w:bottom w:val="single" w:color="auto" w:sz="4" w:space="0"/>
              <w:right w:val="single" w:color="auto" w:sz="4" w:space="0"/>
            </w:tcBorders>
            <w:noWrap w:val="0"/>
            <w:vAlign w:val="center"/>
          </w:tcPr>
          <w:p w14:paraId="64933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09305B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4C2CCD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10CACCD3">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14:paraId="14ADB93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right w:val="single" w:color="auto" w:sz="4" w:space="0"/>
            </w:tcBorders>
            <w:noWrap w:val="0"/>
            <w:vAlign w:val="center"/>
          </w:tcPr>
          <w:p w14:paraId="68DB8DF8">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nil"/>
              <w:bottom w:val="single" w:color="auto" w:sz="4" w:space="0"/>
              <w:right w:val="single" w:color="auto" w:sz="4" w:space="0"/>
            </w:tcBorders>
            <w:noWrap w:val="0"/>
            <w:vAlign w:val="center"/>
          </w:tcPr>
          <w:p w14:paraId="426DCC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nil"/>
              <w:bottom w:val="single" w:color="auto" w:sz="4" w:space="0"/>
              <w:right w:val="single" w:color="auto" w:sz="4" w:space="0"/>
            </w:tcBorders>
            <w:noWrap w:val="0"/>
            <w:vAlign w:val="center"/>
          </w:tcPr>
          <w:p w14:paraId="66459D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人行道停车设施设备维护质量</w:t>
            </w:r>
          </w:p>
        </w:tc>
        <w:tc>
          <w:tcPr>
            <w:tcW w:w="1221" w:type="dxa"/>
            <w:tcBorders>
              <w:top w:val="single" w:color="auto" w:sz="4" w:space="0"/>
              <w:left w:val="nil"/>
              <w:bottom w:val="single" w:color="auto" w:sz="4" w:space="0"/>
              <w:right w:val="single" w:color="auto" w:sz="4" w:space="0"/>
            </w:tcBorders>
            <w:noWrap w:val="0"/>
            <w:vAlign w:val="center"/>
          </w:tcPr>
          <w:p w14:paraId="4E05BF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符合相关规定</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E4DB4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均</w:t>
            </w:r>
            <w:r>
              <w:rPr>
                <w:rFonts w:hint="eastAsia" w:ascii="仿宋_GB2312" w:hAnsi="仿宋_GB2312" w:eastAsia="仿宋_GB2312" w:cs="仿宋_GB2312"/>
                <w:color w:val="000000"/>
                <w:sz w:val="20"/>
                <w:szCs w:val="20"/>
                <w:highlight w:val="none"/>
              </w:rPr>
              <w:t>符合相关规定</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282BAC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174240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413BB0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D1944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E5830CB">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2BCC93AB">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78F671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4AD0D0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按年度工作计划实施</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8FF5F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202</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rPr>
              <w:t>年12月31日前</w:t>
            </w:r>
          </w:p>
        </w:tc>
        <w:tc>
          <w:tcPr>
            <w:tcW w:w="1225" w:type="dxa"/>
            <w:tcBorders>
              <w:top w:val="single" w:color="auto" w:sz="4" w:space="0"/>
              <w:left w:val="nil"/>
              <w:bottom w:val="single" w:color="auto" w:sz="4" w:space="0"/>
              <w:right w:val="single" w:color="auto" w:sz="4" w:space="0"/>
            </w:tcBorders>
            <w:noWrap w:val="0"/>
            <w:vAlign w:val="center"/>
          </w:tcPr>
          <w:p w14:paraId="029518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均按时完成</w:t>
            </w:r>
            <w:r>
              <w:rPr>
                <w:rFonts w:hint="eastAsia" w:ascii="仿宋_GB2312" w:hAnsi="仿宋_GB2312" w:eastAsia="仿宋_GB2312" w:cs="仿宋_GB2312"/>
                <w:color w:val="000000"/>
                <w:sz w:val="20"/>
                <w:szCs w:val="20"/>
                <w:highlight w:val="none"/>
                <w:lang w:val="en-US" w:eastAsia="zh-CN"/>
              </w:rPr>
              <w:t xml:space="preserve"> </w:t>
            </w:r>
          </w:p>
        </w:tc>
        <w:tc>
          <w:tcPr>
            <w:tcW w:w="725" w:type="dxa"/>
            <w:tcBorders>
              <w:top w:val="single" w:color="auto" w:sz="4" w:space="0"/>
              <w:left w:val="nil"/>
              <w:bottom w:val="single" w:color="auto" w:sz="4" w:space="0"/>
              <w:right w:val="single" w:color="auto" w:sz="4" w:space="0"/>
            </w:tcBorders>
            <w:noWrap w:val="0"/>
            <w:vAlign w:val="center"/>
          </w:tcPr>
          <w:p w14:paraId="75570E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19" w:type="dxa"/>
            <w:tcBorders>
              <w:top w:val="single" w:color="auto" w:sz="4" w:space="0"/>
              <w:left w:val="nil"/>
              <w:bottom w:val="single" w:color="auto" w:sz="4" w:space="0"/>
              <w:right w:val="single" w:color="auto" w:sz="4" w:space="0"/>
            </w:tcBorders>
            <w:noWrap w:val="0"/>
            <w:vAlign w:val="center"/>
          </w:tcPr>
          <w:p w14:paraId="7F3542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10" w:type="dxa"/>
            <w:tcBorders>
              <w:top w:val="single" w:color="auto" w:sz="4" w:space="0"/>
              <w:left w:val="nil"/>
              <w:bottom w:val="single" w:color="auto" w:sz="4" w:space="0"/>
              <w:right w:val="single" w:color="auto" w:sz="4" w:space="0"/>
            </w:tcBorders>
            <w:noWrap w:val="0"/>
            <w:vAlign w:val="center"/>
          </w:tcPr>
          <w:p w14:paraId="464573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348EB5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B0CEE5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564C20F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6CB129D">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C95D5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违停车辆信息录入</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9C8F4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符合相关法律法规要求</w:t>
            </w:r>
          </w:p>
        </w:tc>
        <w:tc>
          <w:tcPr>
            <w:tcW w:w="1225" w:type="dxa"/>
            <w:tcBorders>
              <w:top w:val="nil"/>
              <w:left w:val="nil"/>
              <w:bottom w:val="single" w:color="auto" w:sz="4" w:space="0"/>
              <w:right w:val="single" w:color="auto" w:sz="4" w:space="0"/>
            </w:tcBorders>
            <w:noWrap w:val="0"/>
            <w:vAlign w:val="center"/>
          </w:tcPr>
          <w:p w14:paraId="7A7E0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均符合相关法律法规要求</w:t>
            </w:r>
          </w:p>
        </w:tc>
        <w:tc>
          <w:tcPr>
            <w:tcW w:w="725" w:type="dxa"/>
            <w:tcBorders>
              <w:top w:val="nil"/>
              <w:left w:val="nil"/>
              <w:bottom w:val="single" w:color="auto" w:sz="4" w:space="0"/>
              <w:right w:val="single" w:color="auto" w:sz="4" w:space="0"/>
            </w:tcBorders>
            <w:noWrap w:val="0"/>
            <w:vAlign w:val="center"/>
          </w:tcPr>
          <w:p w14:paraId="2C0D5E77">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77099242">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001A74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18DE1A4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62FAD77">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69CAE9A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A485013">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1E055A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投诉处置时效</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7A0EF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投诉在72小时内处置回复</w:t>
            </w:r>
          </w:p>
        </w:tc>
        <w:tc>
          <w:tcPr>
            <w:tcW w:w="1225" w:type="dxa"/>
            <w:tcBorders>
              <w:top w:val="nil"/>
              <w:left w:val="nil"/>
              <w:bottom w:val="single" w:color="auto" w:sz="4" w:space="0"/>
              <w:right w:val="single" w:color="auto" w:sz="4" w:space="0"/>
            </w:tcBorders>
            <w:noWrap w:val="0"/>
            <w:vAlign w:val="center"/>
          </w:tcPr>
          <w:p w14:paraId="3EEBB0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均在规定时间内完成</w:t>
            </w:r>
          </w:p>
        </w:tc>
        <w:tc>
          <w:tcPr>
            <w:tcW w:w="725" w:type="dxa"/>
            <w:tcBorders>
              <w:top w:val="nil"/>
              <w:left w:val="nil"/>
              <w:bottom w:val="single" w:color="auto" w:sz="4" w:space="0"/>
              <w:right w:val="single" w:color="auto" w:sz="4" w:space="0"/>
            </w:tcBorders>
            <w:noWrap w:val="0"/>
            <w:vAlign w:val="center"/>
          </w:tcPr>
          <w:p w14:paraId="2C4393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2013E3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4D3492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142A9E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238F4E2">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3C71C35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3FC048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55742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不超过年</w:t>
            </w:r>
            <w:r>
              <w:rPr>
                <w:rFonts w:hint="eastAsia" w:ascii="仿宋_GB2312" w:hAnsi="仿宋_GB2312" w:eastAsia="仿宋_GB2312" w:cs="仿宋_GB2312"/>
                <w:color w:val="auto"/>
                <w:sz w:val="20"/>
                <w:szCs w:val="20"/>
                <w:highlight w:val="none"/>
                <w:lang w:val="en-US" w:eastAsia="zh-CN"/>
              </w:rPr>
              <w:t>度</w:t>
            </w:r>
            <w:r>
              <w:rPr>
                <w:rFonts w:hint="eastAsia" w:ascii="仿宋_GB2312" w:hAnsi="仿宋_GB2312" w:eastAsia="仿宋_GB2312" w:cs="仿宋_GB2312"/>
                <w:color w:val="auto"/>
                <w:sz w:val="20"/>
                <w:szCs w:val="20"/>
                <w:highlight w:val="none"/>
              </w:rPr>
              <w:t>预算</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5961C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sz w:val="20"/>
                <w:szCs w:val="20"/>
                <w:highlight w:val="none"/>
                <w:lang w:val="en-US" w:eastAsia="zh-CN"/>
              </w:rPr>
              <w:t>604.23</w:t>
            </w:r>
            <w:r>
              <w:rPr>
                <w:rFonts w:hint="eastAsia" w:ascii="仿宋_GB2312" w:hAnsi="仿宋_GB2312" w:eastAsia="仿宋_GB2312" w:cs="仿宋_GB2312"/>
                <w:color w:val="auto"/>
                <w:sz w:val="20"/>
                <w:szCs w:val="20"/>
                <w:highlight w:val="none"/>
                <w:lang w:val="en-US" w:eastAsia="zh-CN"/>
              </w:rPr>
              <w:t>万元</w:t>
            </w:r>
          </w:p>
        </w:tc>
        <w:tc>
          <w:tcPr>
            <w:tcW w:w="1225" w:type="dxa"/>
            <w:tcBorders>
              <w:top w:val="nil"/>
              <w:left w:val="nil"/>
              <w:bottom w:val="single" w:color="auto" w:sz="4" w:space="0"/>
              <w:right w:val="single" w:color="auto" w:sz="4" w:space="0"/>
            </w:tcBorders>
            <w:noWrap w:val="0"/>
            <w:vAlign w:val="center"/>
          </w:tcPr>
          <w:p w14:paraId="5B3868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588.34万元</w:t>
            </w:r>
          </w:p>
        </w:tc>
        <w:tc>
          <w:tcPr>
            <w:tcW w:w="725" w:type="dxa"/>
            <w:tcBorders>
              <w:top w:val="nil"/>
              <w:left w:val="nil"/>
              <w:bottom w:val="single" w:color="auto" w:sz="4" w:space="0"/>
              <w:right w:val="single" w:color="auto" w:sz="4" w:space="0"/>
            </w:tcBorders>
            <w:noWrap w:val="0"/>
            <w:vAlign w:val="center"/>
          </w:tcPr>
          <w:p w14:paraId="311AC4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9" w:type="dxa"/>
            <w:tcBorders>
              <w:top w:val="nil"/>
              <w:left w:val="nil"/>
              <w:bottom w:val="single" w:color="auto" w:sz="4" w:space="0"/>
              <w:right w:val="single" w:color="auto" w:sz="4" w:space="0"/>
            </w:tcBorders>
            <w:noWrap w:val="0"/>
            <w:vAlign w:val="center"/>
          </w:tcPr>
          <w:p w14:paraId="015783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0" w:type="dxa"/>
            <w:tcBorders>
              <w:top w:val="nil"/>
              <w:left w:val="nil"/>
              <w:bottom w:val="single" w:color="auto" w:sz="4" w:space="0"/>
              <w:right w:val="single" w:color="auto" w:sz="4" w:space="0"/>
            </w:tcBorders>
            <w:noWrap w:val="0"/>
            <w:vAlign w:val="center"/>
          </w:tcPr>
          <w:p w14:paraId="739304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D6721C">
        <w:tblPrEx>
          <w:tblCellMar>
            <w:top w:w="0" w:type="dxa"/>
            <w:left w:w="108" w:type="dxa"/>
            <w:bottom w:w="0" w:type="dxa"/>
            <w:right w:w="108" w:type="dxa"/>
          </w:tblCellMar>
        </w:tblPrEx>
        <w:trPr>
          <w:trHeight w:val="915" w:hRule="atLeast"/>
          <w:jc w:val="center"/>
        </w:trPr>
        <w:tc>
          <w:tcPr>
            <w:tcW w:w="1080" w:type="dxa"/>
            <w:vMerge w:val="continue"/>
            <w:tcBorders>
              <w:left w:val="single" w:color="auto" w:sz="4" w:space="0"/>
              <w:right w:val="single" w:color="auto" w:sz="4" w:space="0"/>
            </w:tcBorders>
            <w:noWrap w:val="0"/>
            <w:vAlign w:val="center"/>
          </w:tcPr>
          <w:p w14:paraId="696BA864">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1126E298">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206606EB">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A34A6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是否对自然生态环境造成负面影响</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175EB5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225" w:type="dxa"/>
            <w:tcBorders>
              <w:top w:val="nil"/>
              <w:left w:val="nil"/>
              <w:bottom w:val="single" w:color="auto" w:sz="4" w:space="0"/>
              <w:right w:val="single" w:color="auto" w:sz="4" w:space="0"/>
            </w:tcBorders>
            <w:noWrap w:val="0"/>
            <w:vAlign w:val="center"/>
          </w:tcPr>
          <w:p w14:paraId="433632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725" w:type="dxa"/>
            <w:tcBorders>
              <w:top w:val="nil"/>
              <w:left w:val="nil"/>
              <w:bottom w:val="single" w:color="auto" w:sz="4" w:space="0"/>
              <w:right w:val="single" w:color="auto" w:sz="4" w:space="0"/>
            </w:tcBorders>
            <w:noWrap w:val="0"/>
            <w:vAlign w:val="center"/>
          </w:tcPr>
          <w:p w14:paraId="56857E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08B0B5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24D51F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466FB06">
        <w:tblPrEx>
          <w:tblCellMar>
            <w:top w:w="0" w:type="dxa"/>
            <w:left w:w="108" w:type="dxa"/>
            <w:bottom w:w="0" w:type="dxa"/>
            <w:right w:w="108" w:type="dxa"/>
          </w:tblCellMar>
        </w:tblPrEx>
        <w:trPr>
          <w:trHeight w:val="130" w:hRule="atLeast"/>
          <w:jc w:val="center"/>
        </w:trPr>
        <w:tc>
          <w:tcPr>
            <w:tcW w:w="1080" w:type="dxa"/>
            <w:vMerge w:val="continue"/>
            <w:tcBorders>
              <w:left w:val="single" w:color="auto" w:sz="4" w:space="0"/>
              <w:right w:val="single" w:color="auto" w:sz="4" w:space="0"/>
            </w:tcBorders>
            <w:noWrap w:val="0"/>
            <w:vAlign w:val="center"/>
          </w:tcPr>
          <w:p w14:paraId="5FD08CF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391331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4829C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CESI仿宋-GB2312" w:hAnsi="CESI仿宋-GB2312" w:eastAsia="CESI仿宋-GB2312" w:cs="CESI仿宋-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B9294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是否对社会发展造成负面影响</w:t>
            </w:r>
          </w:p>
        </w:tc>
        <w:tc>
          <w:tcPr>
            <w:tcW w:w="1221" w:type="dxa"/>
            <w:tcBorders>
              <w:top w:val="single" w:color="auto" w:sz="4" w:space="0"/>
              <w:left w:val="nil"/>
              <w:bottom w:val="single" w:color="auto" w:sz="4" w:space="0"/>
              <w:right w:val="single" w:color="auto" w:sz="4" w:space="0"/>
            </w:tcBorders>
            <w:noWrap w:val="0"/>
            <w:vAlign w:val="center"/>
          </w:tcPr>
          <w:p w14:paraId="701194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225" w:type="dxa"/>
            <w:tcBorders>
              <w:top w:val="nil"/>
              <w:left w:val="nil"/>
              <w:bottom w:val="single" w:color="auto" w:sz="4" w:space="0"/>
              <w:right w:val="single" w:color="auto" w:sz="4" w:space="0"/>
            </w:tcBorders>
            <w:noWrap w:val="0"/>
            <w:vAlign w:val="center"/>
          </w:tcPr>
          <w:p w14:paraId="669742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725" w:type="dxa"/>
            <w:tcBorders>
              <w:top w:val="nil"/>
              <w:left w:val="nil"/>
              <w:bottom w:val="single" w:color="auto" w:sz="4" w:space="0"/>
              <w:right w:val="single" w:color="auto" w:sz="4" w:space="0"/>
            </w:tcBorders>
            <w:noWrap w:val="0"/>
            <w:vAlign w:val="center"/>
          </w:tcPr>
          <w:p w14:paraId="3FAA71B4">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819" w:type="dxa"/>
            <w:tcBorders>
              <w:top w:val="nil"/>
              <w:left w:val="nil"/>
              <w:bottom w:val="single" w:color="auto" w:sz="4" w:space="0"/>
              <w:right w:val="single" w:color="auto" w:sz="4" w:space="0"/>
            </w:tcBorders>
            <w:noWrap w:val="0"/>
            <w:vAlign w:val="center"/>
          </w:tcPr>
          <w:p w14:paraId="01599D88">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10" w:type="dxa"/>
            <w:tcBorders>
              <w:top w:val="nil"/>
              <w:left w:val="nil"/>
              <w:bottom w:val="single" w:color="auto" w:sz="4" w:space="0"/>
              <w:right w:val="single" w:color="auto" w:sz="4" w:space="0"/>
            </w:tcBorders>
            <w:noWrap w:val="0"/>
            <w:vAlign w:val="center"/>
          </w:tcPr>
          <w:p w14:paraId="2676E2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664462D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9857298">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363BC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323469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p w14:paraId="05FAE4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00D8A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1BE1A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2D23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88AFB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产生一定的</w:t>
            </w:r>
            <w:r>
              <w:rPr>
                <w:rFonts w:hint="eastAsia" w:ascii="仿宋_GB2312" w:hAnsi="仿宋_GB2312" w:eastAsia="仿宋_GB2312" w:cs="仿宋_GB2312"/>
                <w:color w:val="000000"/>
                <w:sz w:val="20"/>
                <w:szCs w:val="20"/>
                <w:highlight w:val="none"/>
              </w:rPr>
              <w:t>罚没收入</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19FCC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完成年度非税收入征收计划</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3BBAB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FF0000"/>
                <w:sz w:val="20"/>
                <w:szCs w:val="20"/>
                <w:highlight w:val="none"/>
              </w:rPr>
              <w:t>　</w:t>
            </w:r>
            <w:r>
              <w:rPr>
                <w:rFonts w:hint="eastAsia" w:ascii="仿宋_GB2312" w:hAnsi="仿宋_GB2312" w:eastAsia="仿宋_GB2312" w:cs="仿宋_GB2312"/>
                <w:color w:val="auto"/>
                <w:sz w:val="20"/>
                <w:szCs w:val="20"/>
                <w:highlight w:val="none"/>
                <w:lang w:eastAsia="zh-CN"/>
              </w:rPr>
              <w:t>未完成</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432313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1A4A2B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0" w:type="dxa"/>
            <w:tcBorders>
              <w:top w:val="single" w:color="auto" w:sz="4" w:space="0"/>
              <w:left w:val="nil"/>
              <w:bottom w:val="single" w:color="auto" w:sz="4" w:space="0"/>
              <w:right w:val="single" w:color="auto" w:sz="4" w:space="0"/>
            </w:tcBorders>
            <w:noWrap w:val="0"/>
            <w:vAlign w:val="center"/>
          </w:tcPr>
          <w:p w14:paraId="13FFF5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18"/>
                <w:szCs w:val="18"/>
                <w:highlight w:val="none"/>
                <w:lang w:eastAsia="zh-CN"/>
              </w:rPr>
              <w:t>重大政策调整，部门需建立车辆管理信息平台，下一步加强停车秩序管理。</w:t>
            </w:r>
          </w:p>
        </w:tc>
      </w:tr>
      <w:tr w14:paraId="51D96375">
        <w:tblPrEx>
          <w:tblCellMar>
            <w:top w:w="0" w:type="dxa"/>
            <w:left w:w="108" w:type="dxa"/>
            <w:bottom w:w="0" w:type="dxa"/>
            <w:right w:w="108" w:type="dxa"/>
          </w:tblCellMar>
        </w:tblPrEx>
        <w:trPr>
          <w:trHeight w:val="1345" w:hRule="atLeast"/>
          <w:jc w:val="center"/>
        </w:trPr>
        <w:tc>
          <w:tcPr>
            <w:tcW w:w="1080" w:type="dxa"/>
            <w:vMerge w:val="continue"/>
            <w:tcBorders>
              <w:left w:val="single" w:color="auto" w:sz="4" w:space="0"/>
              <w:right w:val="single" w:color="auto" w:sz="4" w:space="0"/>
            </w:tcBorders>
            <w:noWrap w:val="0"/>
            <w:vAlign w:val="center"/>
          </w:tcPr>
          <w:p w14:paraId="09E2A1D4">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DCD33A3">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9E118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C98D8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81828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城区人行道停车设施设备完好情况</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02A703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设施设备处于良好状态，市民停车便利。</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D0F1B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设施设备处于良好状态，</w:t>
            </w:r>
            <w:r>
              <w:rPr>
                <w:rFonts w:hint="eastAsia" w:ascii="仿宋_GB2312" w:hAnsi="仿宋_GB2312" w:eastAsia="仿宋_GB2312" w:cs="仿宋_GB2312"/>
                <w:color w:val="000000"/>
                <w:sz w:val="20"/>
                <w:szCs w:val="20"/>
                <w:highlight w:val="none"/>
                <w:lang w:eastAsia="zh-CN"/>
              </w:rPr>
              <w:t>方便了</w:t>
            </w:r>
            <w:r>
              <w:rPr>
                <w:rFonts w:hint="eastAsia" w:ascii="仿宋_GB2312" w:hAnsi="仿宋_GB2312" w:eastAsia="仿宋_GB2312" w:cs="仿宋_GB2312"/>
                <w:color w:val="000000"/>
                <w:sz w:val="20"/>
                <w:szCs w:val="20"/>
                <w:highlight w:val="none"/>
              </w:rPr>
              <w:t>市民</w:t>
            </w:r>
            <w:r>
              <w:rPr>
                <w:rFonts w:hint="eastAsia" w:ascii="仿宋_GB2312" w:hAnsi="仿宋_GB2312" w:eastAsia="仿宋_GB2312" w:cs="仿宋_GB2312"/>
                <w:color w:val="000000"/>
                <w:sz w:val="20"/>
                <w:szCs w:val="20"/>
                <w:highlight w:val="none"/>
                <w:lang w:eastAsia="zh-CN"/>
              </w:rPr>
              <w:t>出行</w:t>
            </w:r>
            <w:r>
              <w:rPr>
                <w:rFonts w:hint="eastAsia" w:ascii="仿宋_GB2312" w:hAnsi="仿宋_GB2312" w:eastAsia="仿宋_GB2312" w:cs="仿宋_GB2312"/>
                <w:color w:val="000000"/>
                <w:sz w:val="20"/>
                <w:szCs w:val="20"/>
                <w:highlight w:val="none"/>
              </w:rPr>
              <w:t>。</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3EF357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760F08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0" w:type="dxa"/>
            <w:tcBorders>
              <w:top w:val="single" w:color="auto" w:sz="4" w:space="0"/>
              <w:left w:val="nil"/>
              <w:bottom w:val="single" w:color="auto" w:sz="4" w:space="0"/>
              <w:right w:val="single" w:color="auto" w:sz="4" w:space="0"/>
            </w:tcBorders>
            <w:noWrap w:val="0"/>
            <w:vAlign w:val="center"/>
          </w:tcPr>
          <w:p w14:paraId="25D466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C4A9CC2">
        <w:trPr>
          <w:jc w:val="center"/>
        </w:trPr>
        <w:tc>
          <w:tcPr>
            <w:tcW w:w="1080" w:type="dxa"/>
            <w:vMerge w:val="continue"/>
            <w:tcBorders>
              <w:left w:val="single" w:color="auto" w:sz="4" w:space="0"/>
              <w:right w:val="single" w:color="auto" w:sz="4" w:space="0"/>
            </w:tcBorders>
            <w:noWrap w:val="0"/>
            <w:vAlign w:val="center"/>
          </w:tcPr>
          <w:p w14:paraId="50A13363">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F0BDD8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295FCEBF">
            <w:pPr>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9C96B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城区人行道停车秩序管理</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106F76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城区人行道停车秩序良好，市民出行便利</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0E90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城区人行道停车秩序良好，市民出行便利</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7EFFB2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2DFA39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0" w:type="dxa"/>
            <w:tcBorders>
              <w:top w:val="nil"/>
              <w:left w:val="nil"/>
              <w:bottom w:val="single" w:color="auto" w:sz="4" w:space="0"/>
              <w:right w:val="single" w:color="auto" w:sz="4" w:space="0"/>
            </w:tcBorders>
            <w:noWrap w:val="0"/>
            <w:vAlign w:val="center"/>
          </w:tcPr>
          <w:p w14:paraId="196A13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ACA522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34F01E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D08815">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47717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1ADDE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为市民出行提供便利</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1660B2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解决市民出行“最后一公里”</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75B42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有效解决了市民出行“最后一公里”</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029E95C2">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33A9AC28">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10" w:type="dxa"/>
            <w:tcBorders>
              <w:top w:val="nil"/>
              <w:left w:val="nil"/>
              <w:bottom w:val="single" w:color="auto" w:sz="4" w:space="0"/>
              <w:right w:val="single" w:color="auto" w:sz="4" w:space="0"/>
            </w:tcBorders>
            <w:noWrap w:val="0"/>
            <w:vAlign w:val="center"/>
          </w:tcPr>
          <w:p w14:paraId="700AE5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p>
        </w:tc>
      </w:tr>
      <w:tr w14:paraId="0230CEC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A07F187">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B4745F">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3C795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EAAAA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缓解城市交通压力</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7567D0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提供</w:t>
            </w:r>
            <w:r>
              <w:rPr>
                <w:rFonts w:hint="eastAsia" w:ascii="仿宋_GB2312" w:hAnsi="仿宋_GB2312" w:eastAsia="仿宋_GB2312" w:cs="仿宋_GB2312"/>
                <w:color w:val="000000"/>
                <w:sz w:val="20"/>
                <w:szCs w:val="20"/>
                <w:highlight w:val="none"/>
              </w:rPr>
              <w:t>多样化的出行方式</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缓解交通压力</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3FDA6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提供了</w:t>
            </w:r>
            <w:r>
              <w:rPr>
                <w:rFonts w:hint="eastAsia" w:ascii="仿宋_GB2312" w:hAnsi="仿宋_GB2312" w:eastAsia="仿宋_GB2312" w:cs="仿宋_GB2312"/>
                <w:color w:val="000000"/>
                <w:sz w:val="20"/>
                <w:szCs w:val="20"/>
                <w:highlight w:val="none"/>
              </w:rPr>
              <w:t>多样化的出行方式</w:t>
            </w:r>
            <w:r>
              <w:rPr>
                <w:rFonts w:hint="eastAsia" w:ascii="仿宋_GB2312" w:hAnsi="仿宋_GB2312" w:eastAsia="仿宋_GB2312" w:cs="仿宋_GB2312"/>
                <w:color w:val="000000"/>
                <w:sz w:val="20"/>
                <w:szCs w:val="20"/>
                <w:highlight w:val="none"/>
                <w:lang w:eastAsia="zh-CN"/>
              </w:rPr>
              <w:t>，有效</w:t>
            </w:r>
            <w:r>
              <w:rPr>
                <w:rFonts w:hint="eastAsia" w:ascii="仿宋_GB2312" w:hAnsi="仿宋_GB2312" w:eastAsia="仿宋_GB2312" w:cs="仿宋_GB2312"/>
                <w:color w:val="000000"/>
                <w:sz w:val="20"/>
                <w:szCs w:val="20"/>
                <w:highlight w:val="none"/>
              </w:rPr>
              <w:t>缓解</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交通压力</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4C455A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726778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0" w:type="dxa"/>
            <w:tcBorders>
              <w:top w:val="nil"/>
              <w:left w:val="nil"/>
              <w:bottom w:val="single" w:color="auto" w:sz="4" w:space="0"/>
              <w:right w:val="single" w:color="auto" w:sz="4" w:space="0"/>
            </w:tcBorders>
            <w:noWrap w:val="0"/>
            <w:vAlign w:val="center"/>
          </w:tcPr>
          <w:p w14:paraId="414E49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p>
        </w:tc>
      </w:tr>
      <w:tr w14:paraId="411046B7">
        <w:tblPrEx>
          <w:tblCellMar>
            <w:top w:w="0" w:type="dxa"/>
            <w:left w:w="108" w:type="dxa"/>
            <w:bottom w:w="0" w:type="dxa"/>
            <w:right w:w="108" w:type="dxa"/>
          </w:tblCellMar>
        </w:tblPrEx>
        <w:trPr>
          <w:trHeight w:val="1257" w:hRule="atLeast"/>
          <w:jc w:val="center"/>
        </w:trPr>
        <w:tc>
          <w:tcPr>
            <w:tcW w:w="1080" w:type="dxa"/>
            <w:vMerge w:val="continue"/>
            <w:tcBorders>
              <w:left w:val="single" w:color="auto" w:sz="4" w:space="0"/>
              <w:right w:val="single" w:color="auto" w:sz="4" w:space="0"/>
            </w:tcBorders>
            <w:noWrap w:val="0"/>
            <w:vAlign w:val="center"/>
          </w:tcPr>
          <w:p w14:paraId="7253E18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A8CCD0">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right w:val="single" w:color="auto" w:sz="4" w:space="0"/>
            </w:tcBorders>
            <w:noWrap w:val="0"/>
            <w:vAlign w:val="center"/>
          </w:tcPr>
          <w:p w14:paraId="738708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A16B7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1F32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人行道停车设施规范、美观</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472E44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人行道停车秩序良好，城市整体形象提升</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6A71E4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城市整体形象提升</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114967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1FB6C5E8">
            <w:pPr>
              <w:keepNext w:val="0"/>
              <w:keepLines w:val="0"/>
              <w:pageBreakBefore w:val="0"/>
              <w:widowControl/>
              <w:kinsoku/>
              <w:wordWrap/>
              <w:overflowPunct/>
              <w:topLinePunct w:val="0"/>
              <w:autoSpaceDE/>
              <w:autoSpaceDN/>
              <w:bidi w:val="0"/>
              <w:adjustRightInd/>
              <w:snapToGrid/>
              <w:spacing w:line="280" w:lineRule="exact"/>
              <w:ind w:firstLine="200" w:firstLineChars="1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10" w:type="dxa"/>
            <w:tcBorders>
              <w:top w:val="nil"/>
              <w:left w:val="nil"/>
              <w:bottom w:val="single" w:color="auto" w:sz="4" w:space="0"/>
              <w:right w:val="single" w:color="auto" w:sz="4" w:space="0"/>
            </w:tcBorders>
            <w:noWrap w:val="0"/>
            <w:vAlign w:val="center"/>
          </w:tcPr>
          <w:p w14:paraId="482819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r>
      <w:tr w14:paraId="612BCEC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F7E47E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D91890A">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14:paraId="5DAD0F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ADE71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节能减排，助力提升环保。</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215B85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调节城市空气质量，改善城市生态环境</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9476E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改善</w:t>
            </w:r>
            <w:r>
              <w:rPr>
                <w:rFonts w:hint="eastAsia" w:ascii="仿宋_GB2312" w:hAnsi="仿宋_GB2312" w:eastAsia="仿宋_GB2312" w:cs="仿宋_GB2312"/>
                <w:color w:val="000000"/>
                <w:sz w:val="20"/>
                <w:szCs w:val="20"/>
                <w:highlight w:val="none"/>
                <w:lang w:eastAsia="zh-CN"/>
              </w:rPr>
              <w:t>了城市</w:t>
            </w:r>
            <w:r>
              <w:rPr>
                <w:rFonts w:hint="eastAsia" w:ascii="仿宋_GB2312" w:hAnsi="仿宋_GB2312" w:eastAsia="仿宋_GB2312" w:cs="仿宋_GB2312"/>
                <w:color w:val="000000"/>
                <w:sz w:val="20"/>
                <w:szCs w:val="20"/>
                <w:highlight w:val="none"/>
              </w:rPr>
              <w:t>生态环境</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512269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4542DE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0" w:type="dxa"/>
            <w:tcBorders>
              <w:top w:val="nil"/>
              <w:left w:val="nil"/>
              <w:bottom w:val="single" w:color="auto" w:sz="4" w:space="0"/>
              <w:right w:val="single" w:color="auto" w:sz="4" w:space="0"/>
            </w:tcBorders>
            <w:noWrap w:val="0"/>
            <w:vAlign w:val="center"/>
          </w:tcPr>
          <w:p w14:paraId="22744E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30F3D7E">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14:paraId="2815C3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6E9F0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1DC02D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19107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中心城区停车秩序良好，提供多样化的出行交通工具，节能减排，缓解交通压力。</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3C9BE0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城区停车秩序良好，提供多样化的出行交通工具，节能减排，缓解交通压力。</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CD127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提供</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多样化的出行交通工具，</w:t>
            </w:r>
            <w:r>
              <w:rPr>
                <w:rFonts w:hint="eastAsia" w:ascii="仿宋_GB2312" w:hAnsi="仿宋_GB2312" w:eastAsia="仿宋_GB2312" w:cs="仿宋_GB2312"/>
                <w:color w:val="000000"/>
                <w:sz w:val="20"/>
                <w:szCs w:val="20"/>
                <w:highlight w:val="none"/>
                <w:lang w:eastAsia="zh-CN"/>
              </w:rPr>
              <w:t>助力了</w:t>
            </w:r>
            <w:r>
              <w:rPr>
                <w:rFonts w:hint="eastAsia" w:ascii="仿宋_GB2312" w:hAnsi="仿宋_GB2312" w:eastAsia="仿宋_GB2312" w:cs="仿宋_GB2312"/>
                <w:color w:val="000000"/>
                <w:sz w:val="20"/>
                <w:szCs w:val="20"/>
                <w:highlight w:val="none"/>
              </w:rPr>
              <w:t>节能减排，缓解</w:t>
            </w:r>
            <w:r>
              <w:rPr>
                <w:rFonts w:hint="eastAsia" w:ascii="仿宋_GB2312" w:hAnsi="仿宋_GB2312" w:eastAsia="仿宋_GB2312" w:cs="仿宋_GB2312"/>
                <w:color w:val="000000"/>
                <w:sz w:val="20"/>
                <w:szCs w:val="20"/>
                <w:highlight w:val="none"/>
                <w:lang w:eastAsia="zh-CN"/>
              </w:rPr>
              <w:t>了城市</w:t>
            </w:r>
            <w:r>
              <w:rPr>
                <w:rFonts w:hint="eastAsia" w:ascii="仿宋_GB2312" w:hAnsi="仿宋_GB2312" w:eastAsia="仿宋_GB2312" w:cs="仿宋_GB2312"/>
                <w:color w:val="000000"/>
                <w:sz w:val="20"/>
                <w:szCs w:val="20"/>
                <w:highlight w:val="none"/>
              </w:rPr>
              <w:t>交通压力。</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4EAFBF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77FEC7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0" w:type="dxa"/>
            <w:tcBorders>
              <w:top w:val="single" w:color="auto" w:sz="4" w:space="0"/>
              <w:left w:val="single" w:color="auto" w:sz="4" w:space="0"/>
              <w:bottom w:val="single" w:color="auto" w:sz="4" w:space="0"/>
              <w:right w:val="single" w:color="auto" w:sz="4" w:space="0"/>
            </w:tcBorders>
            <w:noWrap w:val="0"/>
            <w:vAlign w:val="center"/>
          </w:tcPr>
          <w:p w14:paraId="61AF62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30D601F">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14:paraId="7F3F5A69">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right w:val="single" w:color="auto" w:sz="4" w:space="0"/>
            </w:tcBorders>
            <w:noWrap w:val="0"/>
            <w:vAlign w:val="center"/>
          </w:tcPr>
          <w:p w14:paraId="172DD5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F6C20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10B6A7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nil"/>
              <w:right w:val="single" w:color="auto" w:sz="4" w:space="0"/>
            </w:tcBorders>
            <w:noWrap w:val="0"/>
            <w:vAlign w:val="center"/>
          </w:tcPr>
          <w:p w14:paraId="58A95F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428" w:type="dxa"/>
            <w:tcBorders>
              <w:top w:val="single" w:color="auto" w:sz="4" w:space="0"/>
              <w:left w:val="nil"/>
              <w:bottom w:val="single" w:color="auto" w:sz="4" w:space="0"/>
              <w:right w:val="single" w:color="auto" w:sz="4" w:space="0"/>
            </w:tcBorders>
            <w:noWrap w:val="0"/>
            <w:vAlign w:val="center"/>
          </w:tcPr>
          <w:p w14:paraId="3992F3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市民满意</w:t>
            </w:r>
          </w:p>
        </w:tc>
        <w:tc>
          <w:tcPr>
            <w:tcW w:w="1221" w:type="dxa"/>
            <w:tcBorders>
              <w:top w:val="single" w:color="auto" w:sz="4" w:space="0"/>
              <w:left w:val="nil"/>
              <w:bottom w:val="single" w:color="auto" w:sz="4" w:space="0"/>
              <w:right w:val="single" w:color="auto" w:sz="4" w:space="0"/>
            </w:tcBorders>
            <w:noWrap w:val="0"/>
            <w:vAlign w:val="center"/>
          </w:tcPr>
          <w:p w14:paraId="582B35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225" w:type="dxa"/>
            <w:tcBorders>
              <w:top w:val="single" w:color="auto" w:sz="4" w:space="0"/>
              <w:left w:val="nil"/>
              <w:bottom w:val="single" w:color="auto" w:sz="4" w:space="0"/>
              <w:right w:val="single" w:color="auto" w:sz="4" w:space="0"/>
            </w:tcBorders>
            <w:noWrap w:val="0"/>
            <w:vAlign w:val="center"/>
          </w:tcPr>
          <w:p w14:paraId="14FDDB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w:t>
            </w:r>
          </w:p>
        </w:tc>
        <w:tc>
          <w:tcPr>
            <w:tcW w:w="725" w:type="dxa"/>
            <w:tcBorders>
              <w:top w:val="single" w:color="auto" w:sz="4" w:space="0"/>
              <w:left w:val="nil"/>
              <w:bottom w:val="single" w:color="auto" w:sz="4" w:space="0"/>
              <w:right w:val="single" w:color="auto" w:sz="4" w:space="0"/>
            </w:tcBorders>
            <w:noWrap w:val="0"/>
            <w:vAlign w:val="center"/>
          </w:tcPr>
          <w:p w14:paraId="2C0AFF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19" w:type="dxa"/>
            <w:tcBorders>
              <w:top w:val="single" w:color="auto" w:sz="4" w:space="0"/>
              <w:left w:val="nil"/>
              <w:bottom w:val="single" w:color="auto" w:sz="4" w:space="0"/>
              <w:right w:val="single" w:color="auto" w:sz="4" w:space="0"/>
            </w:tcBorders>
            <w:noWrap w:val="0"/>
            <w:vAlign w:val="center"/>
          </w:tcPr>
          <w:p w14:paraId="3FAEFC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0" w:type="dxa"/>
            <w:tcBorders>
              <w:top w:val="nil"/>
              <w:left w:val="nil"/>
              <w:bottom w:val="single" w:color="auto" w:sz="4" w:space="0"/>
              <w:right w:val="single" w:color="auto" w:sz="4" w:space="0"/>
            </w:tcBorders>
            <w:noWrap w:val="0"/>
            <w:vAlign w:val="center"/>
          </w:tcPr>
          <w:p w14:paraId="1B3EBA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7B482EE">
        <w:tblPrEx>
          <w:tblCellMar>
            <w:top w:w="0" w:type="dxa"/>
            <w:left w:w="108" w:type="dxa"/>
            <w:bottom w:w="0" w:type="dxa"/>
            <w:right w:w="108" w:type="dxa"/>
          </w:tblCellMar>
        </w:tblPrEx>
        <w:trPr>
          <w:trHeight w:val="520" w:hRule="atLeast"/>
          <w:jc w:val="center"/>
        </w:trPr>
        <w:tc>
          <w:tcPr>
            <w:tcW w:w="7068" w:type="dxa"/>
            <w:gridSpan w:val="6"/>
            <w:tcBorders>
              <w:top w:val="single" w:color="auto" w:sz="4" w:space="0"/>
              <w:left w:val="single" w:color="auto" w:sz="4" w:space="0"/>
              <w:bottom w:val="single" w:color="auto" w:sz="4" w:space="0"/>
              <w:right w:val="single" w:color="000000" w:sz="4" w:space="0"/>
            </w:tcBorders>
            <w:noWrap w:val="0"/>
            <w:vAlign w:val="center"/>
          </w:tcPr>
          <w:p w14:paraId="4CF68E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25" w:type="dxa"/>
            <w:tcBorders>
              <w:top w:val="nil"/>
              <w:left w:val="nil"/>
              <w:bottom w:val="single" w:color="auto" w:sz="4" w:space="0"/>
              <w:right w:val="single" w:color="auto" w:sz="4" w:space="0"/>
            </w:tcBorders>
            <w:noWrap w:val="0"/>
            <w:vAlign w:val="center"/>
          </w:tcPr>
          <w:p w14:paraId="209C06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19" w:type="dxa"/>
            <w:tcBorders>
              <w:top w:val="nil"/>
              <w:left w:val="nil"/>
              <w:bottom w:val="single" w:color="auto" w:sz="4" w:space="0"/>
              <w:right w:val="single" w:color="auto" w:sz="4" w:space="0"/>
            </w:tcBorders>
            <w:noWrap w:val="0"/>
            <w:vAlign w:val="center"/>
          </w:tcPr>
          <w:p w14:paraId="1206FF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96.74</w:t>
            </w:r>
          </w:p>
        </w:tc>
        <w:tc>
          <w:tcPr>
            <w:tcW w:w="1410" w:type="dxa"/>
            <w:tcBorders>
              <w:top w:val="nil"/>
              <w:left w:val="nil"/>
              <w:bottom w:val="single" w:color="auto" w:sz="4" w:space="0"/>
              <w:right w:val="single" w:color="auto" w:sz="4" w:space="0"/>
            </w:tcBorders>
            <w:noWrap w:val="0"/>
            <w:vAlign w:val="center"/>
          </w:tcPr>
          <w:p w14:paraId="218810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1C07B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2"/>
          <w:highlight w:val="none"/>
        </w:rPr>
      </w:pPr>
    </w:p>
    <w:p w14:paraId="4F1B37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sz w:val="22"/>
          <w:szCs w:val="22"/>
          <w:highlight w:val="none"/>
        </w:rPr>
      </w:pPr>
      <w:r>
        <w:rPr>
          <w:rFonts w:hint="eastAsia" w:ascii="仿宋_GB2312" w:hAnsi="仿宋_GB2312" w:eastAsia="仿宋_GB2312" w:cs="仿宋_GB2312"/>
          <w:sz w:val="22"/>
          <w:highlight w:val="none"/>
        </w:rPr>
        <w:t>填表人：</w:t>
      </w:r>
      <w:r>
        <w:rPr>
          <w:rFonts w:hint="eastAsia" w:ascii="仿宋_GB2312" w:hAnsi="仿宋_GB2312" w:eastAsia="仿宋_GB2312" w:cs="仿宋_GB2312"/>
          <w:sz w:val="22"/>
          <w:highlight w:val="none"/>
          <w:lang w:val="en-US" w:eastAsia="zh-CN"/>
        </w:rPr>
        <w:t>龙邓</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填报日期：</w:t>
      </w:r>
      <w:r>
        <w:rPr>
          <w:rFonts w:hint="eastAsia" w:ascii="仿宋_GB2312" w:hAnsi="仿宋_GB2312" w:eastAsia="仿宋_GB2312" w:cs="仿宋_GB2312"/>
          <w:sz w:val="22"/>
          <w:highlight w:val="none"/>
          <w:lang w:val="en-US" w:eastAsia="zh-CN"/>
        </w:rPr>
        <w:t>2026.6.22</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联系电话：</w:t>
      </w:r>
      <w:r>
        <w:rPr>
          <w:rFonts w:hint="eastAsia" w:ascii="仿宋_GB2312" w:hAnsi="仿宋_GB2312" w:eastAsia="仿宋_GB2312" w:cs="仿宋_GB2312"/>
          <w:sz w:val="22"/>
          <w:highlight w:val="none"/>
          <w:lang w:val="en-US" w:eastAsia="zh-CN"/>
        </w:rPr>
        <w:t>8220516</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单位负责人：</w:t>
      </w:r>
      <w:r>
        <w:rPr>
          <w:rFonts w:hint="eastAsia" w:ascii="仿宋_GB2312" w:hAnsi="仿宋_GB2312" w:eastAsia="仿宋_GB2312" w:cs="仿宋_GB2312"/>
          <w:sz w:val="22"/>
          <w:highlight w:val="none"/>
          <w:lang w:val="en-US" w:eastAsia="zh-CN"/>
        </w:rPr>
        <w:t>何志军</w:t>
      </w:r>
      <w:r>
        <w:rPr>
          <w:rFonts w:hint="eastAsia" w:ascii="仿宋_GB2312" w:hAnsi="仿宋_GB2312" w:eastAsia="仿宋_GB2312" w:cs="仿宋_GB2312"/>
          <w:sz w:val="22"/>
          <w:highlight w:val="none"/>
        </w:rPr>
        <w:br w:type="page"/>
      </w:r>
    </w:p>
    <w:p w14:paraId="3DED19B3">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highlight w:val="none"/>
        </w:rPr>
      </w:pPr>
    </w:p>
    <w:p w14:paraId="13E6E11D">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highlight w:val="none"/>
        </w:rPr>
      </w:pPr>
    </w:p>
    <w:p w14:paraId="22F66F02">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highlight w:val="none"/>
          <w:u w:val="none"/>
          <w:lang w:val="en-US" w:eastAsia="zh-CN"/>
        </w:rPr>
      </w:pPr>
      <w:r>
        <w:rPr>
          <w:rFonts w:hint="eastAsia" w:asciiTheme="majorEastAsia" w:hAnsiTheme="majorEastAsia" w:eastAsiaTheme="majorEastAsia" w:cstheme="majorEastAsia"/>
          <w:b/>
          <w:bCs/>
          <w:sz w:val="44"/>
          <w:szCs w:val="44"/>
          <w:highlight w:val="none"/>
        </w:rPr>
        <w:t>202</w:t>
      </w:r>
      <w:r>
        <w:rPr>
          <w:rFonts w:hint="eastAsia" w:asciiTheme="majorEastAsia" w:hAnsiTheme="majorEastAsia" w:eastAsiaTheme="majorEastAsia" w:cstheme="majorEastAsia"/>
          <w:b/>
          <w:bCs/>
          <w:sz w:val="44"/>
          <w:szCs w:val="44"/>
          <w:highlight w:val="none"/>
          <w:lang w:val="en-US" w:eastAsia="zh-CN"/>
        </w:rPr>
        <w:t>5</w:t>
      </w:r>
      <w:r>
        <w:rPr>
          <w:rFonts w:hint="eastAsia" w:asciiTheme="majorEastAsia" w:hAnsiTheme="majorEastAsia" w:eastAsiaTheme="majorEastAsia" w:cstheme="majorEastAsia"/>
          <w:b/>
          <w:bCs/>
          <w:sz w:val="44"/>
          <w:szCs w:val="44"/>
          <w:highlight w:val="none"/>
        </w:rPr>
        <w:t>年度</w:t>
      </w:r>
      <w:r>
        <w:rPr>
          <w:rFonts w:hint="eastAsia" w:asciiTheme="majorEastAsia" w:hAnsiTheme="majorEastAsia" w:eastAsiaTheme="majorEastAsia" w:cstheme="majorEastAsia"/>
          <w:b/>
          <w:bCs/>
          <w:sz w:val="44"/>
          <w:szCs w:val="44"/>
          <w:highlight w:val="none"/>
          <w:u w:val="none"/>
          <w:lang w:val="en-US" w:eastAsia="zh-CN"/>
        </w:rPr>
        <w:t>岳阳市停车管理服务中心</w:t>
      </w:r>
    </w:p>
    <w:p w14:paraId="4A2A1071">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Theme="majorEastAsia" w:hAnsiTheme="majorEastAsia" w:eastAsiaTheme="majorEastAsia" w:cstheme="majorEastAsia"/>
          <w:b/>
          <w:bCs/>
          <w:sz w:val="44"/>
          <w:szCs w:val="44"/>
          <w:highlight w:val="none"/>
          <w:lang w:val="en-US" w:eastAsia="zh-CN"/>
        </w:rPr>
        <w:t>项目</w:t>
      </w:r>
      <w:r>
        <w:rPr>
          <w:rFonts w:hint="eastAsia" w:asciiTheme="majorEastAsia" w:hAnsiTheme="majorEastAsia" w:eastAsiaTheme="majorEastAsia" w:cstheme="majorEastAsia"/>
          <w:b/>
          <w:bCs/>
          <w:sz w:val="44"/>
          <w:szCs w:val="44"/>
          <w:highlight w:val="none"/>
        </w:rPr>
        <w:t>支出绩效自评报告</w:t>
      </w:r>
    </w:p>
    <w:p w14:paraId="7CCD7E50">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2"/>
          <w:szCs w:val="32"/>
          <w:highlight w:val="none"/>
        </w:rPr>
      </w:pPr>
    </w:p>
    <w:p w14:paraId="0FDD49E1">
      <w:pPr>
        <w:keepNext w:val="0"/>
        <w:keepLines w:val="0"/>
        <w:pageBreakBefore w:val="0"/>
        <w:widowControl w:val="0"/>
        <w:numPr>
          <w:ilvl w:val="0"/>
          <w:numId w:val="4"/>
        </w:numPr>
        <w:kinsoku/>
        <w:wordWrap/>
        <w:overflowPunct/>
        <w:topLinePunct w:val="0"/>
        <w:autoSpaceDE/>
        <w:autoSpaceDN/>
        <w:bidi w:val="0"/>
        <w:adjustRightInd/>
        <w:snapToGrid/>
        <w:spacing w:afterLines="0" w:line="600" w:lineRule="exact"/>
        <w:ind w:right="0" w:rightChars="0" w:firstLine="643" w:firstLineChars="200"/>
        <w:jc w:val="left"/>
        <w:textAlignment w:val="auto"/>
        <w:rPr>
          <w:rFonts w:hint="eastAsia" w:ascii="黑体" w:hAnsi="黑体" w:eastAsia="黑体" w:cs="黑体"/>
          <w:b/>
          <w:bCs/>
          <w:sz w:val="32"/>
          <w:szCs w:val="32"/>
          <w:lang w:val="en" w:eastAsia="zh-CN"/>
        </w:rPr>
      </w:pPr>
      <w:r>
        <w:rPr>
          <w:rFonts w:hint="eastAsia" w:ascii="黑体" w:hAnsi="黑体" w:eastAsia="黑体" w:cs="黑体"/>
          <w:b/>
          <w:bCs/>
          <w:sz w:val="32"/>
          <w:szCs w:val="32"/>
          <w:lang w:val="en" w:eastAsia="zh-CN"/>
        </w:rPr>
        <w:t>项目基本情况</w:t>
      </w:r>
    </w:p>
    <w:p w14:paraId="585D1D4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项目基本概况</w:t>
      </w:r>
    </w:p>
    <w:p w14:paraId="634EEF4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心项目主要为中心城区人行道和公共停车场停车秩序管理，以及停车辅助设施安装与维护。挖掘停车资源，增加停车泊位，对长期占用人行道公共停车泊位的“僵尸车广告车”进行清理，释放被长期占用的公共停车泊位，提升公共资源使用效率。中心城区共享电动自行车安全运行监管，引导市民以绿色、安全、环保的方式出行，缓解中心城区交通压力等工作。</w:t>
      </w:r>
    </w:p>
    <w:p w14:paraId="5DE3B7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项目实施依据</w:t>
      </w:r>
    </w:p>
    <w:p w14:paraId="3849364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
        </w:rPr>
        <w:t>1</w:t>
      </w:r>
      <w:r>
        <w:rPr>
          <w:rFonts w:hint="eastAsia" w:ascii="仿宋_GB2312" w:hAnsi="仿宋_GB2312" w:eastAsia="仿宋_GB2312" w:cs="仿宋_GB2312"/>
          <w:b w:val="0"/>
          <w:bCs w:val="0"/>
          <w:sz w:val="32"/>
          <w:szCs w:val="32"/>
          <w:lang w:val="en" w:eastAsia="zh-CN"/>
        </w:rPr>
        <w:t>、</w:t>
      </w:r>
      <w:r>
        <w:rPr>
          <w:rFonts w:hint="eastAsia" w:ascii="仿宋_GB2312" w:hAnsi="仿宋_GB2312" w:eastAsia="仿宋_GB2312" w:cs="仿宋_GB2312"/>
          <w:b w:val="0"/>
          <w:bCs w:val="0"/>
          <w:sz w:val="32"/>
          <w:szCs w:val="32"/>
        </w:rPr>
        <w:t>《中华人民共和国道路交通安全法》第九十三条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 </w:t>
      </w:r>
    </w:p>
    <w:p w14:paraId="60CAF561">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 xml:space="preserve">    2、</w:t>
      </w:r>
      <w:r>
        <w:rPr>
          <w:rFonts w:hint="eastAsia" w:ascii="仿宋_GB2312" w:hAnsi="仿宋_GB2312" w:eastAsia="仿宋_GB2312" w:cs="仿宋_GB2312"/>
          <w:b w:val="0"/>
          <w:bCs w:val="0"/>
          <w:sz w:val="32"/>
          <w:szCs w:val="32"/>
        </w:rPr>
        <w:t>《湖南省实施〈中华人民共和国道路交通安全法〉办法》第四十二条</w:t>
      </w:r>
      <w:r>
        <w:rPr>
          <w:rFonts w:hint="eastAsia" w:ascii="仿宋_GB2312" w:hAnsi="仿宋_GB2312" w:eastAsia="仿宋_GB2312" w:cs="仿宋_GB2312"/>
          <w:b w:val="0"/>
          <w:bCs w:val="0"/>
          <w:sz w:val="32"/>
          <w:szCs w:val="32"/>
          <w:lang w:eastAsia="zh-CN"/>
        </w:rPr>
        <w:t>。</w:t>
      </w:r>
    </w:p>
    <w:p w14:paraId="3DCB3C3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eastAsia="zh-CN"/>
        </w:rPr>
        <w:t>二、项目资金使用及管理情况</w:t>
      </w:r>
    </w:p>
    <w:p w14:paraId="0E54F51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（一）项目资金情况分析</w:t>
      </w:r>
    </w:p>
    <w:p w14:paraId="2D160A2A">
      <w:pPr>
        <w:pStyle w:val="11"/>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市财政预算批复</w:t>
      </w:r>
      <w:r>
        <w:rPr>
          <w:rFonts w:hint="eastAsia" w:ascii="仿宋_GB2312" w:hAnsi="仿宋_GB2312" w:eastAsia="仿宋_GB2312" w:cs="仿宋_GB2312"/>
          <w:color w:val="auto"/>
          <w:sz w:val="32"/>
          <w:szCs w:val="32"/>
          <w:lang w:val="en-US" w:eastAsia="zh-CN"/>
        </w:rPr>
        <w:t>中心</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经费预算总额为72.50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，上年项目经费结转</w:t>
      </w:r>
      <w:r>
        <w:rPr>
          <w:rFonts w:hint="eastAsia" w:ascii="仿宋_GB2312" w:hAnsi="仿宋_GB2312" w:eastAsia="仿宋_GB2312" w:cs="仿宋_GB2312"/>
          <w:color w:val="auto"/>
          <w:sz w:val="32"/>
          <w:szCs w:val="32"/>
          <w:lang w:val="en-US" w:eastAsia="zh-CN"/>
        </w:rPr>
        <w:t>10.13万元，合计82.63万元。年中项目预算总金额调整至234.61万元（含其他资金预算3万元），实际支出总金额为230.41万元，其中</w:t>
      </w:r>
      <w:r>
        <w:rPr>
          <w:rFonts w:hint="eastAsia" w:ascii="仿宋_GB2312" w:hAnsi="仿宋_GB2312" w:eastAsia="仿宋_GB2312" w:cs="仿宋_GB2312"/>
          <w:sz w:val="32"/>
          <w:szCs w:val="32"/>
          <w:lang w:val="en-US" w:eastAsia="zh-CN"/>
        </w:rPr>
        <w:t>协管员经费支出22.50万元、</w:t>
      </w:r>
      <w:r>
        <w:rPr>
          <w:rFonts w:hint="eastAsia" w:ascii="仿宋_GB2312" w:hAnsi="仿宋_GB2312" w:eastAsia="仿宋_GB2312" w:cs="仿宋_GB2312"/>
          <w:sz w:val="32"/>
          <w:szCs w:val="32"/>
          <w:highlight w:val="none"/>
          <w:lang w:val="en" w:eastAsia="zh-CN"/>
        </w:rPr>
        <w:t>城管事务经费</w:t>
      </w:r>
      <w:r>
        <w:rPr>
          <w:rFonts w:hint="eastAsia" w:ascii="仿宋_GB2312" w:hAnsi="仿宋_GB2312" w:eastAsia="仿宋_GB2312" w:cs="仿宋_GB2312"/>
          <w:sz w:val="32"/>
          <w:szCs w:val="32"/>
          <w:highlight w:val="none"/>
          <w:lang w:val="en-US" w:eastAsia="zh-CN"/>
        </w:rPr>
        <w:t>支出50.00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sz w:val="32"/>
          <w:szCs w:val="32"/>
          <w:highlight w:val="none"/>
          <w:lang w:val="en-US" w:eastAsia="zh-CN"/>
        </w:rPr>
        <w:t>办案费支出10.13</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sz w:val="32"/>
          <w:szCs w:val="32"/>
          <w:highlight w:val="none"/>
          <w:lang w:eastAsia="zh-CN"/>
        </w:rPr>
        <w:t>中心城区停车收费项目前期工作经费</w:t>
      </w:r>
      <w:r>
        <w:rPr>
          <w:rFonts w:hint="eastAsia" w:ascii="仿宋_GB2312" w:hAnsi="仿宋_GB2312" w:eastAsia="仿宋_GB2312" w:cs="仿宋_GB2312"/>
          <w:sz w:val="32"/>
          <w:szCs w:val="32"/>
          <w:highlight w:val="none"/>
          <w:lang w:val="en-US" w:eastAsia="zh-CN"/>
        </w:rPr>
        <w:t>144.96</w:t>
      </w:r>
      <w:r>
        <w:rPr>
          <w:rFonts w:hint="eastAsia" w:ascii="仿宋_GB2312" w:hAnsi="仿宋_GB2312" w:eastAsia="仿宋_GB2312" w:cs="仿宋_GB2312"/>
          <w:sz w:val="32"/>
          <w:szCs w:val="32"/>
          <w:lang w:val="en-US" w:eastAsia="zh-CN"/>
        </w:rPr>
        <w:t>万元、党建阵地建设工作经费2.82万元，主要用于中心</w:t>
      </w:r>
      <w:r>
        <w:rPr>
          <w:rFonts w:hint="eastAsia" w:ascii="仿宋_GB2312" w:hAnsi="仿宋_GB2312" w:eastAsia="仿宋_GB2312" w:cs="仿宋_GB2312"/>
          <w:bCs/>
          <w:sz w:val="32"/>
          <w:szCs w:val="32"/>
          <w:lang w:val="en-US" w:eastAsia="zh-CN"/>
        </w:rPr>
        <w:t>城区人行道停车辅助设施更新及维修、违停车辆信息管理平台维护与升级、录入人员劳务费、中心城区停车秩序及公共停车场管理、城区公共停车资源综合利用前期工作，以及绿色、安全出行宣传等项目支出。</w:t>
      </w:r>
    </w:p>
    <w:p w14:paraId="3C6F5E6B">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rPr>
        <w:t>（二）专项资金管理情况分析</w:t>
      </w:r>
    </w:p>
    <w:p w14:paraId="0ACB7566">
      <w:pPr>
        <w:pStyle w:val="2"/>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我单位结合实际情况，制订了《预算业务管理制度》、《专项资金管理制度》，从预算管理职责，预算编制，预算审批与分解下达流程，预算的执行、控制与调整，决算与绩效评价等方面对专项资金进行管理，做到专项资金预算编制有目标、预算执行有监控、预算完成有评价、评价结果有反馈、反馈结果有应。</w:t>
      </w:r>
    </w:p>
    <w:p w14:paraId="4E7829E2">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sz w:val="28"/>
          <w:szCs w:val="28"/>
        </w:rPr>
      </w:pPr>
      <w:r>
        <w:rPr>
          <w:rFonts w:hint="eastAsia" w:ascii="黑体" w:hAnsi="黑体" w:eastAsia="黑体" w:cs="黑体"/>
          <w:b/>
          <w:bCs/>
          <w:sz w:val="32"/>
          <w:szCs w:val="32"/>
        </w:rPr>
        <w:t>三</w:t>
      </w:r>
      <w:r>
        <w:rPr>
          <w:rFonts w:hint="eastAsia" w:ascii="黑体" w:hAnsi="黑体" w:eastAsia="黑体" w:cs="黑体"/>
          <w:b/>
          <w:bCs/>
          <w:sz w:val="32"/>
          <w:szCs w:val="32"/>
          <w:lang w:eastAsia="zh-CN"/>
        </w:rPr>
        <w:t>、</w:t>
      </w:r>
      <w:r>
        <w:rPr>
          <w:rFonts w:hint="eastAsia" w:ascii="黑体" w:hAnsi="黑体" w:eastAsia="黑体" w:cs="黑体"/>
          <w:b/>
          <w:bCs/>
          <w:sz w:val="32"/>
          <w:szCs w:val="32"/>
        </w:rPr>
        <w:t>项目组织实施情况分析</w:t>
      </w:r>
    </w:p>
    <w:p w14:paraId="39D69019">
      <w:pPr>
        <w:keepNext w:val="0"/>
        <w:keepLines w:val="0"/>
        <w:pageBreakBefore w:val="0"/>
        <w:widowControl w:val="0"/>
        <w:numPr>
          <w:ilvl w:val="0"/>
          <w:numId w:val="0"/>
        </w:numPr>
        <w:kinsoku/>
        <w:wordWrap/>
        <w:overflowPunct/>
        <w:topLinePunct w:val="0"/>
        <w:autoSpaceDE/>
        <w:autoSpaceDN/>
        <w:bidi w:val="0"/>
        <w:adjustRightInd/>
        <w:snapToGrid/>
        <w:spacing w:afterLines="0" w:line="6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根据中心内设机构设置和科室职责，实行业务归口管理，授权审批的财管管理制度，重大业务费用支出由业务科室提出申请，并进行必要的事前绩效评估后，报中心分管领导审核，送财务部确定资金来源，再呈报中心党支部研究决策，通过后按相关规定组织实施。项目实施完成后，结合预算绩效目标和项目要求，按合同约定组织验收，验收合格后再进行相关费用结算。</w:t>
      </w:r>
    </w:p>
    <w:p w14:paraId="5D4E0D35">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四</w:t>
      </w:r>
      <w:r>
        <w:rPr>
          <w:rFonts w:hint="eastAsia" w:ascii="黑体" w:hAnsi="黑体" w:eastAsia="黑体" w:cs="黑体"/>
          <w:b/>
          <w:bCs/>
          <w:sz w:val="32"/>
          <w:szCs w:val="32"/>
          <w:lang w:eastAsia="zh-CN"/>
        </w:rPr>
        <w:t>、</w:t>
      </w:r>
      <w:r>
        <w:rPr>
          <w:rFonts w:hint="eastAsia" w:ascii="黑体" w:hAnsi="黑体" w:eastAsia="黑体" w:cs="黑体"/>
          <w:b/>
          <w:bCs/>
          <w:sz w:val="32"/>
          <w:szCs w:val="32"/>
        </w:rPr>
        <w:t>综合评价情况及评价结论</w:t>
      </w:r>
    </w:p>
    <w:p w14:paraId="4E5748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sz w:val="32"/>
          <w:szCs w:val="32"/>
          <w:lang w:val="en-US" w:eastAsia="zh-CN"/>
        </w:rPr>
        <w:t>评价小组依</w:t>
      </w:r>
      <w:r>
        <w:rPr>
          <w:rFonts w:hint="eastAsia" w:ascii="仿宋_GB2312" w:hAnsi="仿宋_GB2312" w:eastAsia="仿宋_GB2312" w:cs="仿宋_GB2312"/>
          <w:sz w:val="32"/>
          <w:szCs w:val="32"/>
        </w:rPr>
        <w:t>据</w:t>
      </w:r>
      <w:r>
        <w:rPr>
          <w:rFonts w:hint="eastAsia" w:ascii="仿宋_GB2312" w:hAnsi="仿宋_GB2312" w:eastAsia="仿宋_GB2312" w:cs="仿宋_GB2312"/>
          <w:sz w:val="32"/>
          <w:szCs w:val="32"/>
          <w:lang w:val="en-US" w:eastAsia="zh-CN"/>
        </w:rPr>
        <w:t>岳阳市财政局《关于印发&lt;岳阳市市级预算部门绩效自评操作规程&gt;的通知》岳财函〔2022〕209号文件规定相关</w:t>
      </w:r>
      <w:r>
        <w:rPr>
          <w:rFonts w:hint="eastAsia" w:ascii="仿宋_GB2312" w:hAnsi="仿宋_GB2312" w:eastAsia="仿宋_GB2312" w:cs="仿宋_GB2312"/>
          <w:sz w:val="32"/>
          <w:szCs w:val="32"/>
        </w:rPr>
        <w:t>评价指标</w:t>
      </w:r>
      <w:r>
        <w:rPr>
          <w:rFonts w:hint="eastAsia" w:ascii="仿宋_GB2312" w:hAnsi="仿宋_GB2312" w:eastAsia="仿宋_GB2312" w:cs="仿宋_GB2312"/>
          <w:sz w:val="32"/>
          <w:szCs w:val="32"/>
          <w:lang w:val="en-US" w:eastAsia="zh-CN"/>
        </w:rPr>
        <w:t>和标准进行了分析与</w:t>
      </w:r>
      <w:r>
        <w:rPr>
          <w:rFonts w:hint="eastAsia" w:ascii="仿宋_GB2312" w:hAnsi="仿宋_GB2312" w:eastAsia="仿宋_GB2312" w:cs="仿宋_GB2312"/>
          <w:sz w:val="32"/>
          <w:szCs w:val="32"/>
        </w:rPr>
        <w:t>评分，</w:t>
      </w:r>
      <w:r>
        <w:rPr>
          <w:rFonts w:hint="eastAsia" w:ascii="仿宋_GB2312" w:hAnsi="仿宋_GB2312" w:eastAsia="仿宋_GB2312" w:cs="仿宋_GB2312"/>
          <w:sz w:val="32"/>
          <w:szCs w:val="32"/>
          <w:lang w:eastAsia="zh-CN"/>
        </w:rPr>
        <w:t>一致认为中心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资金</w:t>
      </w:r>
      <w:r>
        <w:rPr>
          <w:rFonts w:hint="eastAsia" w:ascii="仿宋_GB2312" w:hAnsi="仿宋_GB2312" w:eastAsia="仿宋_GB2312" w:cs="仿宋_GB2312"/>
          <w:sz w:val="32"/>
          <w:szCs w:val="32"/>
        </w:rPr>
        <w:t>管</w:t>
      </w:r>
      <w:r>
        <w:rPr>
          <w:rFonts w:hint="eastAsia" w:ascii="仿宋_GB2312" w:hAnsi="仿宋_GB2312" w:eastAsia="仿宋_GB2312" w:cs="仿宋_GB2312"/>
          <w:sz w:val="32"/>
          <w:szCs w:val="32"/>
          <w:lang w:val="en-US" w:eastAsia="zh-CN"/>
        </w:rPr>
        <w:t>理和使用规范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遵守了相关法规</w:t>
      </w:r>
      <w:r>
        <w:rPr>
          <w:rFonts w:hint="eastAsia" w:ascii="仿宋_GB2312" w:hAnsi="仿宋_GB2312" w:eastAsia="仿宋_GB2312" w:cs="仿宋_GB2312"/>
          <w:sz w:val="32"/>
          <w:szCs w:val="32"/>
        </w:rPr>
        <w:t>政策，</w:t>
      </w:r>
      <w:r>
        <w:rPr>
          <w:rFonts w:hint="eastAsia" w:ascii="仿宋_GB2312" w:hAnsi="仿宋_GB2312" w:eastAsia="仿宋_GB2312" w:cs="仿宋_GB2312"/>
          <w:sz w:val="32"/>
          <w:szCs w:val="32"/>
          <w:lang w:eastAsia="zh-CN"/>
        </w:rPr>
        <w:t>项目预算执行率高，资金使用规范，且圆满完成了年初绩效目标，</w:t>
      </w:r>
      <w:r>
        <w:rPr>
          <w:rFonts w:hint="eastAsia" w:ascii="仿宋_GB2312" w:hAnsi="仿宋_GB2312" w:eastAsia="仿宋_GB2312" w:cs="仿宋_GB2312"/>
          <w:sz w:val="32"/>
          <w:szCs w:val="32"/>
        </w:rPr>
        <w:t>有效发挥了</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资金的使用效</w:t>
      </w:r>
      <w:r>
        <w:rPr>
          <w:rFonts w:hint="eastAsia" w:ascii="仿宋_GB2312" w:hAnsi="仿宋_GB2312" w:eastAsia="仿宋_GB2312" w:cs="仿宋_GB2312"/>
          <w:sz w:val="32"/>
          <w:szCs w:val="32"/>
          <w:lang w:eastAsia="zh-CN"/>
        </w:rPr>
        <w:t>益，绩效</w:t>
      </w:r>
      <w:r>
        <w:rPr>
          <w:rFonts w:hint="eastAsia" w:ascii="仿宋_GB2312" w:hAnsi="仿宋_GB2312" w:eastAsia="仿宋_GB2312" w:cs="仿宋_GB2312"/>
          <w:sz w:val="32"/>
          <w:szCs w:val="32"/>
          <w:lang w:val="en-US" w:eastAsia="zh-CN"/>
        </w:rPr>
        <w:t>自评得分均在</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sz w:val="32"/>
          <w:szCs w:val="32"/>
          <w:lang w:val="en-US" w:eastAsia="zh-CN"/>
        </w:rPr>
        <w:t>分以上，</w:t>
      </w:r>
      <w:r>
        <w:rPr>
          <w:rFonts w:hint="eastAsia" w:ascii="仿宋_GB2312" w:hAnsi="仿宋_GB2312" w:eastAsia="仿宋_GB2312" w:cs="仿宋_GB2312"/>
          <w:sz w:val="32"/>
          <w:szCs w:val="32"/>
        </w:rPr>
        <w:t>考评等级</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为优</w:t>
      </w:r>
      <w:r>
        <w:rPr>
          <w:rFonts w:hint="eastAsia" w:ascii="仿宋_GB2312" w:hAnsi="仿宋_GB2312" w:eastAsia="仿宋_GB2312" w:cs="仿宋_GB2312"/>
          <w:sz w:val="32"/>
          <w:szCs w:val="32"/>
          <w:lang w:eastAsia="zh-CN"/>
        </w:rPr>
        <w:t>秀</w:t>
      </w:r>
      <w:r>
        <w:rPr>
          <w:rFonts w:hint="eastAsia" w:ascii="仿宋_GB2312" w:hAnsi="仿宋_GB2312" w:eastAsia="仿宋_GB2312" w:cs="仿宋_GB2312"/>
          <w:sz w:val="32"/>
          <w:szCs w:val="32"/>
        </w:rPr>
        <w:t>。</w:t>
      </w:r>
    </w:p>
    <w:p w14:paraId="4BC6191C">
      <w:pPr>
        <w:pStyle w:val="2"/>
        <w:keepNext w:val="0"/>
        <w:keepLines w:val="0"/>
        <w:pageBreakBefore w:val="0"/>
        <w:numPr>
          <w:ilvl w:val="0"/>
          <w:numId w:val="5"/>
        </w:numPr>
        <w:kinsoku/>
        <w:wordWrap/>
        <w:overflowPunct/>
        <w:topLinePunct w:val="0"/>
        <w:autoSpaceDE/>
        <w:autoSpaceDN/>
        <w:bidi w:val="0"/>
        <w:adjustRightInd/>
        <w:snapToGrid/>
        <w:spacing w:line="600" w:lineRule="exact"/>
        <w:ind w:left="640" w:leftChars="0"/>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项目主要绩效情况分析</w:t>
      </w:r>
    </w:p>
    <w:p w14:paraId="3D9479E6">
      <w:pPr>
        <w:spacing w:before="120" w:beforeLines="50" w:line="396" w:lineRule="auto"/>
        <w:ind w:left="20" w:leftChars="7" w:right="11"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多措并举加强中心城区停车管理，规范中心城区停车秩序，助力城市形象整体提升。大力挖掘停车资源，增加停车泊位，有效缓解市民出行停车“难”。加强中心城区共享电动自行车运营监管，进一步优化站点布局、车位设置管理，为市民出行提供多种选择，</w:t>
      </w:r>
      <w:r>
        <w:rPr>
          <w:rFonts w:hint="eastAsia" w:ascii="仿宋_GB2312" w:hAnsi="仿宋_GB2312" w:eastAsia="仿宋_GB2312" w:cs="仿宋_GB2312"/>
          <w:color w:val="auto"/>
          <w:kern w:val="0"/>
          <w:sz w:val="32"/>
          <w:szCs w:val="32"/>
          <w:lang w:val="en-US" w:eastAsia="zh-CN" w:bidi="ar-SA"/>
        </w:rPr>
        <w:t>打通市民出行“最后一公里”</w:t>
      </w:r>
      <w:r>
        <w:rPr>
          <w:rFonts w:hint="eastAsia" w:ascii="仿宋_GB2312" w:hAnsi="仿宋_GB2312" w:eastAsia="仿宋_GB2312" w:cs="仿宋_GB2312"/>
          <w:sz w:val="32"/>
          <w:szCs w:val="32"/>
          <w:lang w:val="en-US" w:eastAsia="zh-CN"/>
        </w:rPr>
        <w:t>。</w:t>
      </w:r>
    </w:p>
    <w:p w14:paraId="4C93466E">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规范停车设施管理。一是对文庭景苑、理想城等小区的临街停车场进行备案，截至目前，中心城区临街停车场备案126处，庭院停车场备案23处，合计149处；二是对德胜路与金鹗路交叉处的人行道上车位进行维护、清除等工作，共计195个车位；三是联合市城管支队对大润发、缤纷年华等10处临街停车场进行现场指导整改。三是持续开展停车设施专项整治。今年，市人大环资委向市城管局下发了《关于我市主城区公共区域停车场管理工作暗访调查的情况反馈》，要求对其暗访中发现的19家停车场问题进行回复。我中心在市城管局统一调度下，积极联系市城管支队等相关部门，现场核实情况，“一点一策”形成整改方案。目前，19家停车场已全部整改到位，并以书面形式回复市人大环资委。</w:t>
      </w:r>
    </w:p>
    <w:p w14:paraId="600837C6">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逐步完善</w:t>
      </w:r>
      <w:r>
        <w:rPr>
          <w:rFonts w:hint="eastAsia" w:ascii="仿宋_GB2312" w:hAnsi="仿宋_GB2312" w:eastAsia="仿宋_GB2312" w:cs="仿宋_GB2312"/>
          <w:spacing w:val="6"/>
          <w:sz w:val="32"/>
          <w:szCs w:val="32"/>
          <w:lang w:eastAsia="zh-CN"/>
        </w:rPr>
        <w:t>车辆管理信息</w:t>
      </w:r>
      <w:r>
        <w:rPr>
          <w:rFonts w:hint="eastAsia" w:ascii="仿宋_GB2312" w:hAnsi="仿宋_GB2312" w:eastAsia="仿宋_GB2312" w:cs="仿宋_GB2312"/>
          <w:spacing w:val="6"/>
          <w:sz w:val="32"/>
          <w:szCs w:val="32"/>
        </w:rPr>
        <w:t>平台</w:t>
      </w:r>
      <w:r>
        <w:rPr>
          <w:rFonts w:hint="eastAsia" w:ascii="仿宋_GB2312" w:hAnsi="仿宋_GB2312" w:eastAsia="仿宋_GB2312" w:cs="仿宋_GB2312"/>
          <w:spacing w:val="6"/>
          <w:sz w:val="32"/>
          <w:szCs w:val="32"/>
          <w:lang w:eastAsia="zh-CN"/>
        </w:rPr>
        <w:t>建设</w:t>
      </w:r>
      <w:r>
        <w:rPr>
          <w:rFonts w:hint="eastAsia" w:ascii="仿宋_GB2312" w:hAnsi="仿宋_GB2312" w:eastAsia="仿宋_GB2312" w:cs="仿宋_GB2312"/>
          <w:spacing w:val="6"/>
          <w:sz w:val="32"/>
          <w:szCs w:val="32"/>
        </w:rPr>
        <w:t>。我中心通过多次与市城管支队对接、研究，形成了一套比较成熟的人行道违停执法机制。同时，对</w:t>
      </w:r>
      <w:r>
        <w:rPr>
          <w:rFonts w:hint="eastAsia" w:ascii="仿宋_GB2312" w:hAnsi="仿宋_GB2312" w:eastAsia="仿宋_GB2312" w:cs="仿宋_GB2312"/>
          <w:spacing w:val="6"/>
          <w:sz w:val="32"/>
          <w:szCs w:val="32"/>
          <w:lang w:eastAsia="zh-CN"/>
        </w:rPr>
        <w:t>车辆管理信息平台</w:t>
      </w:r>
      <w:r>
        <w:rPr>
          <w:rFonts w:hint="eastAsia" w:ascii="仿宋_GB2312" w:hAnsi="仿宋_GB2312" w:eastAsia="仿宋_GB2312" w:cs="仿宋_GB2312"/>
          <w:spacing w:val="6"/>
          <w:sz w:val="32"/>
          <w:szCs w:val="32"/>
        </w:rPr>
        <w:t>不断升级，</w:t>
      </w:r>
      <w:r>
        <w:rPr>
          <w:rFonts w:hint="eastAsia" w:ascii="仿宋_GB2312" w:hAnsi="仿宋_GB2312" w:eastAsia="仿宋_GB2312" w:cs="仿宋_GB2312"/>
          <w:spacing w:val="6"/>
          <w:sz w:val="32"/>
          <w:szCs w:val="32"/>
          <w:lang w:eastAsia="zh-CN"/>
        </w:rPr>
        <w:t>平台功能得到不断优化，管理效率不断提升</w:t>
      </w:r>
      <w:r>
        <w:rPr>
          <w:rFonts w:hint="eastAsia" w:ascii="仿宋_GB2312" w:hAnsi="仿宋_GB2312" w:eastAsia="仿宋_GB2312" w:cs="仿宋_GB2312"/>
          <w:spacing w:val="6"/>
          <w:sz w:val="32"/>
          <w:szCs w:val="32"/>
        </w:rPr>
        <w:t>。2025年，</w:t>
      </w:r>
      <w:r>
        <w:rPr>
          <w:rFonts w:hint="eastAsia" w:ascii="仿宋_GB2312" w:hAnsi="仿宋_GB2312" w:eastAsia="仿宋_GB2312" w:cs="仿宋_GB2312"/>
          <w:spacing w:val="6"/>
          <w:sz w:val="32"/>
          <w:szCs w:val="32"/>
          <w:lang w:eastAsia="zh-CN"/>
        </w:rPr>
        <w:t>共发送劝离短信</w:t>
      </w:r>
      <w:r>
        <w:rPr>
          <w:rFonts w:hint="eastAsia" w:ascii="仿宋_GB2312" w:hAnsi="仿宋_GB2312" w:eastAsia="仿宋_GB2312" w:cs="仿宋_GB2312"/>
          <w:spacing w:val="6"/>
          <w:sz w:val="32"/>
          <w:szCs w:val="32"/>
          <w:lang w:val="en-US" w:eastAsia="zh-CN"/>
        </w:rPr>
        <w:t>3.63万台次</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有效劝离车辆</w:t>
      </w:r>
      <w:r>
        <w:rPr>
          <w:rFonts w:hint="eastAsia" w:ascii="仿宋_GB2312" w:hAnsi="仿宋_GB2312" w:eastAsia="仿宋_GB2312" w:cs="仿宋_GB2312"/>
          <w:spacing w:val="6"/>
          <w:sz w:val="32"/>
          <w:szCs w:val="32"/>
          <w:lang w:val="en-US" w:eastAsia="zh-CN"/>
        </w:rPr>
        <w:t>1.45万台次。</w:t>
      </w:r>
      <w:r>
        <w:rPr>
          <w:rFonts w:hint="eastAsia" w:ascii="仿宋_GB2312" w:hAnsi="仿宋_GB2312" w:eastAsia="仿宋_GB2312" w:cs="仿宋_GB2312"/>
          <w:spacing w:val="6"/>
          <w:sz w:val="32"/>
          <w:szCs w:val="32"/>
        </w:rPr>
        <w:t>（2）督促单位内部停车场对外开放。劳动节、国庆节假日期间，根据市人民政府下发《关于做好市城区机关事业单位停车场对外开放工作的通知》</w:t>
      </w:r>
      <w:r>
        <w:rPr>
          <w:rFonts w:hint="eastAsia" w:ascii="仿宋_GB2312" w:hAnsi="仿宋_GB2312" w:eastAsia="仿宋_GB2312" w:cs="仿宋_GB2312"/>
          <w:spacing w:val="6"/>
          <w:sz w:val="32"/>
          <w:szCs w:val="32"/>
          <w:lang w:val="en-US" w:eastAsia="zh-CN"/>
        </w:rPr>
        <w:t>〔</w:t>
      </w:r>
      <w:r>
        <w:rPr>
          <w:rFonts w:hint="eastAsia" w:ascii="仿宋_GB2312" w:hAnsi="仿宋_GB2312" w:eastAsia="仿宋_GB2312" w:cs="仿宋_GB2312"/>
          <w:spacing w:val="6"/>
          <w:sz w:val="32"/>
          <w:szCs w:val="32"/>
        </w:rPr>
        <w:t>岳政办函（2025）51号</w:t>
      </w:r>
      <w:r>
        <w:rPr>
          <w:rFonts w:hint="eastAsia" w:ascii="仿宋_GB2312" w:hAnsi="仿宋_GB2312" w:eastAsia="仿宋_GB2312" w:cs="仿宋_GB2312"/>
          <w:spacing w:val="6"/>
          <w:sz w:val="32"/>
          <w:szCs w:val="32"/>
          <w:lang w:val="en-US" w:eastAsia="zh-CN"/>
        </w:rPr>
        <w:t>〕</w:t>
      </w:r>
      <w:r>
        <w:rPr>
          <w:rFonts w:hint="eastAsia" w:ascii="仿宋_GB2312" w:hAnsi="仿宋_GB2312" w:eastAsia="仿宋_GB2312" w:cs="仿宋_GB2312"/>
          <w:spacing w:val="6"/>
          <w:sz w:val="32"/>
          <w:szCs w:val="32"/>
        </w:rPr>
        <w:t>的文件精神，我中心在市城管局的指导下，联合市委督查室、市政府督查室以随机抽查和全面督查的方式督促市直机关单位内部停车场51家对外开放，保证了各单位在旅发大会期间按照文件精神向市民开放。另外，我中心要求省旅发大会开幕式当天管控区域周边的22家停车场，免费对外开放。</w:t>
      </w:r>
    </w:p>
    <w:p w14:paraId="08E1A449">
      <w:pPr>
        <w:spacing w:before="120" w:beforeLines="50" w:line="396" w:lineRule="auto"/>
        <w:ind w:left="20" w:leftChars="7" w:right="11" w:firstLine="664"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基础建设稳推进。完善了智慧出行项目四期网点建设工作，充分听取市民反馈意见并结合路面巡查实际情况，将四期不合理网点进行拆除，对有需求的区域进行增设。截至目前，共设立停车站点995个，车位18210个，投放人民出行车辆6456辆，永安行车辆1500辆。</w:t>
      </w:r>
    </w:p>
    <w:p w14:paraId="372429A2">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六、存在的问题和下一步工作计划</w:t>
      </w:r>
    </w:p>
    <w:p w14:paraId="53B88438">
      <w:pPr>
        <w:keepNext w:val="0"/>
        <w:keepLines w:val="0"/>
        <w:pageBreakBefore w:val="0"/>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随着城市车辆总量的增加，中心城区现有停车资源难以满足市民出行需求。下一步，大力挖掘现有停车资源，释放停车潜力，在停车需求较大的地段配套建设停车场，增加公共停车泊位供给。同时，加大宣传力度，引导市民采取公共交通或骑行等方式出行，缓解城市交通压力。</w:t>
      </w:r>
    </w:p>
    <w:p w14:paraId="16137D4C">
      <w:pPr>
        <w:pStyle w:val="2"/>
        <w:keepNext w:val="0"/>
        <w:keepLines w:val="0"/>
        <w:pageBreakBefore w:val="0"/>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sz w:val="32"/>
          <w:szCs w:val="32"/>
          <w:lang w:val="en-US" w:eastAsia="zh-CN"/>
        </w:rPr>
      </w:pPr>
    </w:p>
    <w:p w14:paraId="1537D72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附件：</w:t>
      </w:r>
      <w:r>
        <w:rPr>
          <w:rFonts w:hint="eastAsia" w:ascii="仿宋_GB2312" w:hAnsi="仿宋_GB2312" w:eastAsia="仿宋_GB2312" w:cs="仿宋_GB2312"/>
          <w:color w:val="auto"/>
          <w:sz w:val="32"/>
          <w:szCs w:val="32"/>
          <w:highlight w:val="none"/>
          <w:lang w:val="en-US" w:eastAsia="zh-CN"/>
        </w:rPr>
        <w:t>2025年度</w:t>
      </w:r>
      <w:r>
        <w:rPr>
          <w:rFonts w:hint="eastAsia" w:ascii="仿宋_GB2312" w:hAnsi="仿宋_GB2312" w:eastAsia="仿宋_GB2312" w:cs="仿宋_GB2312"/>
          <w:color w:val="auto"/>
          <w:sz w:val="32"/>
          <w:szCs w:val="32"/>
          <w:highlight w:val="none"/>
        </w:rPr>
        <w:t>项目支出绩效自评表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1-1至1-4）</w:t>
      </w:r>
    </w:p>
    <w:p w14:paraId="08932C0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highlight w:val="none"/>
          <w:lang w:eastAsia="zh-CN"/>
        </w:rPr>
      </w:pPr>
    </w:p>
    <w:p w14:paraId="75CAE0B9">
      <w:pPr>
        <w:keepNext w:val="0"/>
        <w:keepLines w:val="0"/>
        <w:pageBreakBefore w:val="0"/>
        <w:widowControl w:val="0"/>
        <w:kinsoku/>
        <w:wordWrap/>
        <w:overflowPunct/>
        <w:topLinePunct w:val="0"/>
        <w:autoSpaceDE/>
        <w:autoSpaceDN/>
        <w:bidi w:val="0"/>
        <w:adjustRightInd/>
        <w:snapToGrid/>
        <w:spacing w:afterLines="0" w:line="600" w:lineRule="exact"/>
        <w:jc w:val="both"/>
        <w:textAlignment w:val="auto"/>
        <w:rPr>
          <w:rFonts w:hint="eastAsia" w:ascii="仿宋_GB2312" w:hAnsi="仿宋_GB2312" w:eastAsia="仿宋_GB2312" w:cs="仿宋_GB2312"/>
          <w:sz w:val="32"/>
          <w:szCs w:val="32"/>
          <w:highlight w:val="none"/>
          <w:lang w:eastAsia="zh-CN"/>
        </w:rPr>
      </w:pPr>
    </w:p>
    <w:p w14:paraId="59086BF5">
      <w:pPr>
        <w:keepNext w:val="0"/>
        <w:keepLines w:val="0"/>
        <w:pageBreakBefore w:val="0"/>
        <w:widowControl w:val="0"/>
        <w:kinsoku/>
        <w:wordWrap/>
        <w:overflowPunct/>
        <w:topLinePunct w:val="0"/>
        <w:autoSpaceDE/>
        <w:autoSpaceDN/>
        <w:bidi w:val="0"/>
        <w:adjustRightInd/>
        <w:snapToGrid/>
        <w:spacing w:afterLines="0" w:line="600" w:lineRule="exact"/>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5EB18F7D">
      <w:pPr>
        <w:pStyle w:val="2"/>
        <w:rPr>
          <w:rFonts w:hint="eastAsia" w:ascii="仿宋_GB2312" w:hAnsi="仿宋_GB2312" w:eastAsia="仿宋_GB2312" w:cs="仿宋_GB2312"/>
          <w:sz w:val="32"/>
          <w:szCs w:val="32"/>
          <w:highlight w:val="none"/>
          <w:lang w:val="en-US" w:eastAsia="zh-CN"/>
        </w:rPr>
      </w:pPr>
    </w:p>
    <w:p w14:paraId="069D6AA1">
      <w:pPr>
        <w:pStyle w:val="3"/>
        <w:rPr>
          <w:rFonts w:hint="eastAsia"/>
          <w:lang w:val="en-US" w:eastAsia="zh-CN"/>
        </w:rPr>
      </w:pPr>
      <w:bookmarkStart w:id="0" w:name="_GoBack"/>
      <w:bookmarkEnd w:id="0"/>
    </w:p>
    <w:p w14:paraId="1AF5530B">
      <w:pPr>
        <w:pStyle w:val="2"/>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lang w:val="en-US" w:eastAsia="zh-CN"/>
        </w:rPr>
      </w:pPr>
    </w:p>
    <w:p w14:paraId="3555027D">
      <w:pPr>
        <w:pStyle w:val="3"/>
        <w:rPr>
          <w:rFonts w:hint="eastAsia" w:ascii="仿宋_GB2312" w:hAnsi="仿宋_GB2312" w:eastAsia="仿宋_GB2312" w:cs="仿宋_GB2312"/>
          <w:color w:val="auto"/>
          <w:sz w:val="32"/>
          <w:szCs w:val="32"/>
          <w:lang w:val="en-US" w:eastAsia="zh-CN"/>
        </w:rPr>
      </w:pPr>
    </w:p>
    <w:p w14:paraId="67589FF8">
      <w:pPr>
        <w:rPr>
          <w:rFonts w:hint="default"/>
          <w:lang w:val="en-US" w:eastAsia="zh-CN"/>
        </w:rPr>
      </w:pPr>
    </w:p>
    <w:p w14:paraId="3EAEC24A">
      <w:pPr>
        <w:widowControl/>
        <w:spacing w:line="600" w:lineRule="exact"/>
        <w:jc w:val="left"/>
        <w:rPr>
          <w:rFonts w:hint="eastAsia" w:ascii="黑体" w:hAnsi="黑体" w:eastAsia="黑体" w:cs="黑体"/>
          <w:sz w:val="32"/>
          <w:szCs w:val="32"/>
          <w:highlight w:val="none"/>
        </w:rPr>
      </w:pPr>
    </w:p>
    <w:p w14:paraId="75A7D916">
      <w:pPr>
        <w:widowControl/>
        <w:spacing w:line="600" w:lineRule="exact"/>
        <w:jc w:val="left"/>
        <w:rPr>
          <w:rFonts w:hint="eastAsia" w:ascii="黑体" w:hAnsi="黑体" w:eastAsia="黑体" w:cs="黑体"/>
          <w:sz w:val="32"/>
          <w:szCs w:val="32"/>
          <w:highlight w:val="none"/>
        </w:rPr>
      </w:pPr>
    </w:p>
    <w:p w14:paraId="579C0FA4">
      <w:pPr>
        <w:widowControl/>
        <w:spacing w:line="600" w:lineRule="exact"/>
        <w:jc w:val="left"/>
        <w:rPr>
          <w:rFonts w:hint="eastAsia" w:ascii="黑体" w:hAnsi="黑体" w:eastAsia="黑体" w:cs="黑体"/>
          <w:sz w:val="32"/>
          <w:szCs w:val="32"/>
          <w:highlight w:val="none"/>
        </w:rPr>
      </w:pPr>
    </w:p>
    <w:p w14:paraId="44CF8569">
      <w:pPr>
        <w:widowControl/>
        <w:spacing w:line="600" w:lineRule="exact"/>
        <w:jc w:val="left"/>
        <w:rPr>
          <w:rFonts w:hint="eastAsia" w:ascii="黑体" w:hAnsi="黑体" w:eastAsia="黑体" w:cs="黑体"/>
          <w:sz w:val="32"/>
          <w:szCs w:val="32"/>
          <w:highlight w:val="none"/>
        </w:rPr>
      </w:pPr>
    </w:p>
    <w:p w14:paraId="43D4158B">
      <w:pPr>
        <w:widowControl/>
        <w:spacing w:line="600" w:lineRule="exact"/>
        <w:jc w:val="left"/>
        <w:rPr>
          <w:rFonts w:hint="eastAsia" w:ascii="黑体" w:hAnsi="黑体" w:eastAsia="黑体" w:cs="黑体"/>
          <w:sz w:val="32"/>
          <w:szCs w:val="32"/>
          <w:highlight w:val="none"/>
        </w:rPr>
      </w:pPr>
    </w:p>
    <w:p w14:paraId="09DDCCE4">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1-1</w:t>
      </w:r>
    </w:p>
    <w:p w14:paraId="64A251BB">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default" w:ascii="方正小标宋简体" w:hAnsi="方正小标宋简体" w:eastAsia="方正小标宋简体" w:cs="方正小标宋简体"/>
          <w:color w:val="000000"/>
          <w:sz w:val="36"/>
          <w:szCs w:val="36"/>
          <w:highlight w:val="none"/>
          <w:lang w:val="e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3BBB6FFF">
      <w:pPr>
        <w:pStyle w:val="4"/>
        <w:rPr>
          <w:rFonts w:hint="eastAsia"/>
        </w:rPr>
      </w:pP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24"/>
        <w:gridCol w:w="1134"/>
        <w:gridCol w:w="1134"/>
        <w:gridCol w:w="726"/>
        <w:gridCol w:w="812"/>
        <w:gridCol w:w="1581"/>
      </w:tblGrid>
      <w:tr w14:paraId="6960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09BB3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65EC5D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noWrap w:val="0"/>
            <w:vAlign w:val="center"/>
          </w:tcPr>
          <w:p w14:paraId="4EA898F4">
            <w:pPr>
              <w:keepNext w:val="0"/>
              <w:keepLines w:val="0"/>
              <w:pageBreakBefore w:val="0"/>
              <w:widowControl/>
              <w:kinsoku/>
              <w:wordWrap/>
              <w:overflowPunct/>
              <w:topLinePunct w:val="0"/>
              <w:autoSpaceDE/>
              <w:autoSpaceDN/>
              <w:bidi w:val="0"/>
              <w:adjustRightInd/>
              <w:snapToGrid/>
              <w:spacing w:line="260" w:lineRule="exact"/>
              <w:ind w:firstLine="2600" w:firstLineChars="13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城管事务</w:t>
            </w:r>
            <w:r>
              <w:rPr>
                <w:rFonts w:hint="eastAsia" w:ascii="仿宋_GB2312" w:hAnsi="仿宋_GB2312" w:eastAsia="仿宋_GB2312" w:cs="仿宋_GB2312"/>
                <w:color w:val="000000"/>
                <w:sz w:val="20"/>
                <w:szCs w:val="20"/>
                <w:highlight w:val="none"/>
              </w:rPr>
              <w:t>经费</w:t>
            </w:r>
          </w:p>
        </w:tc>
      </w:tr>
      <w:tr w14:paraId="2731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0E4FB8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noWrap w:val="0"/>
            <w:vAlign w:val="center"/>
          </w:tcPr>
          <w:p w14:paraId="2D7CBDC0">
            <w:pPr>
              <w:keepNext w:val="0"/>
              <w:keepLines w:val="0"/>
              <w:pageBreakBefore w:val="0"/>
              <w:widowControl/>
              <w:tabs>
                <w:tab w:val="right" w:pos="4302"/>
              </w:tabs>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岳阳市城市管理和综合执法局</w:t>
            </w:r>
          </w:p>
        </w:tc>
        <w:tc>
          <w:tcPr>
            <w:tcW w:w="1134" w:type="dxa"/>
            <w:noWrap w:val="0"/>
            <w:vAlign w:val="center"/>
          </w:tcPr>
          <w:p w14:paraId="4D5792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实施单位</w:t>
            </w:r>
          </w:p>
        </w:tc>
        <w:tc>
          <w:tcPr>
            <w:tcW w:w="3119" w:type="dxa"/>
            <w:gridSpan w:val="3"/>
            <w:noWrap w:val="0"/>
            <w:vAlign w:val="center"/>
          </w:tcPr>
          <w:p w14:paraId="47AE86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岳阳市停车管理服务中心</w:t>
            </w:r>
          </w:p>
        </w:tc>
      </w:tr>
      <w:tr w14:paraId="18DA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63ADFD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noWrap w:val="0"/>
            <w:vAlign w:val="center"/>
          </w:tcPr>
          <w:p w14:paraId="321FCA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noWrap w:val="0"/>
            <w:vAlign w:val="center"/>
          </w:tcPr>
          <w:p w14:paraId="10B6CC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2A43AA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noWrap w:val="0"/>
            <w:vAlign w:val="center"/>
          </w:tcPr>
          <w:p w14:paraId="2981A5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CB2F8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noWrap w:val="0"/>
            <w:vAlign w:val="center"/>
          </w:tcPr>
          <w:p w14:paraId="21D88C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71529F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26" w:type="dxa"/>
            <w:noWrap w:val="0"/>
            <w:vAlign w:val="center"/>
          </w:tcPr>
          <w:p w14:paraId="3873E9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12" w:type="dxa"/>
            <w:noWrap w:val="0"/>
            <w:vAlign w:val="center"/>
          </w:tcPr>
          <w:p w14:paraId="5481A5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581" w:type="dxa"/>
            <w:noWrap w:val="0"/>
            <w:vAlign w:val="center"/>
          </w:tcPr>
          <w:p w14:paraId="029A3B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0366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080" w:type="dxa"/>
            <w:vMerge w:val="continue"/>
            <w:noWrap w:val="0"/>
            <w:vAlign w:val="center"/>
          </w:tcPr>
          <w:p w14:paraId="2C374B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6121EE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noWrap w:val="0"/>
            <w:vAlign w:val="center"/>
          </w:tcPr>
          <w:p w14:paraId="4602D5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50.00</w:t>
            </w:r>
          </w:p>
        </w:tc>
        <w:tc>
          <w:tcPr>
            <w:tcW w:w="1134" w:type="dxa"/>
            <w:noWrap w:val="0"/>
            <w:vAlign w:val="center"/>
          </w:tcPr>
          <w:p w14:paraId="738D6B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50.00</w:t>
            </w:r>
          </w:p>
        </w:tc>
        <w:tc>
          <w:tcPr>
            <w:tcW w:w="1134" w:type="dxa"/>
            <w:noWrap w:val="0"/>
            <w:vAlign w:val="center"/>
          </w:tcPr>
          <w:p w14:paraId="052C20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50.00</w:t>
            </w:r>
          </w:p>
        </w:tc>
        <w:tc>
          <w:tcPr>
            <w:tcW w:w="726" w:type="dxa"/>
            <w:noWrap w:val="0"/>
            <w:vAlign w:val="center"/>
          </w:tcPr>
          <w:p w14:paraId="5F03C9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12" w:type="dxa"/>
            <w:noWrap w:val="0"/>
            <w:vAlign w:val="center"/>
          </w:tcPr>
          <w:p w14:paraId="3F30CB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100%</w:t>
            </w:r>
          </w:p>
        </w:tc>
        <w:tc>
          <w:tcPr>
            <w:tcW w:w="1581" w:type="dxa"/>
            <w:noWrap w:val="0"/>
            <w:vAlign w:val="center"/>
          </w:tcPr>
          <w:p w14:paraId="750327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w:t>
            </w:r>
          </w:p>
        </w:tc>
      </w:tr>
      <w:tr w14:paraId="3D8F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080" w:type="dxa"/>
            <w:vMerge w:val="continue"/>
            <w:noWrap w:val="0"/>
            <w:vAlign w:val="center"/>
          </w:tcPr>
          <w:p w14:paraId="6AF7E2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2B2028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noWrap w:val="0"/>
            <w:vAlign w:val="center"/>
          </w:tcPr>
          <w:p w14:paraId="282518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50.00</w:t>
            </w:r>
          </w:p>
        </w:tc>
        <w:tc>
          <w:tcPr>
            <w:tcW w:w="1134" w:type="dxa"/>
            <w:noWrap w:val="0"/>
            <w:vAlign w:val="center"/>
          </w:tcPr>
          <w:p w14:paraId="59621E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50.00</w:t>
            </w:r>
          </w:p>
        </w:tc>
        <w:tc>
          <w:tcPr>
            <w:tcW w:w="1134" w:type="dxa"/>
            <w:noWrap w:val="0"/>
            <w:vAlign w:val="center"/>
          </w:tcPr>
          <w:p w14:paraId="091EAE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50.00</w:t>
            </w:r>
          </w:p>
        </w:tc>
        <w:tc>
          <w:tcPr>
            <w:tcW w:w="726" w:type="dxa"/>
            <w:noWrap w:val="0"/>
            <w:vAlign w:val="center"/>
          </w:tcPr>
          <w:p w14:paraId="5988DE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12" w:type="dxa"/>
            <w:noWrap w:val="0"/>
            <w:vAlign w:val="center"/>
          </w:tcPr>
          <w:p w14:paraId="18F852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581" w:type="dxa"/>
            <w:noWrap w:val="0"/>
            <w:vAlign w:val="center"/>
          </w:tcPr>
          <w:p w14:paraId="4F9B24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3DAF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080" w:type="dxa"/>
            <w:vMerge w:val="continue"/>
            <w:noWrap w:val="0"/>
            <w:vAlign w:val="center"/>
          </w:tcPr>
          <w:p w14:paraId="7EFC60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21005552">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noWrap w:val="0"/>
            <w:vAlign w:val="center"/>
          </w:tcPr>
          <w:p w14:paraId="51B4EA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p>
        </w:tc>
        <w:tc>
          <w:tcPr>
            <w:tcW w:w="1134" w:type="dxa"/>
            <w:noWrap w:val="0"/>
            <w:vAlign w:val="center"/>
          </w:tcPr>
          <w:p w14:paraId="1C0FAA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p>
        </w:tc>
        <w:tc>
          <w:tcPr>
            <w:tcW w:w="1134" w:type="dxa"/>
            <w:noWrap w:val="0"/>
            <w:vAlign w:val="center"/>
          </w:tcPr>
          <w:p w14:paraId="7F3424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p>
        </w:tc>
        <w:tc>
          <w:tcPr>
            <w:tcW w:w="726" w:type="dxa"/>
            <w:noWrap w:val="0"/>
            <w:vAlign w:val="center"/>
          </w:tcPr>
          <w:p w14:paraId="76E6EF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12" w:type="dxa"/>
            <w:noWrap w:val="0"/>
            <w:vAlign w:val="center"/>
          </w:tcPr>
          <w:p w14:paraId="4F7523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581" w:type="dxa"/>
            <w:noWrap w:val="0"/>
            <w:vAlign w:val="center"/>
          </w:tcPr>
          <w:p w14:paraId="41BDFD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5365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080" w:type="dxa"/>
            <w:vMerge w:val="continue"/>
            <w:noWrap w:val="0"/>
            <w:vAlign w:val="center"/>
          </w:tcPr>
          <w:p w14:paraId="53C26E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6011FA19">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noWrap w:val="0"/>
            <w:vAlign w:val="center"/>
          </w:tcPr>
          <w:p w14:paraId="2B0663A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6813E5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679814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26" w:type="dxa"/>
            <w:noWrap w:val="0"/>
            <w:vAlign w:val="center"/>
          </w:tcPr>
          <w:p w14:paraId="0ECA8B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12" w:type="dxa"/>
            <w:noWrap w:val="0"/>
            <w:vAlign w:val="center"/>
          </w:tcPr>
          <w:p w14:paraId="67E7B0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81" w:type="dxa"/>
            <w:noWrap w:val="0"/>
            <w:vAlign w:val="center"/>
          </w:tcPr>
          <w:p w14:paraId="27C5F4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806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restart"/>
            <w:noWrap w:val="0"/>
            <w:vAlign w:val="center"/>
          </w:tcPr>
          <w:p w14:paraId="63EC22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noWrap w:val="0"/>
            <w:vAlign w:val="center"/>
          </w:tcPr>
          <w:p w14:paraId="32F7C0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noWrap w:val="0"/>
            <w:vAlign w:val="center"/>
          </w:tcPr>
          <w:p w14:paraId="346769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5B6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3B564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noWrap w:val="0"/>
            <w:vAlign w:val="center"/>
          </w:tcPr>
          <w:p w14:paraId="55066643">
            <w:pPr>
              <w:keepNext w:val="0"/>
              <w:keepLines w:val="0"/>
              <w:pageBreakBefore w:val="0"/>
              <w:widowControl/>
              <w:numPr>
                <w:ilvl w:val="0"/>
                <w:numId w:val="0"/>
              </w:numPr>
              <w:kinsoku/>
              <w:wordWrap/>
              <w:overflowPunct/>
              <w:topLinePunct w:val="0"/>
              <w:autoSpaceDE/>
              <w:autoSpaceDN/>
              <w:bidi w:val="0"/>
              <w:adjustRightInd/>
              <w:snapToGrid/>
              <w:spacing w:line="260" w:lineRule="exact"/>
              <w:ind w:leftChars="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1、加大停车管理力度，中心城区人行道违停车辆信息录入及时，改善中心城区人行道停车秩序，对区县按月开展停车管理考评；</w:t>
            </w:r>
          </w:p>
          <w:p w14:paraId="6E675AC8">
            <w:pPr>
              <w:keepNext w:val="0"/>
              <w:keepLines w:val="0"/>
              <w:pageBreakBefore w:val="0"/>
              <w:widowControl/>
              <w:numPr>
                <w:ilvl w:val="0"/>
                <w:numId w:val="0"/>
              </w:numPr>
              <w:kinsoku/>
              <w:wordWrap/>
              <w:overflowPunct/>
              <w:topLinePunct w:val="0"/>
              <w:autoSpaceDE/>
              <w:autoSpaceDN/>
              <w:bidi w:val="0"/>
              <w:adjustRightInd/>
              <w:snapToGrid/>
              <w:spacing w:line="260" w:lineRule="exact"/>
              <w:ind w:leftChars="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2、开展僵尸车、广告车集中整治，及时清理中心城区人行道僵尸车、广告车，提升城市形象；</w:t>
            </w:r>
          </w:p>
          <w:p w14:paraId="133BA569">
            <w:pPr>
              <w:keepNext w:val="0"/>
              <w:keepLines w:val="0"/>
              <w:pageBreakBefore w:val="0"/>
              <w:widowControl/>
              <w:numPr>
                <w:ilvl w:val="0"/>
                <w:numId w:val="0"/>
              </w:numPr>
              <w:kinsoku/>
              <w:wordWrap/>
              <w:overflowPunct/>
              <w:topLinePunct w:val="0"/>
              <w:autoSpaceDE/>
              <w:autoSpaceDN/>
              <w:bidi w:val="0"/>
              <w:adjustRightInd/>
              <w:snapToGrid/>
              <w:spacing w:line="260" w:lineRule="exact"/>
              <w:ind w:leftChars="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3、挖掘中心城区停车资源，督促市直临街机关事业单位停车场对外开放，并加强闲置土地建设的临时停车场管理。</w:t>
            </w:r>
          </w:p>
        </w:tc>
        <w:tc>
          <w:tcPr>
            <w:tcW w:w="4253" w:type="dxa"/>
            <w:gridSpan w:val="4"/>
            <w:noWrap w:val="0"/>
            <w:vAlign w:val="center"/>
          </w:tcPr>
          <w:p w14:paraId="695DA830">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1、持续加大了停车</w:t>
            </w:r>
            <w:r>
              <w:rPr>
                <w:rFonts w:hint="eastAsia" w:ascii="仿宋_GB2312" w:hAnsi="仿宋_GB2312" w:eastAsia="仿宋_GB2312" w:cs="仿宋_GB2312"/>
                <w:color w:val="000000"/>
                <w:sz w:val="20"/>
                <w:szCs w:val="20"/>
                <w:highlight w:val="none"/>
              </w:rPr>
              <w:t>管理力度，人行道违停车辆信息录入及时</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改善</w:t>
            </w:r>
            <w:r>
              <w:rPr>
                <w:rFonts w:hint="eastAsia" w:ascii="仿宋_GB2312" w:hAnsi="仿宋_GB2312" w:eastAsia="仿宋_GB2312" w:cs="仿宋_GB2312"/>
                <w:color w:val="000000"/>
                <w:sz w:val="20"/>
                <w:szCs w:val="20"/>
                <w:highlight w:val="none"/>
                <w:lang w:val="en-US" w:eastAsia="zh-CN"/>
              </w:rPr>
              <w:t>了</w:t>
            </w:r>
            <w:r>
              <w:rPr>
                <w:rFonts w:hint="eastAsia" w:ascii="仿宋_GB2312" w:hAnsi="仿宋_GB2312" w:eastAsia="仿宋_GB2312" w:cs="仿宋_GB2312"/>
                <w:color w:val="000000"/>
                <w:sz w:val="20"/>
                <w:szCs w:val="20"/>
                <w:highlight w:val="none"/>
              </w:rPr>
              <w:t>城区人行道停车秩序</w:t>
            </w:r>
            <w:r>
              <w:rPr>
                <w:rFonts w:hint="eastAsia" w:ascii="仿宋_GB2312" w:hAnsi="仿宋_GB2312" w:eastAsia="仿宋_GB2312" w:cs="仿宋_GB2312"/>
                <w:color w:val="000000"/>
                <w:sz w:val="20"/>
                <w:szCs w:val="20"/>
                <w:highlight w:val="none"/>
                <w:lang w:eastAsia="zh-CN"/>
              </w:rPr>
              <w:t>，考评工作按计划实施；</w:t>
            </w:r>
          </w:p>
          <w:p w14:paraId="2C567441">
            <w:pPr>
              <w:keepNext w:val="0"/>
              <w:keepLines w:val="0"/>
              <w:pageBreakBefore w:val="0"/>
              <w:widowControl/>
              <w:numPr>
                <w:ilvl w:val="0"/>
                <w:numId w:val="0"/>
              </w:numPr>
              <w:kinsoku/>
              <w:wordWrap/>
              <w:overflowPunct/>
              <w:topLinePunct w:val="0"/>
              <w:autoSpaceDE/>
              <w:autoSpaceDN/>
              <w:bidi w:val="0"/>
              <w:adjustRightInd/>
              <w:snapToGrid/>
              <w:spacing w:line="260" w:lineRule="exact"/>
              <w:ind w:leftChars="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及时清理</w:t>
            </w:r>
            <w:r>
              <w:rPr>
                <w:rFonts w:hint="eastAsia" w:ascii="仿宋_GB2312" w:hAnsi="仿宋_GB2312" w:eastAsia="仿宋_GB2312" w:cs="仿宋_GB2312"/>
                <w:color w:val="000000"/>
                <w:sz w:val="20"/>
                <w:szCs w:val="20"/>
                <w:highlight w:val="none"/>
                <w:lang w:val="en-US" w:eastAsia="zh-CN"/>
              </w:rPr>
              <w:t>了</w:t>
            </w:r>
            <w:r>
              <w:rPr>
                <w:rFonts w:hint="eastAsia" w:ascii="仿宋_GB2312" w:hAnsi="仿宋_GB2312" w:eastAsia="仿宋_GB2312" w:cs="仿宋_GB2312"/>
                <w:color w:val="000000"/>
                <w:sz w:val="20"/>
                <w:szCs w:val="20"/>
                <w:highlight w:val="none"/>
              </w:rPr>
              <w:t>城区人行道僵车、广告车</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城市形象</w:t>
            </w:r>
            <w:r>
              <w:rPr>
                <w:rFonts w:hint="eastAsia" w:ascii="仿宋_GB2312" w:hAnsi="仿宋_GB2312" w:eastAsia="仿宋_GB2312" w:cs="仿宋_GB2312"/>
                <w:color w:val="000000"/>
                <w:sz w:val="20"/>
                <w:szCs w:val="20"/>
                <w:highlight w:val="none"/>
                <w:lang w:val="en-US" w:eastAsia="zh-CN"/>
              </w:rPr>
              <w:t>全面提升；</w:t>
            </w:r>
          </w:p>
          <w:p w14:paraId="5BE6F6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3、市直临街机关事业单位停车场</w:t>
            </w:r>
            <w:r>
              <w:rPr>
                <w:rFonts w:hint="eastAsia" w:ascii="仿宋_GB2312" w:hAnsi="仿宋_GB2312" w:eastAsia="仿宋_GB2312" w:cs="仿宋_GB2312"/>
                <w:color w:val="000000"/>
                <w:sz w:val="20"/>
                <w:szCs w:val="20"/>
                <w:highlight w:val="none"/>
                <w:lang w:eastAsia="zh-CN"/>
              </w:rPr>
              <w:t>正常</w:t>
            </w:r>
            <w:r>
              <w:rPr>
                <w:rFonts w:hint="eastAsia" w:ascii="仿宋_GB2312" w:hAnsi="仿宋_GB2312" w:eastAsia="仿宋_GB2312" w:cs="仿宋_GB2312"/>
                <w:color w:val="000000"/>
                <w:sz w:val="20"/>
                <w:szCs w:val="20"/>
                <w:highlight w:val="none"/>
              </w:rPr>
              <w:t>对外开放，</w:t>
            </w:r>
            <w:r>
              <w:rPr>
                <w:rFonts w:hint="eastAsia" w:ascii="仿宋_GB2312" w:hAnsi="仿宋_GB2312" w:eastAsia="仿宋_GB2312" w:cs="仿宋_GB2312"/>
                <w:color w:val="000000"/>
                <w:sz w:val="20"/>
                <w:szCs w:val="20"/>
                <w:highlight w:val="none"/>
                <w:lang w:eastAsia="zh-CN"/>
              </w:rPr>
              <w:t>大力</w:t>
            </w:r>
            <w:r>
              <w:rPr>
                <w:rFonts w:hint="eastAsia" w:ascii="仿宋_GB2312" w:hAnsi="仿宋_GB2312" w:eastAsia="仿宋_GB2312" w:cs="仿宋_GB2312"/>
                <w:color w:val="000000"/>
                <w:sz w:val="20"/>
                <w:szCs w:val="20"/>
                <w:highlight w:val="none"/>
              </w:rPr>
              <w:t>挖掘</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中心城区停车资源</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并加强</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闲置土地建设的临时停车场管理。</w:t>
            </w:r>
          </w:p>
        </w:tc>
      </w:tr>
      <w:tr w14:paraId="5C69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5F0686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7C8815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47CF0E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08C5EA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noWrap w:val="0"/>
            <w:vAlign w:val="center"/>
          </w:tcPr>
          <w:p w14:paraId="1C1E78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noWrap w:val="0"/>
            <w:vAlign w:val="center"/>
          </w:tcPr>
          <w:p w14:paraId="5C1C7B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noWrap w:val="0"/>
            <w:vAlign w:val="center"/>
          </w:tcPr>
          <w:p w14:paraId="2449B2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noWrap w:val="0"/>
            <w:vAlign w:val="center"/>
          </w:tcPr>
          <w:p w14:paraId="693A02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5CA9EF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noWrap w:val="0"/>
            <w:vAlign w:val="center"/>
          </w:tcPr>
          <w:p w14:paraId="3A20EC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10C65B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26" w:type="dxa"/>
            <w:noWrap w:val="0"/>
            <w:vAlign w:val="center"/>
          </w:tcPr>
          <w:p w14:paraId="40788B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12" w:type="dxa"/>
            <w:noWrap w:val="0"/>
            <w:vAlign w:val="center"/>
          </w:tcPr>
          <w:p w14:paraId="240535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581" w:type="dxa"/>
            <w:noWrap w:val="0"/>
            <w:vAlign w:val="center"/>
          </w:tcPr>
          <w:p w14:paraId="406020E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960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D72BD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46D68A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95089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40B0B9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noWrap w:val="0"/>
            <w:vAlign w:val="center"/>
          </w:tcPr>
          <w:p w14:paraId="288141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noWrap w:val="0"/>
            <w:vAlign w:val="center"/>
          </w:tcPr>
          <w:p w14:paraId="524007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违停温馨提示短信发送</w:t>
            </w:r>
          </w:p>
        </w:tc>
        <w:tc>
          <w:tcPr>
            <w:tcW w:w="1134" w:type="dxa"/>
            <w:noWrap w:val="0"/>
            <w:vAlign w:val="center"/>
          </w:tcPr>
          <w:p w14:paraId="4FBC8C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人行道车辆违停温馨提示短信发送</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万台次</w:t>
            </w:r>
          </w:p>
        </w:tc>
        <w:tc>
          <w:tcPr>
            <w:tcW w:w="1134" w:type="dxa"/>
            <w:noWrap w:val="0"/>
            <w:vAlign w:val="center"/>
          </w:tcPr>
          <w:p w14:paraId="403404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3.63</w:t>
            </w:r>
            <w:r>
              <w:rPr>
                <w:rFonts w:hint="eastAsia" w:ascii="仿宋_GB2312" w:hAnsi="仿宋_GB2312" w:eastAsia="仿宋_GB2312" w:cs="仿宋_GB2312"/>
                <w:color w:val="000000"/>
                <w:sz w:val="20"/>
                <w:szCs w:val="20"/>
                <w:highlight w:val="none"/>
              </w:rPr>
              <w:t>万台次</w:t>
            </w:r>
          </w:p>
        </w:tc>
        <w:tc>
          <w:tcPr>
            <w:tcW w:w="726" w:type="dxa"/>
            <w:noWrap w:val="0"/>
            <w:vAlign w:val="center"/>
          </w:tcPr>
          <w:p w14:paraId="1239F8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0A37C1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581" w:type="dxa"/>
            <w:noWrap w:val="0"/>
            <w:vAlign w:val="center"/>
          </w:tcPr>
          <w:p w14:paraId="7DEFBC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eastAsia="zh-CN"/>
              </w:rPr>
              <w:t>因车辆管理信息平台升级，有一段时间未发送相关信息</w:t>
            </w:r>
          </w:p>
        </w:tc>
      </w:tr>
      <w:tr w14:paraId="204F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vMerge w:val="continue"/>
            <w:noWrap w:val="0"/>
            <w:vAlign w:val="center"/>
          </w:tcPr>
          <w:p w14:paraId="214A9B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2F670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CCABC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4538D2A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督促市直临街机关事业单位停车场对外开放</w:t>
            </w:r>
          </w:p>
        </w:tc>
        <w:tc>
          <w:tcPr>
            <w:tcW w:w="1134" w:type="dxa"/>
            <w:noWrap w:val="0"/>
            <w:vAlign w:val="center"/>
          </w:tcPr>
          <w:p w14:paraId="4CA1FC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48家市直临街单位停车场对外开放</w:t>
            </w:r>
          </w:p>
        </w:tc>
        <w:tc>
          <w:tcPr>
            <w:tcW w:w="1134" w:type="dxa"/>
            <w:noWrap w:val="0"/>
            <w:vAlign w:val="center"/>
          </w:tcPr>
          <w:p w14:paraId="1E8886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48家市直临街单位停车场正常对外开放</w:t>
            </w:r>
          </w:p>
        </w:tc>
        <w:tc>
          <w:tcPr>
            <w:tcW w:w="726" w:type="dxa"/>
            <w:noWrap w:val="0"/>
            <w:vAlign w:val="center"/>
          </w:tcPr>
          <w:p w14:paraId="413D73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2C0D8C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2844C3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46CD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B3155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4A02D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77A0F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10D8085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停车管理考评</w:t>
            </w:r>
          </w:p>
        </w:tc>
        <w:tc>
          <w:tcPr>
            <w:tcW w:w="1134" w:type="dxa"/>
            <w:noWrap w:val="0"/>
            <w:vAlign w:val="center"/>
          </w:tcPr>
          <w:p w14:paraId="2B8538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rPr>
            </w:pPr>
            <w:r>
              <w:rPr>
                <w:rFonts w:hint="eastAsia" w:ascii="仿宋_GB2312" w:hAnsi="仿宋_GB2312" w:eastAsia="仿宋_GB2312" w:cs="仿宋_GB2312"/>
                <w:i w:val="0"/>
                <w:color w:val="000000"/>
                <w:kern w:val="0"/>
                <w:sz w:val="20"/>
                <w:szCs w:val="20"/>
                <w:u w:val="none"/>
                <w:lang w:val="en-US" w:eastAsia="zh-CN" w:bidi="ar"/>
              </w:rPr>
              <w:t>24次</w:t>
            </w:r>
          </w:p>
        </w:tc>
        <w:tc>
          <w:tcPr>
            <w:tcW w:w="1134" w:type="dxa"/>
            <w:noWrap w:val="0"/>
            <w:vAlign w:val="center"/>
          </w:tcPr>
          <w:p w14:paraId="515616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24次</w:t>
            </w:r>
          </w:p>
        </w:tc>
        <w:tc>
          <w:tcPr>
            <w:tcW w:w="726" w:type="dxa"/>
            <w:noWrap w:val="0"/>
            <w:vAlign w:val="center"/>
          </w:tcPr>
          <w:p w14:paraId="30FBEC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6C432D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7C699E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615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080" w:type="dxa"/>
            <w:vMerge w:val="continue"/>
            <w:noWrap w:val="0"/>
            <w:vAlign w:val="center"/>
          </w:tcPr>
          <w:p w14:paraId="4E7FEB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E85D39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80DF3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2FF8CA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僵尸车广告车整治</w:t>
            </w:r>
          </w:p>
        </w:tc>
        <w:tc>
          <w:tcPr>
            <w:tcW w:w="1134" w:type="dxa"/>
            <w:noWrap w:val="0"/>
            <w:vAlign w:val="center"/>
          </w:tcPr>
          <w:p w14:paraId="6275EF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集中整治2次</w:t>
            </w:r>
          </w:p>
        </w:tc>
        <w:tc>
          <w:tcPr>
            <w:tcW w:w="1134" w:type="dxa"/>
            <w:noWrap w:val="0"/>
            <w:vAlign w:val="center"/>
          </w:tcPr>
          <w:p w14:paraId="6A1807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实际进行2次</w:t>
            </w:r>
          </w:p>
        </w:tc>
        <w:tc>
          <w:tcPr>
            <w:tcW w:w="726" w:type="dxa"/>
            <w:noWrap w:val="0"/>
            <w:vAlign w:val="center"/>
          </w:tcPr>
          <w:p w14:paraId="2FED59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4F5C7C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201B4AA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765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0" w:type="dxa"/>
            <w:vMerge w:val="continue"/>
            <w:noWrap w:val="0"/>
            <w:vAlign w:val="center"/>
          </w:tcPr>
          <w:p w14:paraId="22E874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465F9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46DA64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质量指标</w:t>
            </w:r>
          </w:p>
        </w:tc>
        <w:tc>
          <w:tcPr>
            <w:tcW w:w="1224" w:type="dxa"/>
            <w:noWrap w:val="0"/>
            <w:vAlign w:val="center"/>
          </w:tcPr>
          <w:p w14:paraId="235EC40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合理设置网点</w:t>
            </w:r>
          </w:p>
        </w:tc>
        <w:tc>
          <w:tcPr>
            <w:tcW w:w="1134" w:type="dxa"/>
            <w:noWrap w:val="0"/>
            <w:vAlign w:val="center"/>
          </w:tcPr>
          <w:p w14:paraId="24B2A4E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i w:val="0"/>
                <w:color w:val="000000"/>
                <w:kern w:val="0"/>
                <w:sz w:val="20"/>
                <w:szCs w:val="20"/>
                <w:u w:val="none"/>
                <w:lang w:val="en-US" w:eastAsia="zh-CN" w:bidi="ar"/>
              </w:rPr>
              <w:t>合理规划共享电动车网点</w:t>
            </w:r>
          </w:p>
        </w:tc>
        <w:tc>
          <w:tcPr>
            <w:tcW w:w="1134" w:type="dxa"/>
            <w:noWrap w:val="0"/>
            <w:vAlign w:val="center"/>
          </w:tcPr>
          <w:p w14:paraId="17A1D7E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共享电动车网点设置合理</w:t>
            </w:r>
          </w:p>
        </w:tc>
        <w:tc>
          <w:tcPr>
            <w:tcW w:w="726" w:type="dxa"/>
            <w:noWrap w:val="0"/>
            <w:vAlign w:val="center"/>
          </w:tcPr>
          <w:p w14:paraId="106664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4C6CA3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101284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E60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0" w:type="dxa"/>
            <w:vMerge w:val="continue"/>
            <w:noWrap w:val="0"/>
            <w:vAlign w:val="center"/>
          </w:tcPr>
          <w:p w14:paraId="5CFD36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DD400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DD8E5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4D1D24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文明规范化管理</w:t>
            </w:r>
          </w:p>
        </w:tc>
        <w:tc>
          <w:tcPr>
            <w:tcW w:w="1134" w:type="dxa"/>
            <w:noWrap w:val="0"/>
            <w:vAlign w:val="center"/>
          </w:tcPr>
          <w:p w14:paraId="4C0E3C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无违规投诉</w:t>
            </w:r>
          </w:p>
        </w:tc>
        <w:tc>
          <w:tcPr>
            <w:tcW w:w="1134" w:type="dxa"/>
            <w:noWrap w:val="0"/>
            <w:vAlign w:val="center"/>
          </w:tcPr>
          <w:p w14:paraId="055A793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无违规投诉</w:t>
            </w:r>
          </w:p>
        </w:tc>
        <w:tc>
          <w:tcPr>
            <w:tcW w:w="726" w:type="dxa"/>
            <w:noWrap w:val="0"/>
            <w:vAlign w:val="center"/>
          </w:tcPr>
          <w:p w14:paraId="47244C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5ED6B0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1BF003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6A2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080" w:type="dxa"/>
            <w:vMerge w:val="continue"/>
            <w:noWrap w:val="0"/>
            <w:vAlign w:val="center"/>
          </w:tcPr>
          <w:p w14:paraId="217FCF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8EAB5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8BF87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55FE163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僵尸车、广告车违规停靠得到有效处置</w:t>
            </w:r>
          </w:p>
        </w:tc>
        <w:tc>
          <w:tcPr>
            <w:tcW w:w="1134" w:type="dxa"/>
            <w:noWrap w:val="0"/>
            <w:vAlign w:val="center"/>
          </w:tcPr>
          <w:p w14:paraId="54B740F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人行道无僵车、广告车乱停乱靠的现象</w:t>
            </w:r>
          </w:p>
        </w:tc>
        <w:tc>
          <w:tcPr>
            <w:tcW w:w="1134" w:type="dxa"/>
            <w:noWrap w:val="0"/>
            <w:vAlign w:val="center"/>
          </w:tcPr>
          <w:p w14:paraId="3A81A1F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有效处置了人行道僵车、广告车和乱停乱靠的车辆</w:t>
            </w:r>
          </w:p>
        </w:tc>
        <w:tc>
          <w:tcPr>
            <w:tcW w:w="726" w:type="dxa"/>
            <w:noWrap w:val="0"/>
            <w:vAlign w:val="center"/>
          </w:tcPr>
          <w:p w14:paraId="4FC35E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1FE01A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2F116A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CAB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1EEC3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A3A99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5DCB8A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noWrap w:val="0"/>
            <w:vAlign w:val="center"/>
          </w:tcPr>
          <w:p w14:paraId="4AFE5FF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投诉处置时效</w:t>
            </w:r>
          </w:p>
        </w:tc>
        <w:tc>
          <w:tcPr>
            <w:tcW w:w="1134" w:type="dxa"/>
            <w:noWrap w:val="0"/>
            <w:vAlign w:val="center"/>
          </w:tcPr>
          <w:p w14:paraId="5A86508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投诉在72小时内处置回复</w:t>
            </w:r>
          </w:p>
        </w:tc>
        <w:tc>
          <w:tcPr>
            <w:tcW w:w="1134" w:type="dxa"/>
            <w:noWrap w:val="0"/>
            <w:vAlign w:val="center"/>
          </w:tcPr>
          <w:p w14:paraId="457C342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投诉均在72小时内处置回复</w:t>
            </w:r>
          </w:p>
        </w:tc>
        <w:tc>
          <w:tcPr>
            <w:tcW w:w="726" w:type="dxa"/>
            <w:noWrap w:val="0"/>
            <w:vAlign w:val="center"/>
          </w:tcPr>
          <w:p w14:paraId="07FF0E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2F8BE5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4C8257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70E2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ED792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1B5DB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26DE6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0845E32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按年度工作计划实施</w:t>
            </w:r>
          </w:p>
        </w:tc>
        <w:tc>
          <w:tcPr>
            <w:tcW w:w="1134" w:type="dxa"/>
            <w:noWrap w:val="0"/>
            <w:vAlign w:val="center"/>
          </w:tcPr>
          <w:p w14:paraId="1F850A8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按年度计划如期完成</w:t>
            </w:r>
          </w:p>
        </w:tc>
        <w:tc>
          <w:tcPr>
            <w:tcW w:w="1134" w:type="dxa"/>
            <w:noWrap w:val="0"/>
            <w:vAlign w:val="center"/>
          </w:tcPr>
          <w:p w14:paraId="3BA97D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均按年度工作计划如期完成</w:t>
            </w:r>
          </w:p>
        </w:tc>
        <w:tc>
          <w:tcPr>
            <w:tcW w:w="726" w:type="dxa"/>
            <w:noWrap w:val="0"/>
            <w:vAlign w:val="center"/>
          </w:tcPr>
          <w:p w14:paraId="378C1F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7E761A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67A539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65A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6F1C6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C268F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45009A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noWrap w:val="0"/>
            <w:vAlign w:val="center"/>
          </w:tcPr>
          <w:p w14:paraId="721F21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合理使用工作经费预算</w:t>
            </w:r>
          </w:p>
        </w:tc>
        <w:tc>
          <w:tcPr>
            <w:tcW w:w="1134" w:type="dxa"/>
            <w:noWrap w:val="0"/>
            <w:vAlign w:val="center"/>
          </w:tcPr>
          <w:p w14:paraId="0C2501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50万元</w:t>
            </w:r>
          </w:p>
        </w:tc>
        <w:tc>
          <w:tcPr>
            <w:tcW w:w="1134" w:type="dxa"/>
            <w:noWrap w:val="0"/>
            <w:vAlign w:val="center"/>
          </w:tcPr>
          <w:p w14:paraId="1CFC97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未超预算</w:t>
            </w:r>
          </w:p>
        </w:tc>
        <w:tc>
          <w:tcPr>
            <w:tcW w:w="726" w:type="dxa"/>
            <w:noWrap w:val="0"/>
            <w:vAlign w:val="center"/>
          </w:tcPr>
          <w:p w14:paraId="072AE5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2" w:type="dxa"/>
            <w:noWrap w:val="0"/>
            <w:vAlign w:val="center"/>
          </w:tcPr>
          <w:p w14:paraId="14B84F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81" w:type="dxa"/>
            <w:noWrap w:val="0"/>
            <w:vAlign w:val="center"/>
          </w:tcPr>
          <w:p w14:paraId="5294AD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BB6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0FB2E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2B000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D3435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35FEEE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是否对自然生态环境造成负面影响</w:t>
            </w:r>
          </w:p>
        </w:tc>
        <w:tc>
          <w:tcPr>
            <w:tcW w:w="1134" w:type="dxa"/>
            <w:noWrap w:val="0"/>
            <w:vAlign w:val="center"/>
          </w:tcPr>
          <w:p w14:paraId="2B8611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noWrap w:val="0"/>
            <w:vAlign w:val="center"/>
          </w:tcPr>
          <w:p w14:paraId="4822D3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726" w:type="dxa"/>
            <w:noWrap w:val="0"/>
            <w:vAlign w:val="center"/>
          </w:tcPr>
          <w:p w14:paraId="0F1E90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0E8E41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78D096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C67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E9EE9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6B61B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9C1F8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3B0C70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rPr>
              <w:t>是否对社会发展造成负面影响</w:t>
            </w:r>
          </w:p>
        </w:tc>
        <w:tc>
          <w:tcPr>
            <w:tcW w:w="1134" w:type="dxa"/>
            <w:noWrap w:val="0"/>
            <w:vAlign w:val="center"/>
          </w:tcPr>
          <w:p w14:paraId="71A8C6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noWrap w:val="0"/>
            <w:vAlign w:val="center"/>
          </w:tcPr>
          <w:p w14:paraId="748DF6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726" w:type="dxa"/>
            <w:noWrap w:val="0"/>
            <w:vAlign w:val="center"/>
          </w:tcPr>
          <w:p w14:paraId="17FC40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2" w:type="dxa"/>
            <w:noWrap w:val="0"/>
            <w:vAlign w:val="center"/>
          </w:tcPr>
          <w:p w14:paraId="1C05FE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31149D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F6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2C0CB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4C892F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30AD7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758DA1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15B3C0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noWrap w:val="0"/>
            <w:vAlign w:val="center"/>
          </w:tcPr>
          <w:p w14:paraId="7B7FBF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71B42E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1A438D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产生一定的罚没收入</w:t>
            </w:r>
          </w:p>
        </w:tc>
        <w:tc>
          <w:tcPr>
            <w:tcW w:w="1134" w:type="dxa"/>
            <w:noWrap w:val="0"/>
            <w:vAlign w:val="center"/>
          </w:tcPr>
          <w:p w14:paraId="7046537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完成年度非税收入征收计划</w:t>
            </w:r>
          </w:p>
        </w:tc>
        <w:tc>
          <w:tcPr>
            <w:tcW w:w="1134" w:type="dxa"/>
            <w:noWrap w:val="0"/>
            <w:vAlign w:val="center"/>
          </w:tcPr>
          <w:p w14:paraId="779C618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未完成</w:t>
            </w:r>
          </w:p>
        </w:tc>
        <w:tc>
          <w:tcPr>
            <w:tcW w:w="726" w:type="dxa"/>
            <w:noWrap w:val="0"/>
            <w:vAlign w:val="center"/>
          </w:tcPr>
          <w:p w14:paraId="7600B4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12" w:type="dxa"/>
            <w:noWrap w:val="0"/>
            <w:vAlign w:val="center"/>
          </w:tcPr>
          <w:p w14:paraId="52F96F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1D7D7B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18"/>
                <w:szCs w:val="18"/>
                <w:highlight w:val="none"/>
                <w:lang w:eastAsia="zh-CN"/>
              </w:rPr>
              <w:t>重大政策调整，部门需建立车辆管理信息平台，下一步加强停车秩序管理。</w:t>
            </w:r>
          </w:p>
        </w:tc>
      </w:tr>
      <w:tr w14:paraId="4919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4D40A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EBF9C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411212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87937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44F438B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缓解城市交通压力</w:t>
            </w:r>
          </w:p>
        </w:tc>
        <w:tc>
          <w:tcPr>
            <w:tcW w:w="1134" w:type="dxa"/>
            <w:noWrap w:val="0"/>
            <w:vAlign w:val="center"/>
          </w:tcPr>
          <w:p w14:paraId="480FD9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多样化的出行方式，提升城市品位</w:t>
            </w:r>
          </w:p>
        </w:tc>
        <w:tc>
          <w:tcPr>
            <w:tcW w:w="1134" w:type="dxa"/>
            <w:noWrap w:val="0"/>
            <w:vAlign w:val="center"/>
          </w:tcPr>
          <w:p w14:paraId="01F99BC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对缓解交通压力发挥了定作用</w:t>
            </w:r>
          </w:p>
        </w:tc>
        <w:tc>
          <w:tcPr>
            <w:tcW w:w="726" w:type="dxa"/>
            <w:noWrap w:val="0"/>
            <w:vAlign w:val="center"/>
          </w:tcPr>
          <w:p w14:paraId="1D8F1C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12" w:type="dxa"/>
            <w:noWrap w:val="0"/>
            <w:vAlign w:val="center"/>
          </w:tcPr>
          <w:p w14:paraId="1BE1ED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81" w:type="dxa"/>
            <w:noWrap w:val="0"/>
            <w:vAlign w:val="center"/>
          </w:tcPr>
          <w:p w14:paraId="52BDD9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457B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88E78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226EE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565BD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285CCD9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为市民出行提供便利</w:t>
            </w:r>
          </w:p>
        </w:tc>
        <w:tc>
          <w:tcPr>
            <w:tcW w:w="1134" w:type="dxa"/>
            <w:noWrap w:val="0"/>
            <w:vAlign w:val="center"/>
          </w:tcPr>
          <w:p w14:paraId="673A01B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解决市民出行“最后一公里”</w:t>
            </w:r>
          </w:p>
        </w:tc>
        <w:tc>
          <w:tcPr>
            <w:tcW w:w="1134" w:type="dxa"/>
            <w:noWrap w:val="0"/>
            <w:vAlign w:val="center"/>
          </w:tcPr>
          <w:p w14:paraId="6238945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为市民出行提供了多种方式</w:t>
            </w:r>
          </w:p>
        </w:tc>
        <w:tc>
          <w:tcPr>
            <w:tcW w:w="726" w:type="dxa"/>
            <w:noWrap w:val="0"/>
            <w:vAlign w:val="center"/>
          </w:tcPr>
          <w:p w14:paraId="7B71B7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12" w:type="dxa"/>
            <w:noWrap w:val="0"/>
            <w:vAlign w:val="center"/>
          </w:tcPr>
          <w:p w14:paraId="24ABBB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81" w:type="dxa"/>
            <w:noWrap w:val="0"/>
            <w:vAlign w:val="center"/>
          </w:tcPr>
          <w:p w14:paraId="368BC6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354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0A231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8784D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88CA1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3D23847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中心城区人行道停车秩序管理</w:t>
            </w:r>
          </w:p>
        </w:tc>
        <w:tc>
          <w:tcPr>
            <w:tcW w:w="1134" w:type="dxa"/>
            <w:noWrap w:val="0"/>
            <w:vAlign w:val="center"/>
          </w:tcPr>
          <w:p w14:paraId="33477A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停车秩序良好，市民出行方便</w:t>
            </w:r>
          </w:p>
        </w:tc>
        <w:tc>
          <w:tcPr>
            <w:tcW w:w="1134" w:type="dxa"/>
            <w:noWrap w:val="0"/>
            <w:vAlign w:val="center"/>
          </w:tcPr>
          <w:p w14:paraId="50DD3C8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停车秩序良好，市民出行便利</w:t>
            </w:r>
          </w:p>
        </w:tc>
        <w:tc>
          <w:tcPr>
            <w:tcW w:w="726" w:type="dxa"/>
            <w:noWrap w:val="0"/>
            <w:vAlign w:val="center"/>
          </w:tcPr>
          <w:p w14:paraId="3F9206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12" w:type="dxa"/>
            <w:noWrap w:val="0"/>
            <w:vAlign w:val="center"/>
          </w:tcPr>
          <w:p w14:paraId="2BFE30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81" w:type="dxa"/>
            <w:noWrap w:val="0"/>
            <w:vAlign w:val="center"/>
          </w:tcPr>
          <w:p w14:paraId="7305F4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4C7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FDFB7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C2AE6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38CB0B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48642A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665C0DF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节能减排，助力提升环保。</w:t>
            </w:r>
          </w:p>
        </w:tc>
        <w:tc>
          <w:tcPr>
            <w:tcW w:w="1134" w:type="dxa"/>
            <w:noWrap w:val="0"/>
            <w:vAlign w:val="center"/>
          </w:tcPr>
          <w:p w14:paraId="62365C8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节能减排，改善城市生态环境</w:t>
            </w:r>
          </w:p>
        </w:tc>
        <w:tc>
          <w:tcPr>
            <w:tcW w:w="1134" w:type="dxa"/>
            <w:noWrap w:val="0"/>
            <w:vAlign w:val="center"/>
          </w:tcPr>
          <w:p w14:paraId="72F156F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对改善城市生态环境起到了一定作用</w:t>
            </w:r>
          </w:p>
        </w:tc>
        <w:tc>
          <w:tcPr>
            <w:tcW w:w="726" w:type="dxa"/>
            <w:noWrap w:val="0"/>
            <w:vAlign w:val="center"/>
          </w:tcPr>
          <w:p w14:paraId="60C719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12" w:type="dxa"/>
            <w:noWrap w:val="0"/>
            <w:vAlign w:val="center"/>
          </w:tcPr>
          <w:p w14:paraId="7B0152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81" w:type="dxa"/>
            <w:noWrap w:val="0"/>
            <w:vAlign w:val="center"/>
          </w:tcPr>
          <w:p w14:paraId="35B6D8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DAB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E17DA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7D154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217EC6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可持续影响指标</w:t>
            </w:r>
          </w:p>
        </w:tc>
        <w:tc>
          <w:tcPr>
            <w:tcW w:w="1224" w:type="dxa"/>
            <w:noWrap w:val="0"/>
            <w:vAlign w:val="center"/>
          </w:tcPr>
          <w:p w14:paraId="78ABE98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规范中心城区停车管理</w:t>
            </w:r>
          </w:p>
        </w:tc>
        <w:tc>
          <w:tcPr>
            <w:tcW w:w="1134" w:type="dxa"/>
            <w:noWrap w:val="0"/>
            <w:vAlign w:val="center"/>
          </w:tcPr>
          <w:p w14:paraId="6E9AA6B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rPr>
            </w:pPr>
            <w:r>
              <w:rPr>
                <w:rFonts w:hint="eastAsia" w:ascii="仿宋_GB2312" w:hAnsi="仿宋_GB2312" w:eastAsia="仿宋_GB2312" w:cs="仿宋_GB2312"/>
                <w:i w:val="0"/>
                <w:color w:val="000000"/>
                <w:kern w:val="0"/>
                <w:sz w:val="20"/>
                <w:szCs w:val="20"/>
                <w:u w:val="none"/>
                <w:lang w:val="en-US" w:eastAsia="zh-CN" w:bidi="ar"/>
              </w:rPr>
              <w:t>保障停车入位，人行道畅通。</w:t>
            </w:r>
          </w:p>
        </w:tc>
        <w:tc>
          <w:tcPr>
            <w:tcW w:w="1134" w:type="dxa"/>
            <w:noWrap w:val="0"/>
            <w:vAlign w:val="center"/>
          </w:tcPr>
          <w:p w14:paraId="56A1D1C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人行道停车秩序良好，人行通道畅通。</w:t>
            </w:r>
          </w:p>
        </w:tc>
        <w:tc>
          <w:tcPr>
            <w:tcW w:w="726" w:type="dxa"/>
            <w:noWrap w:val="0"/>
            <w:vAlign w:val="center"/>
          </w:tcPr>
          <w:p w14:paraId="51A7E8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12" w:type="dxa"/>
            <w:noWrap w:val="0"/>
            <w:vAlign w:val="center"/>
          </w:tcPr>
          <w:p w14:paraId="119570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81" w:type="dxa"/>
            <w:noWrap w:val="0"/>
            <w:vAlign w:val="center"/>
          </w:tcPr>
          <w:p w14:paraId="6E79AF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停车管理经常性、持续性有待加强，下一步加强常态化管理</w:t>
            </w:r>
          </w:p>
        </w:tc>
      </w:tr>
      <w:tr w14:paraId="0457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5CDE9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179ADD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140046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B6B79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noWrap w:val="0"/>
            <w:vAlign w:val="center"/>
          </w:tcPr>
          <w:p w14:paraId="27684C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noWrap w:val="0"/>
            <w:vAlign w:val="center"/>
          </w:tcPr>
          <w:p w14:paraId="08C750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群众</w:t>
            </w:r>
            <w:r>
              <w:rPr>
                <w:rFonts w:hint="eastAsia" w:ascii="仿宋_GB2312" w:hAnsi="仿宋_GB2312" w:eastAsia="仿宋_GB2312" w:cs="仿宋_GB2312"/>
                <w:color w:val="000000"/>
                <w:sz w:val="20"/>
                <w:szCs w:val="20"/>
                <w:highlight w:val="none"/>
              </w:rPr>
              <w:t>满意</w:t>
            </w:r>
            <w:r>
              <w:rPr>
                <w:rFonts w:hint="eastAsia" w:ascii="仿宋_GB2312" w:hAnsi="仿宋_GB2312" w:eastAsia="仿宋_GB2312" w:cs="仿宋_GB2312"/>
                <w:color w:val="000000"/>
                <w:sz w:val="20"/>
                <w:szCs w:val="20"/>
                <w:highlight w:val="none"/>
                <w:lang w:val="en-US" w:eastAsia="zh-CN"/>
              </w:rPr>
              <w:t>度</w:t>
            </w:r>
          </w:p>
        </w:tc>
        <w:tc>
          <w:tcPr>
            <w:tcW w:w="1134" w:type="dxa"/>
            <w:noWrap w:val="0"/>
            <w:vAlign w:val="center"/>
          </w:tcPr>
          <w:p w14:paraId="16FA93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134" w:type="dxa"/>
            <w:noWrap w:val="0"/>
            <w:vAlign w:val="center"/>
          </w:tcPr>
          <w:p w14:paraId="0662B4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95.5%</w:t>
            </w:r>
          </w:p>
        </w:tc>
        <w:tc>
          <w:tcPr>
            <w:tcW w:w="726" w:type="dxa"/>
            <w:noWrap w:val="0"/>
            <w:vAlign w:val="center"/>
          </w:tcPr>
          <w:p w14:paraId="0358AB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12" w:type="dxa"/>
            <w:noWrap w:val="0"/>
            <w:vAlign w:val="center"/>
          </w:tcPr>
          <w:p w14:paraId="5FFE91C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581" w:type="dxa"/>
            <w:noWrap w:val="0"/>
            <w:vAlign w:val="center"/>
          </w:tcPr>
          <w:p w14:paraId="3A40A5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60A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732" w:type="dxa"/>
            <w:gridSpan w:val="6"/>
            <w:noWrap w:val="0"/>
            <w:vAlign w:val="center"/>
          </w:tcPr>
          <w:p w14:paraId="3834DC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26" w:type="dxa"/>
            <w:noWrap w:val="0"/>
            <w:vAlign w:val="center"/>
          </w:tcPr>
          <w:p w14:paraId="7AE3E6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12" w:type="dxa"/>
            <w:noWrap w:val="0"/>
            <w:vAlign w:val="center"/>
          </w:tcPr>
          <w:p w14:paraId="1D131B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w:t>
            </w:r>
          </w:p>
        </w:tc>
        <w:tc>
          <w:tcPr>
            <w:tcW w:w="1581" w:type="dxa"/>
            <w:noWrap w:val="0"/>
            <w:vAlign w:val="center"/>
          </w:tcPr>
          <w:p w14:paraId="657A0D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76EDF16F">
      <w:pPr>
        <w:keepNext w:val="0"/>
        <w:keepLines w:val="0"/>
        <w:pageBreakBefore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18"/>
          <w:szCs w:val="18"/>
          <w:highlight w:val="none"/>
          <w:lang w:val="en-US" w:eastAsia="zh-CN"/>
        </w:rPr>
      </w:pPr>
      <w:r>
        <w:rPr>
          <w:rFonts w:hint="eastAsia" w:ascii="仿宋_GB2312" w:hAnsi="仿宋_GB2312" w:eastAsia="仿宋_GB2312" w:cs="仿宋_GB2312"/>
          <w:sz w:val="18"/>
          <w:szCs w:val="18"/>
          <w:highlight w:val="none"/>
          <w:lang w:val="en-US" w:eastAsia="zh-CN"/>
        </w:rPr>
        <w:t xml:space="preserve"> </w:t>
      </w:r>
    </w:p>
    <w:p w14:paraId="5BC54F3E">
      <w:pPr>
        <w:widowControl/>
        <w:spacing w:line="600" w:lineRule="exact"/>
        <w:jc w:val="left"/>
        <w:rPr>
          <w:rFonts w:hint="eastAsia" w:ascii="黑体" w:hAnsi="黑体" w:eastAsia="黑体" w:cs="黑体"/>
          <w:sz w:val="32"/>
          <w:szCs w:val="32"/>
          <w:highlight w:val="none"/>
        </w:rPr>
      </w:pPr>
      <w:r>
        <w:rPr>
          <w:rFonts w:hint="eastAsia" w:ascii="仿宋_GB2312" w:hAnsi="仿宋_GB2312" w:eastAsia="仿宋_GB2312" w:cs="仿宋_GB2312"/>
          <w:sz w:val="22"/>
          <w:highlight w:val="none"/>
        </w:rPr>
        <w:t>填表人：</w:t>
      </w:r>
      <w:r>
        <w:rPr>
          <w:rFonts w:hint="eastAsia" w:ascii="仿宋_GB2312" w:hAnsi="仿宋_GB2312" w:eastAsia="仿宋_GB2312" w:cs="仿宋_GB2312"/>
          <w:sz w:val="22"/>
          <w:highlight w:val="none"/>
          <w:lang w:val="en-US" w:eastAsia="zh-CN"/>
        </w:rPr>
        <w:t>龙邓</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填报日期：</w:t>
      </w:r>
      <w:r>
        <w:rPr>
          <w:rFonts w:hint="eastAsia" w:ascii="仿宋_GB2312" w:hAnsi="仿宋_GB2312" w:eastAsia="仿宋_GB2312" w:cs="仿宋_GB2312"/>
          <w:sz w:val="22"/>
          <w:highlight w:val="none"/>
          <w:lang w:val="en-US" w:eastAsia="zh-CN"/>
        </w:rPr>
        <w:t>2026.6.22</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联系电话：</w:t>
      </w:r>
      <w:r>
        <w:rPr>
          <w:rFonts w:hint="eastAsia" w:ascii="仿宋_GB2312" w:hAnsi="仿宋_GB2312" w:eastAsia="仿宋_GB2312" w:cs="仿宋_GB2312"/>
          <w:sz w:val="22"/>
          <w:highlight w:val="none"/>
          <w:lang w:val="en-US" w:eastAsia="zh-CN"/>
        </w:rPr>
        <w:t>8220516</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单位负责人：</w:t>
      </w:r>
      <w:r>
        <w:rPr>
          <w:rFonts w:hint="eastAsia" w:ascii="仿宋_GB2312" w:hAnsi="仿宋_GB2312" w:eastAsia="仿宋_GB2312" w:cs="仿宋_GB2312"/>
          <w:sz w:val="22"/>
          <w:highlight w:val="none"/>
          <w:lang w:val="en-US" w:eastAsia="zh-CN"/>
        </w:rPr>
        <w:t>何志军</w:t>
      </w:r>
    </w:p>
    <w:p w14:paraId="69F36229">
      <w:pPr>
        <w:widowControl/>
        <w:spacing w:line="600" w:lineRule="exact"/>
        <w:jc w:val="left"/>
        <w:rPr>
          <w:rFonts w:hint="eastAsia" w:ascii="黑体" w:hAnsi="黑体" w:eastAsia="黑体" w:cs="黑体"/>
          <w:sz w:val="32"/>
          <w:szCs w:val="32"/>
          <w:highlight w:val="none"/>
        </w:rPr>
      </w:pPr>
    </w:p>
    <w:p w14:paraId="2A6D4200">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1-2</w:t>
      </w:r>
    </w:p>
    <w:p w14:paraId="1FE7CE7D">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6215D188">
      <w:pPr>
        <w:pStyle w:val="4"/>
        <w:rPr>
          <w:rFonts w:hint="eastAsia"/>
        </w:rPr>
      </w:pP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785"/>
        <w:gridCol w:w="1506"/>
      </w:tblGrid>
      <w:tr w14:paraId="52D7F8A6">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A01042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32B96CD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0716AB8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xml:space="preserve">  协管员经费　</w:t>
            </w:r>
          </w:p>
        </w:tc>
      </w:tr>
      <w:tr w14:paraId="4D43006F">
        <w:tblPrEx>
          <w:tblCellMar>
            <w:top w:w="0" w:type="dxa"/>
            <w:left w:w="108" w:type="dxa"/>
            <w:bottom w:w="0" w:type="dxa"/>
            <w:right w:w="108" w:type="dxa"/>
          </w:tblCellMar>
        </w:tblPrEx>
        <w:trPr>
          <w:trHeight w:val="475" w:hRule="atLeast"/>
          <w:jc w:val="center"/>
        </w:trPr>
        <w:tc>
          <w:tcPr>
            <w:tcW w:w="1080" w:type="dxa"/>
            <w:tcBorders>
              <w:top w:val="nil"/>
              <w:left w:val="single" w:color="auto" w:sz="4" w:space="0"/>
              <w:bottom w:val="single" w:color="auto" w:sz="4" w:space="0"/>
              <w:right w:val="single" w:color="auto" w:sz="4" w:space="0"/>
            </w:tcBorders>
            <w:noWrap w:val="0"/>
            <w:vAlign w:val="center"/>
          </w:tcPr>
          <w:p w14:paraId="3B074F4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011D4120">
            <w:pPr>
              <w:keepNext w:val="0"/>
              <w:keepLines w:val="0"/>
              <w:pageBreakBefore w:val="0"/>
              <w:widowControl/>
              <w:tabs>
                <w:tab w:val="right" w:pos="4302"/>
              </w:tabs>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岳阳市城市管理和综合执法局</w:t>
            </w:r>
          </w:p>
        </w:tc>
        <w:tc>
          <w:tcPr>
            <w:tcW w:w="1134" w:type="dxa"/>
            <w:tcBorders>
              <w:top w:val="single" w:color="auto" w:sz="4" w:space="0"/>
              <w:left w:val="nil"/>
              <w:bottom w:val="single" w:color="auto" w:sz="4" w:space="0"/>
              <w:right w:val="single" w:color="000000" w:sz="4" w:space="0"/>
            </w:tcBorders>
            <w:noWrap w:val="0"/>
            <w:vAlign w:val="center"/>
          </w:tcPr>
          <w:p w14:paraId="31E242A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368095C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岳阳市停车管理服务中心</w:t>
            </w:r>
          </w:p>
        </w:tc>
      </w:tr>
      <w:tr w14:paraId="3C064D73">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48D5AC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7280AB7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4312AA7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410599A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035D74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3AAC157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71AF11B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10AD6F9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26E1F6F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785" w:type="dxa"/>
            <w:tcBorders>
              <w:top w:val="nil"/>
              <w:left w:val="nil"/>
              <w:bottom w:val="single" w:color="auto" w:sz="4" w:space="0"/>
              <w:right w:val="single" w:color="auto" w:sz="4" w:space="0"/>
            </w:tcBorders>
            <w:noWrap w:val="0"/>
            <w:vAlign w:val="center"/>
          </w:tcPr>
          <w:p w14:paraId="5087AC0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506" w:type="dxa"/>
            <w:tcBorders>
              <w:top w:val="nil"/>
              <w:left w:val="nil"/>
              <w:bottom w:val="single" w:color="auto" w:sz="4" w:space="0"/>
              <w:right w:val="single" w:color="auto" w:sz="4" w:space="0"/>
            </w:tcBorders>
            <w:noWrap w:val="0"/>
            <w:vAlign w:val="center"/>
          </w:tcPr>
          <w:p w14:paraId="474CB36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155DFEE7">
        <w:tblPrEx>
          <w:tblCellMar>
            <w:top w:w="0" w:type="dxa"/>
            <w:left w:w="108" w:type="dxa"/>
            <w:bottom w:w="0" w:type="dxa"/>
            <w:right w:w="108" w:type="dxa"/>
          </w:tblCellMar>
        </w:tblPrEx>
        <w:trPr>
          <w:trHeight w:val="43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813E53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312D66D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6AC3EC2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22</w:t>
            </w:r>
            <w:r>
              <w:rPr>
                <w:rFonts w:hint="eastAsia" w:ascii="仿宋_GB2312" w:hAnsi="仿宋_GB2312" w:eastAsia="仿宋_GB2312" w:cs="仿宋_GB2312"/>
                <w:color w:val="000000"/>
                <w:sz w:val="20"/>
                <w:szCs w:val="20"/>
                <w:highlight w:val="none"/>
                <w:lang w:val="en" w:eastAsia="zh-CN"/>
              </w:rPr>
              <w:t>.</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val="en" w:eastAsia="zh-CN"/>
              </w:rPr>
              <w:t>0</w:t>
            </w:r>
          </w:p>
        </w:tc>
        <w:tc>
          <w:tcPr>
            <w:tcW w:w="1134" w:type="dxa"/>
            <w:tcBorders>
              <w:top w:val="nil"/>
              <w:left w:val="nil"/>
              <w:bottom w:val="single" w:color="auto" w:sz="4" w:space="0"/>
              <w:right w:val="single" w:color="auto" w:sz="4" w:space="0"/>
            </w:tcBorders>
            <w:noWrap w:val="0"/>
            <w:vAlign w:val="center"/>
          </w:tcPr>
          <w:p w14:paraId="72BB93C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22</w:t>
            </w:r>
            <w:r>
              <w:rPr>
                <w:rFonts w:hint="eastAsia" w:ascii="仿宋_GB2312" w:hAnsi="仿宋_GB2312" w:eastAsia="仿宋_GB2312" w:cs="仿宋_GB2312"/>
                <w:color w:val="000000"/>
                <w:sz w:val="20"/>
                <w:szCs w:val="20"/>
                <w:highlight w:val="none"/>
                <w:lang w:val="en" w:eastAsia="zh-CN"/>
              </w:rPr>
              <w:t>.</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val="en" w:eastAsia="zh-CN"/>
              </w:rPr>
              <w:t>0</w:t>
            </w:r>
          </w:p>
        </w:tc>
        <w:tc>
          <w:tcPr>
            <w:tcW w:w="1134" w:type="dxa"/>
            <w:tcBorders>
              <w:top w:val="nil"/>
              <w:left w:val="nil"/>
              <w:bottom w:val="single" w:color="auto" w:sz="4" w:space="0"/>
              <w:right w:val="single" w:color="auto" w:sz="4" w:space="0"/>
            </w:tcBorders>
            <w:noWrap w:val="0"/>
            <w:vAlign w:val="center"/>
          </w:tcPr>
          <w:p w14:paraId="0F94166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22.5</w:t>
            </w:r>
            <w:r>
              <w:rPr>
                <w:rFonts w:hint="eastAsia" w:ascii="仿宋_GB2312" w:hAnsi="仿宋_GB2312" w:eastAsia="仿宋_GB2312" w:cs="仿宋_GB2312"/>
                <w:color w:val="000000"/>
                <w:sz w:val="20"/>
                <w:szCs w:val="20"/>
                <w:highlight w:val="none"/>
                <w:lang w:val="en" w:eastAsia="zh-CN"/>
              </w:rPr>
              <w:t>0</w:t>
            </w:r>
          </w:p>
        </w:tc>
        <w:tc>
          <w:tcPr>
            <w:tcW w:w="828" w:type="dxa"/>
            <w:tcBorders>
              <w:top w:val="nil"/>
              <w:left w:val="nil"/>
              <w:bottom w:val="single" w:color="auto" w:sz="4" w:space="0"/>
              <w:right w:val="single" w:color="auto" w:sz="4" w:space="0"/>
            </w:tcBorders>
            <w:noWrap w:val="0"/>
            <w:vAlign w:val="center"/>
          </w:tcPr>
          <w:p w14:paraId="2D9894F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785" w:type="dxa"/>
            <w:tcBorders>
              <w:top w:val="nil"/>
              <w:left w:val="nil"/>
              <w:bottom w:val="single" w:color="auto" w:sz="4" w:space="0"/>
              <w:right w:val="single" w:color="auto" w:sz="4" w:space="0"/>
            </w:tcBorders>
            <w:noWrap w:val="0"/>
            <w:vAlign w:val="center"/>
          </w:tcPr>
          <w:p w14:paraId="3E27E45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506" w:type="dxa"/>
            <w:tcBorders>
              <w:top w:val="nil"/>
              <w:left w:val="nil"/>
              <w:bottom w:val="single" w:color="auto" w:sz="4" w:space="0"/>
              <w:right w:val="single" w:color="auto" w:sz="4" w:space="0"/>
            </w:tcBorders>
            <w:noWrap w:val="0"/>
            <w:vAlign w:val="center"/>
          </w:tcPr>
          <w:p w14:paraId="5CB99C2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10</w:t>
            </w:r>
          </w:p>
        </w:tc>
      </w:tr>
      <w:tr w14:paraId="0181B9BD">
        <w:tblPrEx>
          <w:tblCellMar>
            <w:top w:w="0" w:type="dxa"/>
            <w:left w:w="108" w:type="dxa"/>
            <w:bottom w:w="0" w:type="dxa"/>
            <w:right w:w="108" w:type="dxa"/>
          </w:tblCellMar>
        </w:tblPrEx>
        <w:trPr>
          <w:trHeight w:val="43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C029A6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004880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58F7CB3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22</w:t>
            </w:r>
            <w:r>
              <w:rPr>
                <w:rFonts w:hint="eastAsia" w:ascii="仿宋_GB2312" w:hAnsi="仿宋_GB2312" w:eastAsia="仿宋_GB2312" w:cs="仿宋_GB2312"/>
                <w:color w:val="000000"/>
                <w:sz w:val="20"/>
                <w:szCs w:val="20"/>
                <w:highlight w:val="none"/>
                <w:lang w:val="en" w:eastAsia="zh-CN"/>
              </w:rPr>
              <w:t>.</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val="en" w:eastAsia="zh-CN"/>
              </w:rPr>
              <w:t>0</w:t>
            </w:r>
          </w:p>
        </w:tc>
        <w:tc>
          <w:tcPr>
            <w:tcW w:w="1134" w:type="dxa"/>
            <w:tcBorders>
              <w:top w:val="nil"/>
              <w:left w:val="nil"/>
              <w:bottom w:val="single" w:color="auto" w:sz="4" w:space="0"/>
              <w:right w:val="single" w:color="auto" w:sz="4" w:space="0"/>
            </w:tcBorders>
            <w:noWrap w:val="0"/>
            <w:vAlign w:val="center"/>
          </w:tcPr>
          <w:p w14:paraId="578DA11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22</w:t>
            </w:r>
            <w:r>
              <w:rPr>
                <w:rFonts w:hint="eastAsia" w:ascii="仿宋_GB2312" w:hAnsi="仿宋_GB2312" w:eastAsia="仿宋_GB2312" w:cs="仿宋_GB2312"/>
                <w:color w:val="000000"/>
                <w:sz w:val="20"/>
                <w:szCs w:val="20"/>
                <w:highlight w:val="none"/>
                <w:lang w:val="en" w:eastAsia="zh-CN"/>
              </w:rPr>
              <w:t>.</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val="en" w:eastAsia="zh-CN"/>
              </w:rPr>
              <w:t>0</w:t>
            </w:r>
          </w:p>
        </w:tc>
        <w:tc>
          <w:tcPr>
            <w:tcW w:w="1134" w:type="dxa"/>
            <w:tcBorders>
              <w:top w:val="nil"/>
              <w:left w:val="nil"/>
              <w:bottom w:val="single" w:color="auto" w:sz="4" w:space="0"/>
              <w:right w:val="single" w:color="auto" w:sz="4" w:space="0"/>
            </w:tcBorders>
            <w:noWrap w:val="0"/>
            <w:vAlign w:val="center"/>
          </w:tcPr>
          <w:p w14:paraId="4C579DD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22</w:t>
            </w:r>
            <w:r>
              <w:rPr>
                <w:rFonts w:hint="eastAsia" w:ascii="仿宋_GB2312" w:hAnsi="仿宋_GB2312" w:eastAsia="仿宋_GB2312" w:cs="仿宋_GB2312"/>
                <w:color w:val="000000"/>
                <w:sz w:val="20"/>
                <w:szCs w:val="20"/>
                <w:highlight w:val="none"/>
                <w:lang w:val="en" w:eastAsia="zh-CN"/>
              </w:rPr>
              <w:t>.</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val="en" w:eastAsia="zh-CN"/>
              </w:rPr>
              <w:t>0</w:t>
            </w:r>
          </w:p>
        </w:tc>
        <w:tc>
          <w:tcPr>
            <w:tcW w:w="828" w:type="dxa"/>
            <w:tcBorders>
              <w:top w:val="nil"/>
              <w:left w:val="nil"/>
              <w:bottom w:val="single" w:color="auto" w:sz="4" w:space="0"/>
              <w:right w:val="single" w:color="auto" w:sz="4" w:space="0"/>
            </w:tcBorders>
            <w:noWrap w:val="0"/>
            <w:vAlign w:val="center"/>
          </w:tcPr>
          <w:p w14:paraId="1E9A4B0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5" w:type="dxa"/>
            <w:tcBorders>
              <w:top w:val="nil"/>
              <w:left w:val="nil"/>
              <w:bottom w:val="single" w:color="auto" w:sz="4" w:space="0"/>
              <w:right w:val="single" w:color="auto" w:sz="4" w:space="0"/>
            </w:tcBorders>
            <w:noWrap w:val="0"/>
            <w:vAlign w:val="center"/>
          </w:tcPr>
          <w:p w14:paraId="09F8015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06" w:type="dxa"/>
            <w:tcBorders>
              <w:top w:val="nil"/>
              <w:left w:val="nil"/>
              <w:bottom w:val="single" w:color="auto" w:sz="4" w:space="0"/>
              <w:right w:val="single" w:color="auto" w:sz="4" w:space="0"/>
            </w:tcBorders>
            <w:noWrap w:val="0"/>
            <w:vAlign w:val="center"/>
          </w:tcPr>
          <w:p w14:paraId="4598700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2A1F175">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8F4179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6CF57FD">
            <w:pPr>
              <w:keepNext w:val="0"/>
              <w:keepLines w:val="0"/>
              <w:pageBreakBefore w:val="0"/>
              <w:widowControl/>
              <w:kinsoku/>
              <w:wordWrap/>
              <w:overflowPunct/>
              <w:topLinePunct w:val="0"/>
              <w:autoSpaceDE/>
              <w:autoSpaceDN/>
              <w:bidi w:val="0"/>
              <w:adjustRightInd/>
              <w:snapToGrid/>
              <w:spacing w:line="34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2410D3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2C0CC5F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841242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3A362B0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5" w:type="dxa"/>
            <w:tcBorders>
              <w:top w:val="nil"/>
              <w:left w:val="nil"/>
              <w:bottom w:val="single" w:color="auto" w:sz="4" w:space="0"/>
              <w:right w:val="single" w:color="auto" w:sz="4" w:space="0"/>
            </w:tcBorders>
            <w:noWrap w:val="0"/>
            <w:vAlign w:val="center"/>
          </w:tcPr>
          <w:p w14:paraId="3915DF4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06" w:type="dxa"/>
            <w:tcBorders>
              <w:top w:val="nil"/>
              <w:left w:val="nil"/>
              <w:bottom w:val="single" w:color="auto" w:sz="4" w:space="0"/>
              <w:right w:val="single" w:color="auto" w:sz="4" w:space="0"/>
            </w:tcBorders>
            <w:noWrap w:val="0"/>
            <w:vAlign w:val="center"/>
          </w:tcPr>
          <w:p w14:paraId="09B8234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05F22E9">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9F697F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376AF2DB">
            <w:pPr>
              <w:keepNext w:val="0"/>
              <w:keepLines w:val="0"/>
              <w:pageBreakBefore w:val="0"/>
              <w:widowControl/>
              <w:kinsoku/>
              <w:wordWrap/>
              <w:overflowPunct/>
              <w:topLinePunct w:val="0"/>
              <w:autoSpaceDE/>
              <w:autoSpaceDN/>
              <w:bidi w:val="0"/>
              <w:adjustRightInd/>
              <w:snapToGrid/>
              <w:spacing w:line="34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1D937BC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1D9CAB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7A2F49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DA7709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5" w:type="dxa"/>
            <w:tcBorders>
              <w:top w:val="nil"/>
              <w:left w:val="nil"/>
              <w:bottom w:val="single" w:color="auto" w:sz="4" w:space="0"/>
              <w:right w:val="single" w:color="auto" w:sz="4" w:space="0"/>
            </w:tcBorders>
            <w:noWrap w:val="0"/>
            <w:vAlign w:val="center"/>
          </w:tcPr>
          <w:p w14:paraId="54538F4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06" w:type="dxa"/>
            <w:tcBorders>
              <w:top w:val="nil"/>
              <w:left w:val="nil"/>
              <w:bottom w:val="single" w:color="auto" w:sz="4" w:space="0"/>
              <w:right w:val="single" w:color="auto" w:sz="4" w:space="0"/>
            </w:tcBorders>
            <w:noWrap w:val="0"/>
            <w:vAlign w:val="center"/>
          </w:tcPr>
          <w:p w14:paraId="653CB74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1B4B7C9">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01D027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7C16B67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0FE8B86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66F71842">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167710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1082157D">
            <w:pPr>
              <w:keepNext w:val="0"/>
              <w:keepLines w:val="0"/>
              <w:pageBreakBefore w:val="0"/>
              <w:widowControl/>
              <w:numPr>
                <w:ilvl w:val="0"/>
                <w:numId w:val="0"/>
              </w:numPr>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协助单位职工开展停车管理工作，及时录入人行道机动车违停信息；</w:t>
            </w:r>
          </w:p>
          <w:p w14:paraId="69ABBC6C">
            <w:pPr>
              <w:keepNext w:val="0"/>
              <w:keepLines w:val="0"/>
              <w:pageBreakBefore w:val="0"/>
              <w:widowControl/>
              <w:numPr>
                <w:ilvl w:val="0"/>
                <w:numId w:val="0"/>
              </w:numPr>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协管员协助完成工作量、出勤率与绩效工资挂钩，充分调动协管员工作积极性，并组织相关知识培训，定期组织考核，保障单位工作顺利开展。</w:t>
            </w:r>
          </w:p>
        </w:tc>
        <w:tc>
          <w:tcPr>
            <w:tcW w:w="4253" w:type="dxa"/>
            <w:gridSpan w:val="4"/>
            <w:tcBorders>
              <w:top w:val="single" w:color="auto" w:sz="4" w:space="0"/>
              <w:left w:val="nil"/>
              <w:bottom w:val="single" w:color="auto" w:sz="4" w:space="0"/>
              <w:right w:val="single" w:color="auto" w:sz="4" w:space="0"/>
            </w:tcBorders>
            <w:noWrap w:val="0"/>
            <w:vAlign w:val="center"/>
          </w:tcPr>
          <w:p w14:paraId="5563BE3B">
            <w:pPr>
              <w:keepNext w:val="0"/>
              <w:keepLines w:val="0"/>
              <w:pageBreakBefore w:val="0"/>
              <w:widowControl/>
              <w:numPr>
                <w:ilvl w:val="0"/>
                <w:numId w:val="0"/>
              </w:numPr>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1、协管员能协助单位及时完成违停车辆录入工作；</w:t>
            </w:r>
          </w:p>
          <w:p w14:paraId="2156C9CA">
            <w:pPr>
              <w:keepNext w:val="0"/>
              <w:keepLines w:val="0"/>
              <w:pageBreakBefore w:val="0"/>
              <w:widowControl/>
              <w:numPr>
                <w:ilvl w:val="0"/>
                <w:numId w:val="0"/>
              </w:numPr>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w:t>
            </w:r>
            <w:r>
              <w:rPr>
                <w:rFonts w:hint="eastAsia" w:ascii="仿宋_GB2312" w:hAnsi="仿宋_GB2312" w:eastAsia="仿宋_GB2312" w:cs="仿宋_GB2312"/>
                <w:color w:val="000000"/>
                <w:sz w:val="20"/>
                <w:szCs w:val="20"/>
                <w:highlight w:val="none"/>
                <w:lang w:val="en-US" w:eastAsia="zh-CN"/>
              </w:rPr>
              <w:t>实现了</w:t>
            </w:r>
            <w:r>
              <w:rPr>
                <w:rFonts w:hint="eastAsia" w:ascii="仿宋_GB2312" w:hAnsi="仿宋_GB2312" w:eastAsia="仿宋_GB2312" w:cs="仿宋_GB2312"/>
                <w:color w:val="000000"/>
                <w:sz w:val="20"/>
                <w:szCs w:val="20"/>
                <w:highlight w:val="none"/>
              </w:rPr>
              <w:t>工作量、出勤率与绩效工资挂钩，充分调动</w:t>
            </w:r>
            <w:r>
              <w:rPr>
                <w:rFonts w:hint="eastAsia" w:ascii="仿宋_GB2312" w:hAnsi="仿宋_GB2312" w:eastAsia="仿宋_GB2312" w:cs="仿宋_GB2312"/>
                <w:color w:val="000000"/>
                <w:sz w:val="20"/>
                <w:szCs w:val="20"/>
                <w:highlight w:val="none"/>
                <w:lang w:val="en-US" w:eastAsia="zh-CN"/>
              </w:rPr>
              <w:t>了</w:t>
            </w:r>
            <w:r>
              <w:rPr>
                <w:rFonts w:hint="eastAsia" w:ascii="仿宋_GB2312" w:hAnsi="仿宋_GB2312" w:eastAsia="仿宋_GB2312" w:cs="仿宋_GB2312"/>
                <w:color w:val="000000"/>
                <w:sz w:val="20"/>
                <w:szCs w:val="20"/>
                <w:highlight w:val="none"/>
              </w:rPr>
              <w:t>协管员工作积极性，保障</w:t>
            </w:r>
            <w:r>
              <w:rPr>
                <w:rFonts w:hint="eastAsia" w:ascii="仿宋_GB2312" w:hAnsi="仿宋_GB2312" w:eastAsia="仿宋_GB2312" w:cs="仿宋_GB2312"/>
                <w:color w:val="000000"/>
                <w:sz w:val="20"/>
                <w:szCs w:val="20"/>
                <w:highlight w:val="none"/>
                <w:lang w:val="en-US" w:eastAsia="zh-CN"/>
              </w:rPr>
              <w:t>了</w:t>
            </w:r>
            <w:r>
              <w:rPr>
                <w:rFonts w:hint="eastAsia" w:ascii="仿宋_GB2312" w:hAnsi="仿宋_GB2312" w:eastAsia="仿宋_GB2312" w:cs="仿宋_GB2312"/>
                <w:color w:val="000000"/>
                <w:sz w:val="20"/>
                <w:szCs w:val="20"/>
                <w:highlight w:val="none"/>
              </w:rPr>
              <w:t>单位各项工作顺利开展。　　</w:t>
            </w:r>
          </w:p>
        </w:tc>
      </w:tr>
      <w:tr w14:paraId="519CE6AF">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C48D55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B8DED9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8392B9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1F60A52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636AA3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DDAA9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E30023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E0A4FE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36C38B0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A87FA1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4A8B269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BAED99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785" w:type="dxa"/>
            <w:tcBorders>
              <w:top w:val="nil"/>
              <w:left w:val="nil"/>
              <w:bottom w:val="single" w:color="auto" w:sz="4" w:space="0"/>
              <w:right w:val="single" w:color="auto" w:sz="4" w:space="0"/>
            </w:tcBorders>
            <w:noWrap w:val="0"/>
            <w:vAlign w:val="center"/>
          </w:tcPr>
          <w:p w14:paraId="5C6D330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506" w:type="dxa"/>
            <w:tcBorders>
              <w:top w:val="nil"/>
              <w:left w:val="nil"/>
              <w:bottom w:val="single" w:color="auto" w:sz="4" w:space="0"/>
              <w:right w:val="single" w:color="auto" w:sz="4" w:space="0"/>
            </w:tcBorders>
            <w:noWrap w:val="0"/>
            <w:vAlign w:val="center"/>
          </w:tcPr>
          <w:p w14:paraId="2A02D34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588AEEE0">
        <w:tblPrEx>
          <w:tblCellMar>
            <w:top w:w="0" w:type="dxa"/>
            <w:left w:w="108" w:type="dxa"/>
            <w:bottom w:w="0" w:type="dxa"/>
            <w:right w:w="108" w:type="dxa"/>
          </w:tblCellMar>
        </w:tblPrEx>
        <w:trPr>
          <w:trHeight w:val="57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45D62A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86BD41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76CE7A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p w14:paraId="46D0EF4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7D2383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43B45A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业务考核</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159A9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EBCA26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C2A8E1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785" w:type="dxa"/>
            <w:tcBorders>
              <w:top w:val="nil"/>
              <w:left w:val="nil"/>
              <w:bottom w:val="single" w:color="auto" w:sz="4" w:space="0"/>
              <w:right w:val="single" w:color="auto" w:sz="4" w:space="0"/>
            </w:tcBorders>
            <w:noWrap w:val="0"/>
            <w:vAlign w:val="center"/>
          </w:tcPr>
          <w:p w14:paraId="74D3F26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06" w:type="dxa"/>
            <w:tcBorders>
              <w:top w:val="nil"/>
              <w:left w:val="nil"/>
              <w:bottom w:val="single" w:color="auto" w:sz="4" w:space="0"/>
              <w:right w:val="single" w:color="auto" w:sz="4" w:space="0"/>
            </w:tcBorders>
            <w:noWrap w:val="0"/>
            <w:vAlign w:val="center"/>
          </w:tcPr>
          <w:p w14:paraId="7570C84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3F7E22">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C6F81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1B4C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AF49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C6320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有固定协管队伍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5A83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5人</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D670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5人</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115DE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785" w:type="dxa"/>
            <w:tcBorders>
              <w:top w:val="nil"/>
              <w:left w:val="nil"/>
              <w:bottom w:val="single" w:color="auto" w:sz="4" w:space="0"/>
              <w:right w:val="single" w:color="auto" w:sz="4" w:space="0"/>
            </w:tcBorders>
            <w:noWrap w:val="0"/>
            <w:vAlign w:val="center"/>
          </w:tcPr>
          <w:p w14:paraId="1F5D5A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06" w:type="dxa"/>
            <w:tcBorders>
              <w:top w:val="nil"/>
              <w:left w:val="nil"/>
              <w:bottom w:val="single" w:color="auto" w:sz="4" w:space="0"/>
              <w:right w:val="single" w:color="auto" w:sz="4" w:space="0"/>
            </w:tcBorders>
            <w:noWrap w:val="0"/>
            <w:vAlign w:val="center"/>
          </w:tcPr>
          <w:p w14:paraId="2A3A79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1576285">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D83FA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59192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018CE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959CD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法律法规、文明执法、作风纪律等培训</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3958E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767F1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8A539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785" w:type="dxa"/>
            <w:tcBorders>
              <w:top w:val="nil"/>
              <w:left w:val="nil"/>
              <w:bottom w:val="single" w:color="auto" w:sz="4" w:space="0"/>
              <w:right w:val="single" w:color="auto" w:sz="4" w:space="0"/>
            </w:tcBorders>
            <w:noWrap w:val="0"/>
            <w:vAlign w:val="center"/>
          </w:tcPr>
          <w:p w14:paraId="140BFE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06" w:type="dxa"/>
            <w:tcBorders>
              <w:top w:val="nil"/>
              <w:left w:val="nil"/>
              <w:bottom w:val="single" w:color="auto" w:sz="4" w:space="0"/>
              <w:right w:val="single" w:color="auto" w:sz="4" w:space="0"/>
            </w:tcBorders>
            <w:noWrap w:val="0"/>
            <w:vAlign w:val="center"/>
          </w:tcPr>
          <w:p w14:paraId="279A15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58BCF7A">
        <w:tblPrEx>
          <w:tblCellMar>
            <w:top w:w="0" w:type="dxa"/>
            <w:left w:w="108" w:type="dxa"/>
            <w:bottom w:w="0" w:type="dxa"/>
            <w:right w:w="108" w:type="dxa"/>
          </w:tblCellMar>
        </w:tblPrEx>
        <w:trPr>
          <w:trHeight w:val="6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6DA94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92CD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7728C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7FD16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文明执勤</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7477F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无负面舆情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1C66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无负面舆情</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71AF4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785" w:type="dxa"/>
            <w:tcBorders>
              <w:top w:val="nil"/>
              <w:left w:val="nil"/>
              <w:bottom w:val="single" w:color="auto" w:sz="4" w:space="0"/>
              <w:right w:val="single" w:color="auto" w:sz="4" w:space="0"/>
            </w:tcBorders>
            <w:noWrap w:val="0"/>
            <w:vAlign w:val="center"/>
          </w:tcPr>
          <w:p w14:paraId="666568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06" w:type="dxa"/>
            <w:tcBorders>
              <w:top w:val="nil"/>
              <w:left w:val="nil"/>
              <w:bottom w:val="single" w:color="auto" w:sz="4" w:space="0"/>
              <w:right w:val="single" w:color="auto" w:sz="4" w:space="0"/>
            </w:tcBorders>
            <w:noWrap w:val="0"/>
            <w:vAlign w:val="center"/>
          </w:tcPr>
          <w:p w14:paraId="3A3B9A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E40EB90">
        <w:tblPrEx>
          <w:tblCellMar>
            <w:top w:w="0" w:type="dxa"/>
            <w:left w:w="108" w:type="dxa"/>
            <w:bottom w:w="0" w:type="dxa"/>
            <w:right w:w="108" w:type="dxa"/>
          </w:tblCellMar>
        </w:tblPrEx>
        <w:trPr>
          <w:trHeight w:val="72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B7D9A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31DC7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03194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CAC3E7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违停车辆信息录入准确率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0E291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录入准确率97%以上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FDE13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录入准确率99.6%以上</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C3091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nil"/>
              <w:left w:val="nil"/>
              <w:bottom w:val="single" w:color="auto" w:sz="4" w:space="0"/>
              <w:right w:val="single" w:color="auto" w:sz="4" w:space="0"/>
            </w:tcBorders>
            <w:noWrap w:val="0"/>
            <w:vAlign w:val="center"/>
          </w:tcPr>
          <w:p w14:paraId="2DF9B5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nil"/>
              <w:left w:val="nil"/>
              <w:bottom w:val="single" w:color="auto" w:sz="4" w:space="0"/>
              <w:right w:val="single" w:color="auto" w:sz="4" w:space="0"/>
            </w:tcBorders>
            <w:noWrap w:val="0"/>
            <w:vAlign w:val="center"/>
          </w:tcPr>
          <w:p w14:paraId="321060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32042012">
        <w:tblPrEx>
          <w:tblCellMar>
            <w:top w:w="0" w:type="dxa"/>
            <w:left w:w="108" w:type="dxa"/>
            <w:bottom w:w="0" w:type="dxa"/>
            <w:right w:w="108" w:type="dxa"/>
          </w:tblCellMar>
        </w:tblPrEx>
        <w:trPr>
          <w:trHeight w:val="72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69B35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3B17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FA063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DFAC79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协管队员管理及考核</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E263C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考核合格率</w:t>
            </w:r>
            <w:r>
              <w:rPr>
                <w:rFonts w:hint="eastAsia" w:ascii="仿宋_GB2312" w:hAnsi="仿宋_GB2312" w:eastAsia="仿宋_GB2312" w:cs="仿宋_GB2312"/>
                <w:color w:val="000000"/>
                <w:sz w:val="20"/>
                <w:szCs w:val="20"/>
                <w:highlight w:val="none"/>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A26A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164AC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nil"/>
              <w:left w:val="nil"/>
              <w:bottom w:val="single" w:color="auto" w:sz="4" w:space="0"/>
              <w:right w:val="single" w:color="auto" w:sz="4" w:space="0"/>
            </w:tcBorders>
            <w:noWrap w:val="0"/>
            <w:vAlign w:val="center"/>
          </w:tcPr>
          <w:p w14:paraId="0A0571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nil"/>
              <w:left w:val="nil"/>
              <w:bottom w:val="single" w:color="auto" w:sz="4" w:space="0"/>
              <w:right w:val="single" w:color="auto" w:sz="4" w:space="0"/>
            </w:tcBorders>
            <w:noWrap w:val="0"/>
            <w:vAlign w:val="center"/>
          </w:tcPr>
          <w:p w14:paraId="52F188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142E2EA">
        <w:tblPrEx>
          <w:tblCellMar>
            <w:top w:w="0" w:type="dxa"/>
            <w:left w:w="108" w:type="dxa"/>
            <w:bottom w:w="0" w:type="dxa"/>
            <w:right w:w="108" w:type="dxa"/>
          </w:tblCellMar>
        </w:tblPrEx>
        <w:trPr>
          <w:trHeight w:val="91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5A2C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E549B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E2111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5E017C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违停车辆信息录入</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07536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符合相关法律法规要求</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4959A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均符合相关法律法规要求</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F0697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23BBDE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223341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7E462458">
        <w:tblPrEx>
          <w:tblCellMar>
            <w:top w:w="0" w:type="dxa"/>
            <w:left w:w="108" w:type="dxa"/>
            <w:bottom w:w="0" w:type="dxa"/>
            <w:right w:w="108" w:type="dxa"/>
          </w:tblCellMar>
        </w:tblPrEx>
        <w:trPr>
          <w:trHeight w:val="91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C4A1D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82D7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51BA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F6488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按考核结果发放协管员工资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004049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每月</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ABD8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每月</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5E615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657724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62C6BD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756F473">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3086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C9BFF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E65C2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79051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是否对社会发展可能造成负面影响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153A7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95DEC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53EE0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1401FA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2DD198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76920D6">
        <w:trPr>
          <w:jc w:val="center"/>
        </w:trPr>
        <w:tc>
          <w:tcPr>
            <w:tcW w:w="1080" w:type="dxa"/>
            <w:vMerge w:val="continue"/>
            <w:tcBorders>
              <w:top w:val="single" w:color="auto" w:sz="4" w:space="0"/>
              <w:left w:val="single" w:color="auto" w:sz="4" w:space="0"/>
              <w:right w:val="single" w:color="auto" w:sz="4" w:space="0"/>
            </w:tcBorders>
            <w:noWrap w:val="0"/>
            <w:vAlign w:val="center"/>
          </w:tcPr>
          <w:p w14:paraId="64AE22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right w:val="single" w:color="auto" w:sz="4" w:space="0"/>
            </w:tcBorders>
            <w:noWrap w:val="0"/>
            <w:vAlign w:val="center"/>
          </w:tcPr>
          <w:p w14:paraId="3AD3A9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4F2207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nil"/>
              <w:bottom w:val="single" w:color="auto" w:sz="4" w:space="0"/>
              <w:right w:val="single" w:color="auto" w:sz="4" w:space="0"/>
            </w:tcBorders>
            <w:noWrap w:val="0"/>
            <w:vAlign w:val="center"/>
          </w:tcPr>
          <w:p w14:paraId="350B63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年初预算经费</w:t>
            </w:r>
          </w:p>
        </w:tc>
        <w:tc>
          <w:tcPr>
            <w:tcW w:w="1134" w:type="dxa"/>
            <w:tcBorders>
              <w:top w:val="single" w:color="auto" w:sz="4" w:space="0"/>
              <w:left w:val="nil"/>
              <w:bottom w:val="single" w:color="auto" w:sz="4" w:space="0"/>
              <w:right w:val="single" w:color="auto" w:sz="4" w:space="0"/>
            </w:tcBorders>
            <w:noWrap w:val="0"/>
            <w:vAlign w:val="center"/>
          </w:tcPr>
          <w:p w14:paraId="6EC64F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22.5万元</w:t>
            </w:r>
          </w:p>
        </w:tc>
        <w:tc>
          <w:tcPr>
            <w:tcW w:w="1134" w:type="dxa"/>
            <w:tcBorders>
              <w:top w:val="single" w:color="auto" w:sz="4" w:space="0"/>
              <w:left w:val="nil"/>
              <w:bottom w:val="single" w:color="auto" w:sz="4" w:space="0"/>
              <w:right w:val="single" w:color="auto" w:sz="4" w:space="0"/>
            </w:tcBorders>
            <w:noWrap w:val="0"/>
            <w:vAlign w:val="center"/>
          </w:tcPr>
          <w:p w14:paraId="476DF9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未超预算</w:t>
            </w:r>
          </w:p>
        </w:tc>
        <w:tc>
          <w:tcPr>
            <w:tcW w:w="828" w:type="dxa"/>
            <w:tcBorders>
              <w:top w:val="single" w:color="auto" w:sz="4" w:space="0"/>
              <w:left w:val="nil"/>
              <w:bottom w:val="single" w:color="auto" w:sz="4" w:space="0"/>
              <w:right w:val="single" w:color="auto" w:sz="4" w:space="0"/>
            </w:tcBorders>
            <w:noWrap w:val="0"/>
            <w:vAlign w:val="center"/>
          </w:tcPr>
          <w:p w14:paraId="1CBE12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785" w:type="dxa"/>
            <w:tcBorders>
              <w:top w:val="single" w:color="auto" w:sz="4" w:space="0"/>
              <w:left w:val="nil"/>
              <w:bottom w:val="single" w:color="auto" w:sz="4" w:space="0"/>
              <w:right w:val="single" w:color="auto" w:sz="4" w:space="0"/>
            </w:tcBorders>
            <w:noWrap w:val="0"/>
            <w:vAlign w:val="center"/>
          </w:tcPr>
          <w:p w14:paraId="208024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06" w:type="dxa"/>
            <w:tcBorders>
              <w:top w:val="single" w:color="auto" w:sz="4" w:space="0"/>
              <w:left w:val="nil"/>
              <w:bottom w:val="single" w:color="auto" w:sz="4" w:space="0"/>
              <w:right w:val="single" w:color="auto" w:sz="4" w:space="0"/>
            </w:tcBorders>
            <w:noWrap w:val="0"/>
            <w:vAlign w:val="center"/>
          </w:tcPr>
          <w:p w14:paraId="683CB7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C0B4124">
        <w:trPr>
          <w:jc w:val="center"/>
        </w:trPr>
        <w:tc>
          <w:tcPr>
            <w:tcW w:w="1080" w:type="dxa"/>
            <w:vMerge w:val="continue"/>
            <w:tcBorders>
              <w:left w:val="single" w:color="auto" w:sz="4" w:space="0"/>
              <w:right w:val="single" w:color="auto" w:sz="4" w:space="0"/>
            </w:tcBorders>
            <w:noWrap w:val="0"/>
            <w:vAlign w:val="center"/>
          </w:tcPr>
          <w:p w14:paraId="4CA3E7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14:paraId="02C2CE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56B319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14:paraId="3A0CB7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是否对自然生态环境造成负面影响</w:t>
            </w:r>
          </w:p>
        </w:tc>
        <w:tc>
          <w:tcPr>
            <w:tcW w:w="1134" w:type="dxa"/>
            <w:tcBorders>
              <w:top w:val="nil"/>
              <w:left w:val="nil"/>
              <w:bottom w:val="single" w:color="auto" w:sz="4" w:space="0"/>
              <w:right w:val="single" w:color="auto" w:sz="4" w:space="0"/>
            </w:tcBorders>
            <w:noWrap w:val="0"/>
            <w:vAlign w:val="center"/>
          </w:tcPr>
          <w:p w14:paraId="10BA98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tcBorders>
              <w:top w:val="nil"/>
              <w:left w:val="nil"/>
              <w:bottom w:val="single" w:color="auto" w:sz="4" w:space="0"/>
              <w:right w:val="single" w:color="auto" w:sz="4" w:space="0"/>
            </w:tcBorders>
            <w:noWrap w:val="0"/>
            <w:vAlign w:val="center"/>
          </w:tcPr>
          <w:p w14:paraId="63F191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828" w:type="dxa"/>
            <w:tcBorders>
              <w:top w:val="nil"/>
              <w:left w:val="nil"/>
              <w:bottom w:val="single" w:color="auto" w:sz="4" w:space="0"/>
              <w:right w:val="single" w:color="auto" w:sz="4" w:space="0"/>
            </w:tcBorders>
            <w:noWrap w:val="0"/>
            <w:vAlign w:val="center"/>
          </w:tcPr>
          <w:p w14:paraId="2AD7BE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785" w:type="dxa"/>
            <w:tcBorders>
              <w:top w:val="nil"/>
              <w:left w:val="nil"/>
              <w:bottom w:val="single" w:color="auto" w:sz="4" w:space="0"/>
              <w:right w:val="single" w:color="auto" w:sz="4" w:space="0"/>
            </w:tcBorders>
            <w:noWrap w:val="0"/>
            <w:vAlign w:val="center"/>
          </w:tcPr>
          <w:p w14:paraId="5487D6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506" w:type="dxa"/>
            <w:tcBorders>
              <w:top w:val="nil"/>
              <w:left w:val="nil"/>
              <w:bottom w:val="single" w:color="auto" w:sz="4" w:space="0"/>
              <w:right w:val="single" w:color="auto" w:sz="4" w:space="0"/>
            </w:tcBorders>
            <w:noWrap w:val="0"/>
            <w:vAlign w:val="center"/>
          </w:tcPr>
          <w:p w14:paraId="35ABFB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07E9855">
        <w:trPr>
          <w:jc w:val="center"/>
        </w:trPr>
        <w:tc>
          <w:tcPr>
            <w:tcW w:w="1080" w:type="dxa"/>
            <w:vMerge w:val="continue"/>
            <w:tcBorders>
              <w:left w:val="single" w:color="auto" w:sz="4" w:space="0"/>
              <w:right w:val="single" w:color="auto" w:sz="4" w:space="0"/>
            </w:tcBorders>
            <w:noWrap w:val="0"/>
            <w:vAlign w:val="center"/>
          </w:tcPr>
          <w:p w14:paraId="505788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8371E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F4740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0D5B25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20110D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vMerge w:val="restart"/>
            <w:tcBorders>
              <w:top w:val="single" w:color="auto" w:sz="4" w:space="0"/>
              <w:left w:val="single" w:color="auto" w:sz="4" w:space="0"/>
              <w:right w:val="single" w:color="auto" w:sz="4" w:space="0"/>
            </w:tcBorders>
            <w:noWrap w:val="0"/>
            <w:vAlign w:val="center"/>
          </w:tcPr>
          <w:p w14:paraId="4E85DA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8F5CB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B908A5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产生一定的罚没收入</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7E0A00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完成年度非税收入计划额</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39D8F5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未完成</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1E17B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nil"/>
              <w:left w:val="nil"/>
              <w:bottom w:val="single" w:color="auto" w:sz="4" w:space="0"/>
              <w:right w:val="single" w:color="auto" w:sz="4" w:space="0"/>
            </w:tcBorders>
            <w:noWrap w:val="0"/>
            <w:vAlign w:val="center"/>
          </w:tcPr>
          <w:p w14:paraId="2EACBA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nil"/>
              <w:left w:val="nil"/>
              <w:bottom w:val="single" w:color="auto" w:sz="4" w:space="0"/>
              <w:right w:val="single" w:color="auto" w:sz="4" w:space="0"/>
            </w:tcBorders>
            <w:noWrap w:val="0"/>
            <w:vAlign w:val="center"/>
          </w:tcPr>
          <w:p w14:paraId="3694D2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18"/>
                <w:szCs w:val="18"/>
                <w:highlight w:val="none"/>
                <w:lang w:eastAsia="zh-CN"/>
              </w:rPr>
              <w:t>重大政策调整，建立车辆管理信息平台，停车管理逐步完善。</w:t>
            </w:r>
          </w:p>
        </w:tc>
      </w:tr>
      <w:tr w14:paraId="15BF34C9">
        <w:trPr>
          <w:jc w:val="center"/>
        </w:trPr>
        <w:tc>
          <w:tcPr>
            <w:tcW w:w="1080" w:type="dxa"/>
            <w:vMerge w:val="continue"/>
            <w:tcBorders>
              <w:left w:val="single" w:color="auto" w:sz="4" w:space="0"/>
              <w:right w:val="single" w:color="auto" w:sz="4" w:space="0"/>
            </w:tcBorders>
            <w:noWrap w:val="0"/>
            <w:vAlign w:val="center"/>
          </w:tcPr>
          <w:p w14:paraId="1FE3DC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right w:val="single" w:color="auto" w:sz="4" w:space="0"/>
            </w:tcBorders>
            <w:noWrap w:val="0"/>
            <w:vAlign w:val="center"/>
          </w:tcPr>
          <w:p w14:paraId="362C6C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4DB696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4A36A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产生一定的间接经济效益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3DE52A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协管员工资、保险按时支付</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2FAA2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协管员工资、保险按时支付</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BAA21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nil"/>
              <w:left w:val="nil"/>
              <w:bottom w:val="single" w:color="auto" w:sz="4" w:space="0"/>
              <w:right w:val="single" w:color="auto" w:sz="4" w:space="0"/>
            </w:tcBorders>
            <w:noWrap w:val="0"/>
            <w:vAlign w:val="center"/>
          </w:tcPr>
          <w:p w14:paraId="5EF1CF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nil"/>
              <w:left w:val="nil"/>
              <w:bottom w:val="single" w:color="auto" w:sz="4" w:space="0"/>
              <w:right w:val="single" w:color="auto" w:sz="4" w:space="0"/>
            </w:tcBorders>
            <w:noWrap w:val="0"/>
            <w:vAlign w:val="center"/>
          </w:tcPr>
          <w:p w14:paraId="6584A8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3E1D1143">
        <w:trPr>
          <w:jc w:val="center"/>
        </w:trPr>
        <w:tc>
          <w:tcPr>
            <w:tcW w:w="1080" w:type="dxa"/>
            <w:vMerge w:val="continue"/>
            <w:tcBorders>
              <w:left w:val="single" w:color="auto" w:sz="4" w:space="0"/>
              <w:right w:val="single" w:color="auto" w:sz="4" w:space="0"/>
            </w:tcBorders>
            <w:noWrap w:val="0"/>
            <w:vAlign w:val="center"/>
          </w:tcPr>
          <w:p w14:paraId="47870A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A5CD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right w:val="single" w:color="auto" w:sz="4" w:space="0"/>
            </w:tcBorders>
            <w:noWrap w:val="0"/>
            <w:vAlign w:val="center"/>
          </w:tcPr>
          <w:p w14:paraId="2BBA19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5C5928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F75F39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城区人行道畅通</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564BB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保障城区人行道畅通，市民出行便利。</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A4EF0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城区人行道畅通，市民出行便利。</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DFEB6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nil"/>
              <w:left w:val="nil"/>
              <w:bottom w:val="single" w:color="auto" w:sz="4" w:space="0"/>
              <w:right w:val="single" w:color="auto" w:sz="4" w:space="0"/>
            </w:tcBorders>
            <w:noWrap w:val="0"/>
            <w:vAlign w:val="center"/>
          </w:tcPr>
          <w:p w14:paraId="5001DC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nil"/>
              <w:left w:val="nil"/>
              <w:bottom w:val="single" w:color="auto" w:sz="4" w:space="0"/>
              <w:right w:val="single" w:color="auto" w:sz="4" w:space="0"/>
            </w:tcBorders>
            <w:noWrap w:val="0"/>
            <w:vAlign w:val="center"/>
          </w:tcPr>
          <w:p w14:paraId="0E103F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08C23960">
        <w:trPr>
          <w:jc w:val="center"/>
        </w:trPr>
        <w:tc>
          <w:tcPr>
            <w:tcW w:w="1080" w:type="dxa"/>
            <w:vMerge w:val="continue"/>
            <w:tcBorders>
              <w:left w:val="single" w:color="auto" w:sz="4" w:space="0"/>
              <w:right w:val="single" w:color="auto" w:sz="4" w:space="0"/>
            </w:tcBorders>
            <w:noWrap w:val="0"/>
            <w:vAlign w:val="center"/>
          </w:tcPr>
          <w:p w14:paraId="443EB6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FF270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580F18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6F039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城区人行道停车秩序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980D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提升</w:t>
            </w:r>
            <w:r>
              <w:rPr>
                <w:rFonts w:hint="eastAsia" w:ascii="仿宋_GB2312" w:hAnsi="仿宋_GB2312" w:eastAsia="仿宋_GB2312" w:cs="仿宋_GB2312"/>
                <w:color w:val="000000"/>
                <w:sz w:val="20"/>
                <w:szCs w:val="20"/>
                <w:highlight w:val="none"/>
              </w:rPr>
              <w:t>城市停车管理秩序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26E9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城市停车秩序管理全面提升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5D733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nil"/>
              <w:left w:val="nil"/>
              <w:bottom w:val="single" w:color="auto" w:sz="4" w:space="0"/>
              <w:right w:val="single" w:color="auto" w:sz="4" w:space="0"/>
            </w:tcBorders>
            <w:noWrap w:val="0"/>
            <w:vAlign w:val="center"/>
          </w:tcPr>
          <w:p w14:paraId="240C8D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nil"/>
              <w:left w:val="nil"/>
              <w:bottom w:val="single" w:color="auto" w:sz="4" w:space="0"/>
              <w:right w:val="single" w:color="auto" w:sz="4" w:space="0"/>
            </w:tcBorders>
            <w:noWrap w:val="0"/>
            <w:vAlign w:val="center"/>
          </w:tcPr>
          <w:p w14:paraId="78C96A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D82F31E">
        <w:trPr>
          <w:jc w:val="center"/>
        </w:trPr>
        <w:tc>
          <w:tcPr>
            <w:tcW w:w="1080" w:type="dxa"/>
            <w:vMerge w:val="continue"/>
            <w:tcBorders>
              <w:left w:val="single" w:color="auto" w:sz="4" w:space="0"/>
              <w:right w:val="single" w:color="auto" w:sz="4" w:space="0"/>
            </w:tcBorders>
            <w:noWrap w:val="0"/>
            <w:vAlign w:val="center"/>
          </w:tcPr>
          <w:p w14:paraId="353A6E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39AA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DEBA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77674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633D3D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是否产生一定的生态效益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511F53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无生态效益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E1AA5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无生态效益</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FB798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785" w:type="dxa"/>
            <w:tcBorders>
              <w:top w:val="nil"/>
              <w:left w:val="nil"/>
              <w:bottom w:val="single" w:color="auto" w:sz="4" w:space="0"/>
              <w:right w:val="single" w:color="auto" w:sz="4" w:space="0"/>
            </w:tcBorders>
            <w:noWrap w:val="0"/>
            <w:vAlign w:val="center"/>
          </w:tcPr>
          <w:p w14:paraId="4B4B86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506" w:type="dxa"/>
            <w:tcBorders>
              <w:top w:val="nil"/>
              <w:left w:val="nil"/>
              <w:bottom w:val="single" w:color="auto" w:sz="4" w:space="0"/>
              <w:right w:val="single" w:color="auto" w:sz="4" w:space="0"/>
            </w:tcBorders>
            <w:noWrap w:val="0"/>
            <w:vAlign w:val="center"/>
          </w:tcPr>
          <w:p w14:paraId="4B7F42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18940FD">
        <w:trPr>
          <w:jc w:val="center"/>
        </w:trPr>
        <w:tc>
          <w:tcPr>
            <w:tcW w:w="1080" w:type="dxa"/>
            <w:vMerge w:val="continue"/>
            <w:tcBorders>
              <w:left w:val="single" w:color="auto" w:sz="4" w:space="0"/>
              <w:right w:val="single" w:color="auto" w:sz="4" w:space="0"/>
            </w:tcBorders>
            <w:noWrap w:val="0"/>
            <w:vAlign w:val="center"/>
          </w:tcPr>
          <w:p w14:paraId="3803F3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DB46B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BB124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B60D22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助力城区人行道停车管理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11F2C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城区人行道停车秩序良好</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5F43AE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城区人行道停车秩序良好</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EA67F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0F2573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1010F8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7A04651">
        <w:trPr>
          <w:jc w:val="center"/>
        </w:trPr>
        <w:tc>
          <w:tcPr>
            <w:tcW w:w="1080" w:type="dxa"/>
            <w:vMerge w:val="continue"/>
            <w:tcBorders>
              <w:left w:val="single" w:color="auto" w:sz="4" w:space="0"/>
              <w:right w:val="single" w:color="auto" w:sz="4" w:space="0"/>
            </w:tcBorders>
            <w:noWrap w:val="0"/>
            <w:vAlign w:val="center"/>
          </w:tcPr>
          <w:p w14:paraId="467318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E4043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6F2B4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EB963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协助单位工作人员工作</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A79DD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协助及时完成工作</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FF414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及时完成了业务管理相关辅助工作</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0F70D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785" w:type="dxa"/>
            <w:tcBorders>
              <w:top w:val="single" w:color="auto" w:sz="4" w:space="0"/>
              <w:left w:val="nil"/>
              <w:bottom w:val="single" w:color="auto" w:sz="4" w:space="0"/>
              <w:right w:val="single" w:color="auto" w:sz="4" w:space="0"/>
            </w:tcBorders>
            <w:noWrap w:val="0"/>
            <w:vAlign w:val="center"/>
          </w:tcPr>
          <w:p w14:paraId="5E2C91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06" w:type="dxa"/>
            <w:tcBorders>
              <w:top w:val="single" w:color="auto" w:sz="4" w:space="0"/>
              <w:left w:val="nil"/>
              <w:bottom w:val="single" w:color="auto" w:sz="4" w:space="0"/>
              <w:right w:val="single" w:color="auto" w:sz="4" w:space="0"/>
            </w:tcBorders>
            <w:noWrap w:val="0"/>
            <w:vAlign w:val="center"/>
          </w:tcPr>
          <w:p w14:paraId="50C8C3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F20D409">
        <w:trPr>
          <w:jc w:val="center"/>
        </w:trPr>
        <w:tc>
          <w:tcPr>
            <w:tcW w:w="1080" w:type="dxa"/>
            <w:vMerge w:val="continue"/>
            <w:tcBorders>
              <w:left w:val="single" w:color="auto" w:sz="4" w:space="0"/>
              <w:right w:val="single" w:color="auto" w:sz="4" w:space="0"/>
            </w:tcBorders>
            <w:noWrap w:val="0"/>
            <w:vAlign w:val="center"/>
          </w:tcPr>
          <w:p w14:paraId="064CA5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8526C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1E9374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601308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8E2A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0DF83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群众满意度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3927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95%以上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0C07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3DACC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785" w:type="dxa"/>
            <w:tcBorders>
              <w:top w:val="nil"/>
              <w:left w:val="nil"/>
              <w:bottom w:val="single" w:color="auto" w:sz="4" w:space="0"/>
              <w:right w:val="single" w:color="auto" w:sz="4" w:space="0"/>
            </w:tcBorders>
            <w:noWrap w:val="0"/>
            <w:vAlign w:val="center"/>
          </w:tcPr>
          <w:p w14:paraId="5B09E3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506" w:type="dxa"/>
            <w:tcBorders>
              <w:top w:val="nil"/>
              <w:left w:val="nil"/>
              <w:bottom w:val="single" w:color="auto" w:sz="4" w:space="0"/>
              <w:right w:val="single" w:color="auto" w:sz="4" w:space="0"/>
            </w:tcBorders>
            <w:noWrap w:val="0"/>
            <w:vAlign w:val="center"/>
          </w:tcPr>
          <w:p w14:paraId="7C1EA3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AE25303">
        <w:tblPrEx>
          <w:tblCellMar>
            <w:top w:w="0" w:type="dxa"/>
            <w:left w:w="108" w:type="dxa"/>
            <w:bottom w:w="0" w:type="dxa"/>
            <w:right w:w="108" w:type="dxa"/>
          </w:tblCellMar>
        </w:tblPrEx>
        <w:trPr>
          <w:trHeight w:val="490" w:hRule="atLeast"/>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0D9872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0A45CD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785" w:type="dxa"/>
            <w:tcBorders>
              <w:top w:val="nil"/>
              <w:left w:val="nil"/>
              <w:bottom w:val="single" w:color="auto" w:sz="4" w:space="0"/>
              <w:right w:val="single" w:color="auto" w:sz="4" w:space="0"/>
            </w:tcBorders>
            <w:noWrap w:val="0"/>
            <w:vAlign w:val="center"/>
          </w:tcPr>
          <w:p w14:paraId="535A35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506" w:type="dxa"/>
            <w:tcBorders>
              <w:top w:val="nil"/>
              <w:left w:val="nil"/>
              <w:bottom w:val="single" w:color="auto" w:sz="4" w:space="0"/>
              <w:right w:val="single" w:color="auto" w:sz="4" w:space="0"/>
            </w:tcBorders>
            <w:noWrap w:val="0"/>
            <w:vAlign w:val="center"/>
          </w:tcPr>
          <w:p w14:paraId="254615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C0D1547">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sz w:val="22"/>
          <w:szCs w:val="22"/>
          <w:highlight w:val="none"/>
        </w:rPr>
      </w:pPr>
    </w:p>
    <w:p w14:paraId="6CE98D91">
      <w:pPr>
        <w:widowControl/>
        <w:spacing w:line="600" w:lineRule="exact"/>
        <w:jc w:val="left"/>
        <w:rPr>
          <w:rFonts w:hint="eastAsia" w:ascii="黑体" w:hAnsi="黑体" w:eastAsia="黑体" w:cs="黑体"/>
          <w:sz w:val="32"/>
          <w:szCs w:val="32"/>
          <w:highlight w:val="none"/>
        </w:rPr>
      </w:pPr>
      <w:r>
        <w:rPr>
          <w:rFonts w:hint="eastAsia" w:ascii="仿宋_GB2312" w:hAnsi="仿宋_GB2312" w:eastAsia="仿宋_GB2312" w:cs="仿宋_GB2312"/>
          <w:sz w:val="22"/>
          <w:highlight w:val="none"/>
        </w:rPr>
        <w:t>填表人：</w:t>
      </w:r>
      <w:r>
        <w:rPr>
          <w:rFonts w:hint="eastAsia" w:ascii="仿宋_GB2312" w:hAnsi="仿宋_GB2312" w:eastAsia="仿宋_GB2312" w:cs="仿宋_GB2312"/>
          <w:sz w:val="22"/>
          <w:highlight w:val="none"/>
          <w:lang w:val="en-US" w:eastAsia="zh-CN"/>
        </w:rPr>
        <w:t>龙邓</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填报日期：</w:t>
      </w:r>
      <w:r>
        <w:rPr>
          <w:rFonts w:hint="eastAsia" w:ascii="仿宋_GB2312" w:hAnsi="仿宋_GB2312" w:eastAsia="仿宋_GB2312" w:cs="仿宋_GB2312"/>
          <w:sz w:val="22"/>
          <w:highlight w:val="none"/>
          <w:lang w:val="en-US" w:eastAsia="zh-CN"/>
        </w:rPr>
        <w:t>2026.6.22</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联系电话：</w:t>
      </w:r>
      <w:r>
        <w:rPr>
          <w:rFonts w:hint="eastAsia" w:ascii="仿宋_GB2312" w:hAnsi="仿宋_GB2312" w:eastAsia="仿宋_GB2312" w:cs="仿宋_GB2312"/>
          <w:sz w:val="22"/>
          <w:highlight w:val="none"/>
          <w:lang w:val="en-US" w:eastAsia="zh-CN"/>
        </w:rPr>
        <w:t>8220516</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单位负责人：</w:t>
      </w:r>
      <w:r>
        <w:rPr>
          <w:rFonts w:hint="eastAsia" w:ascii="仿宋_GB2312" w:hAnsi="仿宋_GB2312" w:eastAsia="仿宋_GB2312" w:cs="仿宋_GB2312"/>
          <w:sz w:val="22"/>
          <w:highlight w:val="none"/>
          <w:lang w:val="en-US" w:eastAsia="zh-CN"/>
        </w:rPr>
        <w:t>何志军</w:t>
      </w:r>
    </w:p>
    <w:p w14:paraId="464AE3CA">
      <w:pPr>
        <w:widowControl/>
        <w:spacing w:line="600" w:lineRule="exact"/>
        <w:jc w:val="left"/>
        <w:rPr>
          <w:rFonts w:hint="eastAsia" w:ascii="黑体" w:hAnsi="黑体" w:eastAsia="黑体" w:cs="黑体"/>
          <w:sz w:val="32"/>
          <w:szCs w:val="32"/>
          <w:highlight w:val="none"/>
        </w:rPr>
      </w:pPr>
    </w:p>
    <w:p w14:paraId="5A4FC6AD">
      <w:pPr>
        <w:widowControl/>
        <w:spacing w:line="600" w:lineRule="exact"/>
        <w:jc w:val="left"/>
        <w:rPr>
          <w:rFonts w:hint="eastAsia" w:ascii="黑体" w:hAnsi="黑体" w:eastAsia="黑体" w:cs="黑体"/>
          <w:sz w:val="32"/>
          <w:szCs w:val="32"/>
          <w:highlight w:val="none"/>
        </w:rPr>
      </w:pPr>
    </w:p>
    <w:p w14:paraId="3B7653F9">
      <w:pPr>
        <w:widowControl/>
        <w:spacing w:line="600" w:lineRule="exact"/>
        <w:jc w:val="left"/>
        <w:rPr>
          <w:rFonts w:hint="eastAsia" w:ascii="黑体" w:hAnsi="黑体" w:eastAsia="黑体" w:cs="黑体"/>
          <w:sz w:val="32"/>
          <w:szCs w:val="32"/>
          <w:highlight w:val="none"/>
        </w:rPr>
      </w:pPr>
    </w:p>
    <w:p w14:paraId="5D5CDE51">
      <w:pPr>
        <w:pStyle w:val="2"/>
        <w:rPr>
          <w:rFonts w:hint="eastAsia"/>
        </w:rPr>
      </w:pPr>
    </w:p>
    <w:p w14:paraId="41ACC124">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1-3</w:t>
      </w:r>
    </w:p>
    <w:p w14:paraId="7BC210BA">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6E170272">
      <w:pPr>
        <w:pStyle w:val="4"/>
        <w:rPr>
          <w:rFonts w:hint="eastAsia"/>
        </w:rPr>
      </w:pP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47F3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45A64F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7DD8207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noWrap w:val="0"/>
            <w:vAlign w:val="center"/>
          </w:tcPr>
          <w:p w14:paraId="1FBBC77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办案费</w:t>
            </w:r>
          </w:p>
        </w:tc>
      </w:tr>
      <w:tr w14:paraId="260D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80" w:type="dxa"/>
            <w:noWrap w:val="0"/>
            <w:vAlign w:val="center"/>
          </w:tcPr>
          <w:p w14:paraId="77C6A04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noWrap w:val="0"/>
            <w:vAlign w:val="center"/>
          </w:tcPr>
          <w:p w14:paraId="3029DAE8">
            <w:pPr>
              <w:keepNext w:val="0"/>
              <w:keepLines w:val="0"/>
              <w:pageBreakBefore w:val="0"/>
              <w:widowControl/>
              <w:tabs>
                <w:tab w:val="right" w:pos="4302"/>
              </w:tabs>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岳阳市城市管理和综合执法局</w:t>
            </w:r>
          </w:p>
        </w:tc>
        <w:tc>
          <w:tcPr>
            <w:tcW w:w="1134" w:type="dxa"/>
            <w:noWrap w:val="0"/>
            <w:vAlign w:val="center"/>
          </w:tcPr>
          <w:p w14:paraId="5AA4BB5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实施单位</w:t>
            </w:r>
          </w:p>
        </w:tc>
        <w:tc>
          <w:tcPr>
            <w:tcW w:w="3119" w:type="dxa"/>
            <w:gridSpan w:val="3"/>
            <w:noWrap w:val="0"/>
            <w:vAlign w:val="center"/>
          </w:tcPr>
          <w:p w14:paraId="3A2F0FB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岳阳市停车管理服务中心</w:t>
            </w:r>
          </w:p>
        </w:tc>
      </w:tr>
      <w:tr w14:paraId="1183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4369812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noWrap w:val="0"/>
            <w:vAlign w:val="center"/>
          </w:tcPr>
          <w:p w14:paraId="2F3E1A1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noWrap w:val="0"/>
            <w:vAlign w:val="center"/>
          </w:tcPr>
          <w:p w14:paraId="5A69AB7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59B8E61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noWrap w:val="0"/>
            <w:vAlign w:val="center"/>
          </w:tcPr>
          <w:p w14:paraId="6119A4E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6818698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noWrap w:val="0"/>
            <w:vAlign w:val="center"/>
          </w:tcPr>
          <w:p w14:paraId="1471E35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7D3949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noWrap w:val="0"/>
            <w:vAlign w:val="center"/>
          </w:tcPr>
          <w:p w14:paraId="49C66D1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noWrap w:val="0"/>
            <w:vAlign w:val="center"/>
          </w:tcPr>
          <w:p w14:paraId="53BE193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noWrap w:val="0"/>
            <w:vAlign w:val="center"/>
          </w:tcPr>
          <w:p w14:paraId="3830063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7EA4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80" w:type="dxa"/>
            <w:vMerge w:val="continue"/>
            <w:noWrap w:val="0"/>
            <w:vAlign w:val="center"/>
          </w:tcPr>
          <w:p w14:paraId="2DC6FAB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060C8D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noWrap w:val="0"/>
            <w:vAlign w:val="center"/>
          </w:tcPr>
          <w:p w14:paraId="7D4CAA3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10.13</w:t>
            </w:r>
          </w:p>
        </w:tc>
        <w:tc>
          <w:tcPr>
            <w:tcW w:w="1134" w:type="dxa"/>
            <w:noWrap w:val="0"/>
            <w:vAlign w:val="center"/>
          </w:tcPr>
          <w:p w14:paraId="13E5F1B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10.13</w:t>
            </w:r>
          </w:p>
        </w:tc>
        <w:tc>
          <w:tcPr>
            <w:tcW w:w="1134" w:type="dxa"/>
            <w:noWrap w:val="0"/>
            <w:vAlign w:val="center"/>
          </w:tcPr>
          <w:p w14:paraId="77E9364C">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10.13</w:t>
            </w:r>
          </w:p>
        </w:tc>
        <w:tc>
          <w:tcPr>
            <w:tcW w:w="828" w:type="dxa"/>
            <w:noWrap w:val="0"/>
            <w:vAlign w:val="center"/>
          </w:tcPr>
          <w:p w14:paraId="2C805B5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noWrap w:val="0"/>
            <w:vAlign w:val="center"/>
          </w:tcPr>
          <w:p w14:paraId="57921E0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noWrap w:val="0"/>
            <w:vAlign w:val="center"/>
          </w:tcPr>
          <w:p w14:paraId="1900CCB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44E7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0" w:type="dxa"/>
            <w:vMerge w:val="continue"/>
            <w:noWrap w:val="0"/>
            <w:vAlign w:val="center"/>
          </w:tcPr>
          <w:p w14:paraId="79399CA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37AA76E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noWrap w:val="0"/>
            <w:vAlign w:val="center"/>
          </w:tcPr>
          <w:p w14:paraId="0AAAB26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0.00</w:t>
            </w:r>
          </w:p>
        </w:tc>
        <w:tc>
          <w:tcPr>
            <w:tcW w:w="1134" w:type="dxa"/>
            <w:noWrap w:val="0"/>
            <w:vAlign w:val="center"/>
          </w:tcPr>
          <w:p w14:paraId="0CA18A3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0.00</w:t>
            </w:r>
          </w:p>
        </w:tc>
        <w:tc>
          <w:tcPr>
            <w:tcW w:w="1134" w:type="dxa"/>
            <w:noWrap w:val="0"/>
            <w:vAlign w:val="center"/>
          </w:tcPr>
          <w:p w14:paraId="1B377C3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0.00</w:t>
            </w:r>
          </w:p>
        </w:tc>
        <w:tc>
          <w:tcPr>
            <w:tcW w:w="828" w:type="dxa"/>
            <w:noWrap w:val="0"/>
            <w:vAlign w:val="center"/>
          </w:tcPr>
          <w:p w14:paraId="7047E34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noWrap w:val="0"/>
            <w:vAlign w:val="center"/>
          </w:tcPr>
          <w:p w14:paraId="2DDC7F7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noWrap w:val="0"/>
            <w:vAlign w:val="center"/>
          </w:tcPr>
          <w:p w14:paraId="22CC882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BD2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80" w:type="dxa"/>
            <w:vMerge w:val="continue"/>
            <w:noWrap w:val="0"/>
            <w:vAlign w:val="center"/>
          </w:tcPr>
          <w:p w14:paraId="78484BD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67D6447B">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noWrap w:val="0"/>
            <w:vAlign w:val="center"/>
          </w:tcPr>
          <w:p w14:paraId="54652D6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10.13</w:t>
            </w:r>
          </w:p>
        </w:tc>
        <w:tc>
          <w:tcPr>
            <w:tcW w:w="1134" w:type="dxa"/>
            <w:noWrap w:val="0"/>
            <w:vAlign w:val="center"/>
          </w:tcPr>
          <w:p w14:paraId="4BA8001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10.13</w:t>
            </w:r>
          </w:p>
        </w:tc>
        <w:tc>
          <w:tcPr>
            <w:tcW w:w="1134" w:type="dxa"/>
            <w:noWrap w:val="0"/>
            <w:vAlign w:val="center"/>
          </w:tcPr>
          <w:p w14:paraId="4CF26F2F">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10.13</w:t>
            </w:r>
          </w:p>
        </w:tc>
        <w:tc>
          <w:tcPr>
            <w:tcW w:w="828" w:type="dxa"/>
            <w:noWrap w:val="0"/>
            <w:vAlign w:val="center"/>
          </w:tcPr>
          <w:p w14:paraId="7C4EAB6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noWrap w:val="0"/>
            <w:vAlign w:val="center"/>
          </w:tcPr>
          <w:p w14:paraId="458FADC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noWrap w:val="0"/>
            <w:vAlign w:val="center"/>
          </w:tcPr>
          <w:p w14:paraId="22D0A7A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B30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0" w:type="dxa"/>
            <w:vMerge w:val="continue"/>
            <w:noWrap w:val="0"/>
            <w:vAlign w:val="center"/>
          </w:tcPr>
          <w:p w14:paraId="7C422F8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184168B6">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noWrap w:val="0"/>
            <w:vAlign w:val="center"/>
          </w:tcPr>
          <w:p w14:paraId="67AEA24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16E8BE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54ADBFF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noWrap w:val="0"/>
            <w:vAlign w:val="center"/>
          </w:tcPr>
          <w:p w14:paraId="3A4C0EF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noWrap w:val="0"/>
            <w:vAlign w:val="center"/>
          </w:tcPr>
          <w:p w14:paraId="331F8CC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noWrap w:val="0"/>
            <w:vAlign w:val="center"/>
          </w:tcPr>
          <w:p w14:paraId="69A5CD0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159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restart"/>
            <w:noWrap w:val="0"/>
            <w:vAlign w:val="center"/>
          </w:tcPr>
          <w:p w14:paraId="5DA135D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noWrap w:val="0"/>
            <w:vAlign w:val="center"/>
          </w:tcPr>
          <w:p w14:paraId="4B50F2D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noWrap w:val="0"/>
            <w:vAlign w:val="center"/>
          </w:tcPr>
          <w:p w14:paraId="51142C3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EAE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1080" w:type="dxa"/>
            <w:vMerge w:val="continue"/>
            <w:noWrap w:val="0"/>
            <w:vAlign w:val="center"/>
          </w:tcPr>
          <w:p w14:paraId="23900ED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noWrap w:val="0"/>
            <w:vAlign w:val="center"/>
          </w:tcPr>
          <w:p w14:paraId="6BFA4F9C">
            <w:pPr>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保障</w:t>
            </w:r>
            <w:r>
              <w:rPr>
                <w:rFonts w:hint="eastAsia" w:ascii="仿宋_GB2312" w:hAnsi="仿宋_GB2312" w:eastAsia="仿宋_GB2312" w:cs="仿宋_GB2312"/>
                <w:color w:val="000000"/>
                <w:sz w:val="20"/>
                <w:szCs w:val="20"/>
                <w:highlight w:val="none"/>
                <w:lang w:val="en-US" w:eastAsia="zh-CN"/>
              </w:rPr>
              <w:t>中心城区人行道公共</w:t>
            </w:r>
            <w:r>
              <w:rPr>
                <w:rFonts w:hint="eastAsia" w:ascii="仿宋_GB2312" w:hAnsi="仿宋_GB2312" w:eastAsia="仿宋_GB2312" w:cs="仿宋_GB2312"/>
                <w:color w:val="000000"/>
                <w:sz w:val="20"/>
                <w:szCs w:val="20"/>
                <w:highlight w:val="none"/>
              </w:rPr>
              <w:t>停车</w:t>
            </w:r>
            <w:r>
              <w:rPr>
                <w:rFonts w:hint="eastAsia" w:ascii="仿宋_GB2312" w:hAnsi="仿宋_GB2312" w:eastAsia="仿宋_GB2312" w:cs="仿宋_GB2312"/>
                <w:color w:val="000000"/>
                <w:sz w:val="20"/>
                <w:szCs w:val="20"/>
                <w:highlight w:val="none"/>
                <w:lang w:val="en-US" w:eastAsia="zh-CN"/>
              </w:rPr>
              <w:t>泊位及停车辅助</w:t>
            </w:r>
            <w:r>
              <w:rPr>
                <w:rFonts w:hint="eastAsia" w:ascii="仿宋_GB2312" w:hAnsi="仿宋_GB2312" w:eastAsia="仿宋_GB2312" w:cs="仿宋_GB2312"/>
                <w:color w:val="000000"/>
                <w:sz w:val="20"/>
                <w:szCs w:val="20"/>
                <w:highlight w:val="none"/>
              </w:rPr>
              <w:t>设施</w:t>
            </w:r>
            <w:r>
              <w:rPr>
                <w:rFonts w:hint="eastAsia" w:ascii="仿宋_GB2312" w:hAnsi="仿宋_GB2312" w:eastAsia="仿宋_GB2312" w:cs="仿宋_GB2312"/>
                <w:color w:val="000000"/>
                <w:sz w:val="20"/>
                <w:szCs w:val="20"/>
                <w:highlight w:val="none"/>
                <w:lang w:val="en-US" w:eastAsia="zh-CN"/>
              </w:rPr>
              <w:t>的正常</w:t>
            </w:r>
            <w:r>
              <w:rPr>
                <w:rFonts w:hint="eastAsia" w:ascii="仿宋_GB2312" w:hAnsi="仿宋_GB2312" w:eastAsia="仿宋_GB2312" w:cs="仿宋_GB2312"/>
                <w:color w:val="000000"/>
                <w:sz w:val="20"/>
                <w:szCs w:val="20"/>
                <w:highlight w:val="none"/>
              </w:rPr>
              <w:t>维护</w:t>
            </w:r>
            <w:r>
              <w:rPr>
                <w:rFonts w:hint="eastAsia" w:ascii="仿宋_GB2312" w:hAnsi="仿宋_GB2312" w:eastAsia="仿宋_GB2312" w:cs="仿宋_GB2312"/>
                <w:color w:val="000000"/>
                <w:sz w:val="20"/>
                <w:szCs w:val="20"/>
                <w:highlight w:val="none"/>
                <w:lang w:val="en-US" w:eastAsia="zh-CN"/>
              </w:rPr>
              <w:t>；</w:t>
            </w:r>
          </w:p>
          <w:p w14:paraId="2B8CA94A">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2、开展绿色、安全出行宣传；</w:t>
            </w:r>
          </w:p>
          <w:p w14:paraId="095358CC">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3、对原公共自行车设备存放仓库进行维修维护。</w:t>
            </w:r>
            <w:r>
              <w:rPr>
                <w:rFonts w:hint="eastAsia" w:ascii="仿宋_GB2312" w:hAnsi="仿宋_GB2312" w:eastAsia="仿宋_GB2312" w:cs="仿宋_GB2312"/>
                <w:color w:val="000000"/>
                <w:sz w:val="20"/>
                <w:szCs w:val="20"/>
                <w:highlight w:val="none"/>
              </w:rPr>
              <w:t>　　</w:t>
            </w:r>
          </w:p>
        </w:tc>
        <w:tc>
          <w:tcPr>
            <w:tcW w:w="4253" w:type="dxa"/>
            <w:gridSpan w:val="4"/>
            <w:noWrap w:val="0"/>
            <w:vAlign w:val="center"/>
          </w:tcPr>
          <w:p w14:paraId="0AF847FA">
            <w:pPr>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1、及时更新维护了中心城区人行道公共</w:t>
            </w:r>
            <w:r>
              <w:rPr>
                <w:rFonts w:hint="eastAsia" w:ascii="仿宋_GB2312" w:hAnsi="仿宋_GB2312" w:eastAsia="仿宋_GB2312" w:cs="仿宋_GB2312"/>
                <w:color w:val="000000"/>
                <w:sz w:val="20"/>
                <w:szCs w:val="20"/>
                <w:highlight w:val="none"/>
              </w:rPr>
              <w:t>停车</w:t>
            </w:r>
            <w:r>
              <w:rPr>
                <w:rFonts w:hint="eastAsia" w:ascii="仿宋_GB2312" w:hAnsi="仿宋_GB2312" w:eastAsia="仿宋_GB2312" w:cs="仿宋_GB2312"/>
                <w:color w:val="000000"/>
                <w:sz w:val="20"/>
                <w:szCs w:val="20"/>
                <w:highlight w:val="none"/>
                <w:lang w:val="en-US" w:eastAsia="zh-CN"/>
              </w:rPr>
              <w:t>泊位及停车辅助</w:t>
            </w:r>
            <w:r>
              <w:rPr>
                <w:rFonts w:hint="eastAsia" w:ascii="仿宋_GB2312" w:hAnsi="仿宋_GB2312" w:eastAsia="仿宋_GB2312" w:cs="仿宋_GB2312"/>
                <w:color w:val="000000"/>
                <w:sz w:val="20"/>
                <w:szCs w:val="20"/>
                <w:highlight w:val="none"/>
              </w:rPr>
              <w:t>设施</w:t>
            </w:r>
            <w:r>
              <w:rPr>
                <w:rFonts w:hint="eastAsia" w:ascii="仿宋_GB2312" w:hAnsi="仿宋_GB2312" w:eastAsia="仿宋_GB2312" w:cs="仿宋_GB2312"/>
                <w:color w:val="000000"/>
                <w:sz w:val="20"/>
                <w:szCs w:val="20"/>
                <w:highlight w:val="none"/>
                <w:lang w:val="en-US" w:eastAsia="zh-CN"/>
              </w:rPr>
              <w:t>；</w:t>
            </w:r>
          </w:p>
          <w:p w14:paraId="641F36FB">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2、绿色、安全出行宣传如期进行；</w:t>
            </w:r>
          </w:p>
          <w:p w14:paraId="773496C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3、原公共自行车设备存放仓库维修维护及时完成，仓库使用状态良好。</w:t>
            </w:r>
          </w:p>
        </w:tc>
      </w:tr>
      <w:tr w14:paraId="1BD5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43C3D4A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4A8B041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7FE717D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2173AA8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noWrap w:val="0"/>
            <w:vAlign w:val="center"/>
          </w:tcPr>
          <w:p w14:paraId="39904DC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noWrap w:val="0"/>
            <w:vAlign w:val="center"/>
          </w:tcPr>
          <w:p w14:paraId="40A3489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noWrap w:val="0"/>
            <w:vAlign w:val="center"/>
          </w:tcPr>
          <w:p w14:paraId="6A72659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noWrap w:val="0"/>
            <w:vAlign w:val="center"/>
          </w:tcPr>
          <w:p w14:paraId="290F8F0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5E051E2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noWrap w:val="0"/>
            <w:vAlign w:val="center"/>
          </w:tcPr>
          <w:p w14:paraId="00F1502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7A6F09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noWrap w:val="0"/>
            <w:vAlign w:val="center"/>
          </w:tcPr>
          <w:p w14:paraId="28397D2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noWrap w:val="0"/>
            <w:vAlign w:val="center"/>
          </w:tcPr>
          <w:p w14:paraId="22669ED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noWrap w:val="0"/>
            <w:vAlign w:val="center"/>
          </w:tcPr>
          <w:p w14:paraId="368B4277">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D42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5C637D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0C5BDE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8BEA4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p w14:paraId="04FF8D2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noWrap w:val="0"/>
            <w:vAlign w:val="center"/>
          </w:tcPr>
          <w:p w14:paraId="38CCF1E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noWrap w:val="0"/>
            <w:vAlign w:val="center"/>
          </w:tcPr>
          <w:p w14:paraId="4E976AE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绿色安全出行宣传</w:t>
            </w:r>
          </w:p>
        </w:tc>
        <w:tc>
          <w:tcPr>
            <w:tcW w:w="1134" w:type="dxa"/>
            <w:noWrap w:val="0"/>
            <w:vAlign w:val="center"/>
          </w:tcPr>
          <w:p w14:paraId="3DA8ABD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 次</w:t>
            </w:r>
          </w:p>
        </w:tc>
        <w:tc>
          <w:tcPr>
            <w:tcW w:w="1134" w:type="dxa"/>
            <w:noWrap w:val="0"/>
            <w:vAlign w:val="center"/>
          </w:tcPr>
          <w:p w14:paraId="03728A2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 次</w:t>
            </w:r>
          </w:p>
        </w:tc>
        <w:tc>
          <w:tcPr>
            <w:tcW w:w="828" w:type="dxa"/>
            <w:noWrap w:val="0"/>
            <w:vAlign w:val="center"/>
          </w:tcPr>
          <w:p w14:paraId="151FF66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3DAC3BD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44C1562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5F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356263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622B4D6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47546F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5862874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设备存放仓库维护</w:t>
            </w:r>
          </w:p>
        </w:tc>
        <w:tc>
          <w:tcPr>
            <w:tcW w:w="1134" w:type="dxa"/>
            <w:noWrap w:val="0"/>
            <w:vAlign w:val="center"/>
          </w:tcPr>
          <w:p w14:paraId="2322D18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1次</w:t>
            </w:r>
          </w:p>
        </w:tc>
        <w:tc>
          <w:tcPr>
            <w:tcW w:w="1134" w:type="dxa"/>
            <w:noWrap w:val="0"/>
            <w:vAlign w:val="center"/>
          </w:tcPr>
          <w:p w14:paraId="17BCCCF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1次</w:t>
            </w:r>
          </w:p>
        </w:tc>
        <w:tc>
          <w:tcPr>
            <w:tcW w:w="828" w:type="dxa"/>
            <w:noWrap w:val="0"/>
            <w:vAlign w:val="center"/>
          </w:tcPr>
          <w:p w14:paraId="13C1825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48172F0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32F542A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0A4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031EA1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809894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952627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1E5609E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停车泊位更新及设施维护</w:t>
            </w:r>
          </w:p>
        </w:tc>
        <w:tc>
          <w:tcPr>
            <w:tcW w:w="1134" w:type="dxa"/>
            <w:noWrap w:val="0"/>
            <w:vAlign w:val="center"/>
          </w:tcPr>
          <w:p w14:paraId="569AA6F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1批</w:t>
            </w:r>
          </w:p>
        </w:tc>
        <w:tc>
          <w:tcPr>
            <w:tcW w:w="1134" w:type="dxa"/>
            <w:noWrap w:val="0"/>
            <w:vAlign w:val="center"/>
          </w:tcPr>
          <w:p w14:paraId="33B59F6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1批</w:t>
            </w:r>
          </w:p>
        </w:tc>
        <w:tc>
          <w:tcPr>
            <w:tcW w:w="828" w:type="dxa"/>
            <w:noWrap w:val="0"/>
            <w:vAlign w:val="center"/>
          </w:tcPr>
          <w:p w14:paraId="5AF67B2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4D9DD21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16021C1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90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2451CB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50D43B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1D7226F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noWrap w:val="0"/>
            <w:vAlign w:val="center"/>
          </w:tcPr>
          <w:p w14:paraId="59DD639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停车设施维护</w:t>
            </w:r>
            <w:r>
              <w:rPr>
                <w:rFonts w:hint="eastAsia" w:ascii="仿宋_GB2312" w:hAnsi="仿宋_GB2312" w:eastAsia="仿宋_GB2312" w:cs="仿宋_GB2312"/>
                <w:color w:val="000000"/>
                <w:sz w:val="20"/>
                <w:szCs w:val="20"/>
                <w:highlight w:val="none"/>
                <w:lang w:val="en-US" w:eastAsia="zh-CN"/>
              </w:rPr>
              <w:t>质量</w:t>
            </w:r>
          </w:p>
        </w:tc>
        <w:tc>
          <w:tcPr>
            <w:tcW w:w="1134" w:type="dxa"/>
            <w:noWrap w:val="0"/>
            <w:vAlign w:val="center"/>
          </w:tcPr>
          <w:p w14:paraId="5E695B7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符合相关规定</w:t>
            </w:r>
          </w:p>
        </w:tc>
        <w:tc>
          <w:tcPr>
            <w:tcW w:w="1134" w:type="dxa"/>
            <w:noWrap w:val="0"/>
            <w:vAlign w:val="center"/>
          </w:tcPr>
          <w:p w14:paraId="403DB94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符合相关规定</w:t>
            </w:r>
          </w:p>
        </w:tc>
        <w:tc>
          <w:tcPr>
            <w:tcW w:w="828" w:type="dxa"/>
            <w:noWrap w:val="0"/>
            <w:vAlign w:val="center"/>
          </w:tcPr>
          <w:p w14:paraId="7E5DD8F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47E990E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0E3BB8F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862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A565D0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1672D1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A2D8C6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6192575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仓库</w:t>
            </w:r>
            <w:r>
              <w:rPr>
                <w:rFonts w:hint="eastAsia" w:ascii="仿宋_GB2312" w:hAnsi="仿宋_GB2312" w:eastAsia="仿宋_GB2312" w:cs="仿宋_GB2312"/>
                <w:color w:val="000000"/>
                <w:sz w:val="20"/>
                <w:szCs w:val="20"/>
                <w:highlight w:val="none"/>
                <w:lang w:val="en-US" w:eastAsia="zh-CN"/>
              </w:rPr>
              <w:t>安全</w:t>
            </w:r>
          </w:p>
        </w:tc>
        <w:tc>
          <w:tcPr>
            <w:tcW w:w="1134" w:type="dxa"/>
            <w:noWrap w:val="0"/>
            <w:vAlign w:val="center"/>
          </w:tcPr>
          <w:p w14:paraId="0A68A35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无安全事故 </w:t>
            </w:r>
          </w:p>
        </w:tc>
        <w:tc>
          <w:tcPr>
            <w:tcW w:w="1134" w:type="dxa"/>
            <w:noWrap w:val="0"/>
            <w:vAlign w:val="center"/>
          </w:tcPr>
          <w:p w14:paraId="284C834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 xml:space="preserve">无安全事故 </w:t>
            </w:r>
          </w:p>
        </w:tc>
        <w:tc>
          <w:tcPr>
            <w:tcW w:w="828" w:type="dxa"/>
            <w:noWrap w:val="0"/>
            <w:vAlign w:val="center"/>
          </w:tcPr>
          <w:p w14:paraId="0F5F656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0441A49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511497A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C84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080" w:type="dxa"/>
            <w:vMerge w:val="continue"/>
            <w:noWrap w:val="0"/>
            <w:vAlign w:val="center"/>
          </w:tcPr>
          <w:p w14:paraId="19C793B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AB03B9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6A3A5D3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noWrap w:val="0"/>
            <w:vAlign w:val="center"/>
          </w:tcPr>
          <w:p w14:paraId="31A3D7A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仓库安全隐患排除</w:t>
            </w:r>
          </w:p>
        </w:tc>
        <w:tc>
          <w:tcPr>
            <w:tcW w:w="1134" w:type="dxa"/>
            <w:noWrap w:val="0"/>
            <w:vAlign w:val="center"/>
          </w:tcPr>
          <w:p w14:paraId="2CC2497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及时排除安全隐患</w:t>
            </w:r>
          </w:p>
        </w:tc>
        <w:tc>
          <w:tcPr>
            <w:tcW w:w="1134" w:type="dxa"/>
            <w:noWrap w:val="0"/>
            <w:vAlign w:val="center"/>
          </w:tcPr>
          <w:p w14:paraId="49972C9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及时完成</w:t>
            </w:r>
          </w:p>
        </w:tc>
        <w:tc>
          <w:tcPr>
            <w:tcW w:w="828" w:type="dxa"/>
            <w:noWrap w:val="0"/>
            <w:vAlign w:val="center"/>
          </w:tcPr>
          <w:p w14:paraId="0CD9E04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39D2D99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573A98D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DF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B4B24C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D85EFD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EB2566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002563F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按年度工作计划完成</w:t>
            </w:r>
          </w:p>
        </w:tc>
        <w:tc>
          <w:tcPr>
            <w:tcW w:w="1134" w:type="dxa"/>
            <w:noWrap w:val="0"/>
            <w:vAlign w:val="center"/>
          </w:tcPr>
          <w:p w14:paraId="130F877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134" w:type="dxa"/>
            <w:noWrap w:val="0"/>
            <w:vAlign w:val="center"/>
          </w:tcPr>
          <w:p w14:paraId="576E365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均按时完成</w:t>
            </w:r>
          </w:p>
        </w:tc>
        <w:tc>
          <w:tcPr>
            <w:tcW w:w="828" w:type="dxa"/>
            <w:noWrap w:val="0"/>
            <w:vAlign w:val="center"/>
          </w:tcPr>
          <w:p w14:paraId="063127C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4764A07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329204E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0B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9440C2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5E332A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0DF9FD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noWrap w:val="0"/>
            <w:vAlign w:val="center"/>
          </w:tcPr>
          <w:p w14:paraId="20B3446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预算工作经费</w:t>
            </w:r>
          </w:p>
        </w:tc>
        <w:tc>
          <w:tcPr>
            <w:tcW w:w="1134" w:type="dxa"/>
            <w:noWrap w:val="0"/>
            <w:vAlign w:val="center"/>
          </w:tcPr>
          <w:p w14:paraId="312FD9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年度预算10.13万元</w:t>
            </w:r>
          </w:p>
        </w:tc>
        <w:tc>
          <w:tcPr>
            <w:tcW w:w="1134" w:type="dxa"/>
            <w:noWrap w:val="0"/>
            <w:vAlign w:val="center"/>
          </w:tcPr>
          <w:p w14:paraId="2AEF8BF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未超预算</w:t>
            </w:r>
          </w:p>
        </w:tc>
        <w:tc>
          <w:tcPr>
            <w:tcW w:w="828" w:type="dxa"/>
            <w:noWrap w:val="0"/>
            <w:vAlign w:val="center"/>
          </w:tcPr>
          <w:p w14:paraId="12F665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734371D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2CFF282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0B5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C8769E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12D017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1440D2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7D351C3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是否对社会发展造成负面影响</w:t>
            </w:r>
          </w:p>
        </w:tc>
        <w:tc>
          <w:tcPr>
            <w:tcW w:w="1134" w:type="dxa"/>
            <w:noWrap w:val="0"/>
            <w:vAlign w:val="center"/>
          </w:tcPr>
          <w:p w14:paraId="0E46931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color w:val="000000"/>
                <w:sz w:val="20"/>
                <w:szCs w:val="20"/>
                <w:highlight w:val="none"/>
              </w:rPr>
              <w:t>负面影响</w:t>
            </w:r>
          </w:p>
        </w:tc>
        <w:tc>
          <w:tcPr>
            <w:tcW w:w="1134" w:type="dxa"/>
            <w:noWrap w:val="0"/>
            <w:vAlign w:val="center"/>
          </w:tcPr>
          <w:p w14:paraId="0DBB543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color w:val="000000"/>
                <w:sz w:val="20"/>
                <w:szCs w:val="20"/>
                <w:highlight w:val="none"/>
              </w:rPr>
              <w:t>负面影响</w:t>
            </w:r>
          </w:p>
        </w:tc>
        <w:tc>
          <w:tcPr>
            <w:tcW w:w="828" w:type="dxa"/>
            <w:noWrap w:val="0"/>
            <w:vAlign w:val="center"/>
          </w:tcPr>
          <w:p w14:paraId="59B70D2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2408855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2E282C2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95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EC5508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3D29EE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37D6B6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4555DB9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是否对自然生态环境造成负面影响</w:t>
            </w:r>
          </w:p>
        </w:tc>
        <w:tc>
          <w:tcPr>
            <w:tcW w:w="1134" w:type="dxa"/>
            <w:noWrap w:val="0"/>
            <w:vAlign w:val="center"/>
          </w:tcPr>
          <w:p w14:paraId="640EEEF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color w:val="000000"/>
                <w:sz w:val="20"/>
                <w:szCs w:val="20"/>
                <w:highlight w:val="none"/>
              </w:rPr>
              <w:t>负面影响</w:t>
            </w:r>
          </w:p>
        </w:tc>
        <w:tc>
          <w:tcPr>
            <w:tcW w:w="1134" w:type="dxa"/>
            <w:noWrap w:val="0"/>
            <w:vAlign w:val="center"/>
          </w:tcPr>
          <w:p w14:paraId="55048B5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无</w:t>
            </w:r>
            <w:r>
              <w:rPr>
                <w:rFonts w:hint="eastAsia" w:ascii="仿宋_GB2312" w:hAnsi="仿宋_GB2312" w:eastAsia="仿宋_GB2312" w:cs="仿宋_GB2312"/>
                <w:color w:val="000000"/>
                <w:sz w:val="20"/>
                <w:szCs w:val="20"/>
                <w:highlight w:val="none"/>
              </w:rPr>
              <w:t>负面影响</w:t>
            </w:r>
          </w:p>
        </w:tc>
        <w:tc>
          <w:tcPr>
            <w:tcW w:w="828" w:type="dxa"/>
            <w:noWrap w:val="0"/>
            <w:vAlign w:val="center"/>
          </w:tcPr>
          <w:p w14:paraId="3EA2A3E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7D8C55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5901600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912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3A722B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424CE00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F2D97C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p w14:paraId="7E1151D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5B6E99F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noWrap w:val="0"/>
            <w:vAlign w:val="center"/>
          </w:tcPr>
          <w:p w14:paraId="2255A1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5BAF848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203C950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是否产生一定的间接经济效益</w:t>
            </w:r>
          </w:p>
        </w:tc>
        <w:tc>
          <w:tcPr>
            <w:tcW w:w="1134" w:type="dxa"/>
            <w:noWrap w:val="0"/>
            <w:vAlign w:val="center"/>
          </w:tcPr>
          <w:p w14:paraId="22387B0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产生一定的间接经济效益</w:t>
            </w:r>
          </w:p>
        </w:tc>
        <w:tc>
          <w:tcPr>
            <w:tcW w:w="1134" w:type="dxa"/>
            <w:noWrap w:val="0"/>
            <w:vAlign w:val="center"/>
          </w:tcPr>
          <w:p w14:paraId="0E2E422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防范安全隐患，避免灾害损失</w:t>
            </w:r>
          </w:p>
        </w:tc>
        <w:tc>
          <w:tcPr>
            <w:tcW w:w="828" w:type="dxa"/>
            <w:noWrap w:val="0"/>
            <w:vAlign w:val="center"/>
          </w:tcPr>
          <w:p w14:paraId="14C483E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2DA225D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1C423F8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EC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8BD15F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466792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469E4D1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74C2551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535C311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促进社会和谐发展</w:t>
            </w:r>
          </w:p>
        </w:tc>
        <w:tc>
          <w:tcPr>
            <w:tcW w:w="1134" w:type="dxa"/>
            <w:noWrap w:val="0"/>
            <w:vAlign w:val="center"/>
          </w:tcPr>
          <w:p w14:paraId="1ADCEC8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有效促进社会和谐发展</w:t>
            </w:r>
          </w:p>
        </w:tc>
        <w:tc>
          <w:tcPr>
            <w:tcW w:w="1134" w:type="dxa"/>
            <w:noWrap w:val="0"/>
            <w:vAlign w:val="center"/>
          </w:tcPr>
          <w:p w14:paraId="674E3E5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有效促进社会和谐发展</w:t>
            </w:r>
          </w:p>
        </w:tc>
        <w:tc>
          <w:tcPr>
            <w:tcW w:w="828" w:type="dxa"/>
            <w:noWrap w:val="0"/>
            <w:vAlign w:val="center"/>
          </w:tcPr>
          <w:p w14:paraId="287EAA0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43D0537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69883A7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F64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8F8087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23CD19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3151F66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BF3203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19FA2F9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节能减排，助力提升环保</w:t>
            </w:r>
          </w:p>
        </w:tc>
        <w:tc>
          <w:tcPr>
            <w:tcW w:w="1134" w:type="dxa"/>
            <w:noWrap w:val="0"/>
            <w:vAlign w:val="center"/>
          </w:tcPr>
          <w:p w14:paraId="1727402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节能减排，改善城市生态环境</w:t>
            </w:r>
          </w:p>
        </w:tc>
        <w:tc>
          <w:tcPr>
            <w:tcW w:w="1134" w:type="dxa"/>
            <w:noWrap w:val="0"/>
            <w:vAlign w:val="center"/>
          </w:tcPr>
          <w:p w14:paraId="4A7A9F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对改善城市生态环境起到了一定作用</w:t>
            </w:r>
          </w:p>
        </w:tc>
        <w:tc>
          <w:tcPr>
            <w:tcW w:w="828" w:type="dxa"/>
            <w:noWrap w:val="0"/>
            <w:vAlign w:val="center"/>
          </w:tcPr>
          <w:p w14:paraId="4B137C4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7F274C0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41395C5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0D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8D3DA7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6336BD0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43865B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noWrap w:val="0"/>
            <w:vAlign w:val="center"/>
          </w:tcPr>
          <w:p w14:paraId="61C48F7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提供公共停车泊位，方便市民出行</w:t>
            </w:r>
          </w:p>
        </w:tc>
        <w:tc>
          <w:tcPr>
            <w:tcW w:w="1134" w:type="dxa"/>
            <w:noWrap w:val="0"/>
            <w:vAlign w:val="center"/>
          </w:tcPr>
          <w:p w14:paraId="4866F12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增加公共停车泊位</w:t>
            </w:r>
          </w:p>
        </w:tc>
        <w:tc>
          <w:tcPr>
            <w:tcW w:w="1134" w:type="dxa"/>
            <w:noWrap w:val="0"/>
            <w:vAlign w:val="center"/>
          </w:tcPr>
          <w:p w14:paraId="12D8E49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公共停车泊位的提供，改善城区停车秩序。</w:t>
            </w:r>
          </w:p>
        </w:tc>
        <w:tc>
          <w:tcPr>
            <w:tcW w:w="828" w:type="dxa"/>
            <w:noWrap w:val="0"/>
            <w:vAlign w:val="center"/>
          </w:tcPr>
          <w:p w14:paraId="5A16134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45FDA4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noWrap w:val="0"/>
            <w:vAlign w:val="center"/>
          </w:tcPr>
          <w:p w14:paraId="122FDA0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还有待进一步挖掘停车资源，加强巡查盘活公共停车资源</w:t>
            </w:r>
          </w:p>
        </w:tc>
      </w:tr>
      <w:tr w14:paraId="2583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F7AC62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B3EAA1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7EE2DB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572E3EA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提升城市整体形象</w:t>
            </w:r>
          </w:p>
        </w:tc>
        <w:tc>
          <w:tcPr>
            <w:tcW w:w="1134" w:type="dxa"/>
            <w:noWrap w:val="0"/>
            <w:vAlign w:val="center"/>
          </w:tcPr>
          <w:p w14:paraId="0AFAEAE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有效提升</w:t>
            </w:r>
          </w:p>
        </w:tc>
        <w:tc>
          <w:tcPr>
            <w:tcW w:w="1134" w:type="dxa"/>
            <w:noWrap w:val="0"/>
            <w:vAlign w:val="center"/>
          </w:tcPr>
          <w:p w14:paraId="42AF7D2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有效提升</w:t>
            </w:r>
          </w:p>
        </w:tc>
        <w:tc>
          <w:tcPr>
            <w:tcW w:w="828" w:type="dxa"/>
            <w:noWrap w:val="0"/>
            <w:vAlign w:val="center"/>
          </w:tcPr>
          <w:p w14:paraId="7F1498A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4F7BC99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noWrap w:val="0"/>
            <w:vAlign w:val="center"/>
          </w:tcPr>
          <w:p w14:paraId="1BC626F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还有待进一步提升，加大管理力度，改善城市整体形象</w:t>
            </w:r>
          </w:p>
        </w:tc>
      </w:tr>
      <w:tr w14:paraId="3E2E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7A0484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1B7D3B8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71B1869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10B3C99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noWrap w:val="0"/>
            <w:vAlign w:val="center"/>
          </w:tcPr>
          <w:p w14:paraId="613A276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noWrap w:val="0"/>
            <w:vAlign w:val="center"/>
          </w:tcPr>
          <w:p w14:paraId="336EDE3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群众</w:t>
            </w:r>
            <w:r>
              <w:rPr>
                <w:rFonts w:hint="eastAsia" w:ascii="仿宋_GB2312" w:hAnsi="仿宋_GB2312" w:eastAsia="仿宋_GB2312" w:cs="仿宋_GB2312"/>
                <w:color w:val="000000"/>
                <w:sz w:val="20"/>
                <w:szCs w:val="20"/>
                <w:highlight w:val="none"/>
              </w:rPr>
              <w:t>满意度</w:t>
            </w:r>
          </w:p>
        </w:tc>
        <w:tc>
          <w:tcPr>
            <w:tcW w:w="1134" w:type="dxa"/>
            <w:noWrap w:val="0"/>
            <w:vAlign w:val="center"/>
          </w:tcPr>
          <w:p w14:paraId="232C66E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134" w:type="dxa"/>
            <w:noWrap w:val="0"/>
            <w:vAlign w:val="center"/>
          </w:tcPr>
          <w:p w14:paraId="407B497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95.5%</w:t>
            </w:r>
          </w:p>
        </w:tc>
        <w:tc>
          <w:tcPr>
            <w:tcW w:w="828" w:type="dxa"/>
            <w:noWrap w:val="0"/>
            <w:vAlign w:val="center"/>
          </w:tcPr>
          <w:p w14:paraId="2DD27D0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noWrap w:val="0"/>
            <w:vAlign w:val="center"/>
          </w:tcPr>
          <w:p w14:paraId="24C562C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noWrap w:val="0"/>
            <w:vAlign w:val="center"/>
          </w:tcPr>
          <w:p w14:paraId="22A3694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B26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732" w:type="dxa"/>
            <w:gridSpan w:val="6"/>
            <w:noWrap w:val="0"/>
            <w:vAlign w:val="center"/>
          </w:tcPr>
          <w:p w14:paraId="6D8C2F2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noWrap w:val="0"/>
            <w:vAlign w:val="center"/>
          </w:tcPr>
          <w:p w14:paraId="4F4AAF3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noWrap w:val="0"/>
            <w:vAlign w:val="center"/>
          </w:tcPr>
          <w:p w14:paraId="6633AD3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w:t>
            </w:r>
          </w:p>
        </w:tc>
        <w:tc>
          <w:tcPr>
            <w:tcW w:w="1418" w:type="dxa"/>
            <w:noWrap w:val="0"/>
            <w:vAlign w:val="center"/>
          </w:tcPr>
          <w:p w14:paraId="5F22C74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27A7B839">
      <w:pPr>
        <w:keepNext w:val="0"/>
        <w:keepLines w:val="0"/>
        <w:pageBreakBefore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0"/>
          <w:szCs w:val="20"/>
          <w:highlight w:val="none"/>
        </w:rPr>
      </w:pPr>
    </w:p>
    <w:p w14:paraId="3CDE1510">
      <w:pPr>
        <w:widowControl/>
        <w:spacing w:line="600" w:lineRule="exact"/>
        <w:jc w:val="left"/>
        <w:rPr>
          <w:rFonts w:hint="eastAsia" w:ascii="黑体" w:hAnsi="黑体" w:eastAsia="黑体" w:cs="黑体"/>
          <w:sz w:val="32"/>
          <w:szCs w:val="32"/>
          <w:highlight w:val="none"/>
        </w:rPr>
      </w:pPr>
      <w:r>
        <w:rPr>
          <w:rFonts w:hint="eastAsia" w:ascii="仿宋_GB2312" w:hAnsi="仿宋_GB2312" w:eastAsia="仿宋_GB2312" w:cs="仿宋_GB2312"/>
          <w:sz w:val="20"/>
          <w:szCs w:val="20"/>
          <w:highlight w:val="none"/>
        </w:rPr>
        <w:t>填表人：</w:t>
      </w:r>
      <w:r>
        <w:rPr>
          <w:rFonts w:hint="eastAsia" w:ascii="仿宋_GB2312" w:hAnsi="仿宋_GB2312" w:eastAsia="仿宋_GB2312" w:cs="仿宋_GB2312"/>
          <w:sz w:val="20"/>
          <w:szCs w:val="20"/>
          <w:highlight w:val="none"/>
          <w:lang w:val="en-US" w:eastAsia="zh-CN"/>
        </w:rPr>
        <w:t>龙邓</w:t>
      </w: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sz w:val="20"/>
          <w:szCs w:val="20"/>
          <w:highlight w:val="none"/>
          <w:lang w:val="en-US" w:eastAsia="zh-CN"/>
        </w:rPr>
        <w:t xml:space="preserve"> </w:t>
      </w:r>
      <w:r>
        <w:rPr>
          <w:rFonts w:hint="eastAsia" w:ascii="仿宋_GB2312" w:hAnsi="仿宋_GB2312" w:eastAsia="仿宋_GB2312" w:cs="仿宋_GB2312"/>
          <w:sz w:val="20"/>
          <w:szCs w:val="20"/>
          <w:highlight w:val="none"/>
        </w:rPr>
        <w:t>填报日期：</w:t>
      </w:r>
      <w:r>
        <w:rPr>
          <w:rFonts w:hint="eastAsia" w:ascii="仿宋_GB2312" w:hAnsi="仿宋_GB2312" w:eastAsia="仿宋_GB2312" w:cs="仿宋_GB2312"/>
          <w:sz w:val="20"/>
          <w:szCs w:val="20"/>
          <w:highlight w:val="none"/>
          <w:lang w:val="en-US" w:eastAsia="zh-CN"/>
        </w:rPr>
        <w:t xml:space="preserve">2026.6.22 </w:t>
      </w:r>
      <w:r>
        <w:rPr>
          <w:rFonts w:hint="eastAsia" w:ascii="仿宋_GB2312" w:hAnsi="仿宋_GB2312" w:eastAsia="仿宋_GB2312" w:cs="仿宋_GB2312"/>
          <w:sz w:val="20"/>
          <w:szCs w:val="20"/>
          <w:highlight w:val="none"/>
        </w:rPr>
        <w:t>联系电话：</w:t>
      </w:r>
      <w:r>
        <w:rPr>
          <w:rFonts w:hint="eastAsia" w:ascii="仿宋_GB2312" w:hAnsi="仿宋_GB2312" w:eastAsia="仿宋_GB2312" w:cs="仿宋_GB2312"/>
          <w:sz w:val="20"/>
          <w:szCs w:val="20"/>
          <w:highlight w:val="none"/>
          <w:lang w:val="en-US" w:eastAsia="zh-CN"/>
        </w:rPr>
        <w:t>8220516</w:t>
      </w: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sz w:val="20"/>
          <w:szCs w:val="20"/>
          <w:highlight w:val="none"/>
          <w:lang w:val="en-US" w:eastAsia="zh-CN"/>
        </w:rPr>
        <w:t xml:space="preserve"> </w:t>
      </w:r>
      <w:r>
        <w:rPr>
          <w:rFonts w:hint="eastAsia" w:ascii="仿宋_GB2312" w:hAnsi="仿宋_GB2312" w:eastAsia="仿宋_GB2312" w:cs="仿宋_GB2312"/>
          <w:sz w:val="20"/>
          <w:szCs w:val="20"/>
          <w:highlight w:val="none"/>
        </w:rPr>
        <w:t>单位负责人：</w:t>
      </w:r>
      <w:r>
        <w:rPr>
          <w:rFonts w:hint="eastAsia" w:ascii="仿宋_GB2312" w:hAnsi="仿宋_GB2312" w:eastAsia="仿宋_GB2312" w:cs="仿宋_GB2312"/>
          <w:sz w:val="20"/>
          <w:szCs w:val="20"/>
          <w:highlight w:val="none"/>
          <w:lang w:val="en-US" w:eastAsia="zh-CN"/>
        </w:rPr>
        <w:t>何志军</w:t>
      </w:r>
      <w:r>
        <w:rPr>
          <w:rFonts w:hint="eastAsia" w:ascii="仿宋_GB2312" w:hAnsi="仿宋_GB2312" w:eastAsia="仿宋_GB2312" w:cs="仿宋_GB2312"/>
          <w:sz w:val="22"/>
          <w:highlight w:val="none"/>
        </w:rPr>
        <w:br w:type="page"/>
      </w:r>
    </w:p>
    <w:p w14:paraId="4D8AAF5A">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1-4</w:t>
      </w:r>
    </w:p>
    <w:p w14:paraId="784E894A">
      <w:pPr>
        <w:widowControl/>
        <w:spacing w:line="600" w:lineRule="exact"/>
        <w:jc w:val="center"/>
        <w:rPr>
          <w:rFonts w:hint="eastAsia" w:ascii="方正小标宋简体" w:hAnsi="方正小标宋简体" w:eastAsia="方正小标宋简体" w:cs="方正小标宋简体"/>
          <w:color w:val="FF0000"/>
          <w:sz w:val="36"/>
          <w:szCs w:val="36"/>
          <w:highlight w:val="none"/>
        </w:rPr>
      </w:pPr>
      <w:r>
        <w:rPr>
          <w:rFonts w:hint="eastAsia" w:ascii="方正小标宋简体" w:hAnsi="方正小标宋简体" w:eastAsia="方正小标宋简体" w:cs="方正小标宋简体"/>
          <w:color w:val="auto"/>
          <w:sz w:val="36"/>
          <w:szCs w:val="36"/>
          <w:highlight w:val="none"/>
        </w:rPr>
        <w:t>202</w:t>
      </w:r>
      <w:r>
        <w:rPr>
          <w:rFonts w:hint="eastAsia" w:ascii="方正小标宋简体" w:hAnsi="方正小标宋简体" w:eastAsia="方正小标宋简体" w:cs="方正小标宋简体"/>
          <w:color w:val="auto"/>
          <w:sz w:val="36"/>
          <w:szCs w:val="36"/>
          <w:highlight w:val="none"/>
          <w:lang w:val="en-US" w:eastAsia="zh-CN"/>
        </w:rPr>
        <w:t>5</w:t>
      </w:r>
      <w:r>
        <w:rPr>
          <w:rFonts w:hint="eastAsia" w:ascii="方正小标宋简体" w:hAnsi="方正小标宋简体" w:eastAsia="方正小标宋简体" w:cs="方正小标宋简体"/>
          <w:color w:val="auto"/>
          <w:sz w:val="36"/>
          <w:szCs w:val="36"/>
          <w:highlight w:val="none"/>
        </w:rPr>
        <w:t>年度项目支出绩效自评表</w:t>
      </w:r>
    </w:p>
    <w:p w14:paraId="273D9CE3">
      <w:pPr>
        <w:pStyle w:val="4"/>
        <w:rPr>
          <w:rFonts w:hint="eastAsia"/>
        </w:rPr>
      </w:pP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2A169945">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ED4DC6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2B0A7D7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396A6A3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中心城区停车收费项目前期工作经费　</w:t>
            </w:r>
          </w:p>
        </w:tc>
      </w:tr>
      <w:tr w14:paraId="3C945B11">
        <w:tblPrEx>
          <w:tblCellMar>
            <w:top w:w="0" w:type="dxa"/>
            <w:left w:w="108" w:type="dxa"/>
            <w:bottom w:w="0" w:type="dxa"/>
            <w:right w:w="108" w:type="dxa"/>
          </w:tblCellMar>
        </w:tblPrEx>
        <w:trPr>
          <w:trHeight w:val="495" w:hRule="atLeast"/>
          <w:jc w:val="center"/>
        </w:trPr>
        <w:tc>
          <w:tcPr>
            <w:tcW w:w="1080" w:type="dxa"/>
            <w:tcBorders>
              <w:top w:val="nil"/>
              <w:left w:val="single" w:color="auto" w:sz="4" w:space="0"/>
              <w:bottom w:val="single" w:color="auto" w:sz="4" w:space="0"/>
              <w:right w:val="single" w:color="auto" w:sz="4" w:space="0"/>
            </w:tcBorders>
            <w:noWrap w:val="0"/>
            <w:vAlign w:val="center"/>
          </w:tcPr>
          <w:p w14:paraId="758EA79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5C6F803E">
            <w:pPr>
              <w:keepNext w:val="0"/>
              <w:keepLines w:val="0"/>
              <w:pageBreakBefore w:val="0"/>
              <w:widowControl/>
              <w:tabs>
                <w:tab w:val="right" w:pos="4302"/>
              </w:tabs>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岳阳市城市管理和综合执法局</w:t>
            </w:r>
          </w:p>
        </w:tc>
        <w:tc>
          <w:tcPr>
            <w:tcW w:w="1134" w:type="dxa"/>
            <w:tcBorders>
              <w:top w:val="single" w:color="auto" w:sz="4" w:space="0"/>
              <w:left w:val="nil"/>
              <w:bottom w:val="single" w:color="auto" w:sz="4" w:space="0"/>
              <w:right w:val="single" w:color="000000" w:sz="4" w:space="0"/>
            </w:tcBorders>
            <w:noWrap w:val="0"/>
            <w:vAlign w:val="center"/>
          </w:tcPr>
          <w:p w14:paraId="660900C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69A6562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岳阳市停车管理服务中心</w:t>
            </w:r>
          </w:p>
        </w:tc>
      </w:tr>
      <w:tr w14:paraId="5C739416">
        <w:tblPrEx>
          <w:tblCellMar>
            <w:top w:w="0" w:type="dxa"/>
            <w:left w:w="108" w:type="dxa"/>
            <w:bottom w:w="0" w:type="dxa"/>
            <w:right w:w="108" w:type="dxa"/>
          </w:tblCellMar>
        </w:tblPrEx>
        <w:trPr>
          <w:trHeight w:val="675"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67900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7A2DAF0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786A50D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11B6F3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287C33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028EF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7EDA5E5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0C04B12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43AE6AA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4E4358C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282690C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7CBB71CD">
        <w:tblPrEx>
          <w:tblCellMar>
            <w:top w:w="0" w:type="dxa"/>
            <w:left w:w="108" w:type="dxa"/>
            <w:bottom w:w="0" w:type="dxa"/>
            <w:right w:w="108" w:type="dxa"/>
          </w:tblCellMar>
        </w:tblPrEx>
        <w:trPr>
          <w:trHeight w:val="48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C55B9C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1E8348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25735579">
            <w:pPr>
              <w:keepNext w:val="0"/>
              <w:keepLines w:val="0"/>
              <w:pageBreakBefore w:val="0"/>
              <w:widowControl/>
              <w:tabs>
                <w:tab w:val="left" w:pos="438"/>
              </w:tabs>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0.00</w:t>
            </w:r>
          </w:p>
        </w:tc>
        <w:tc>
          <w:tcPr>
            <w:tcW w:w="1134" w:type="dxa"/>
            <w:tcBorders>
              <w:top w:val="nil"/>
              <w:left w:val="nil"/>
              <w:bottom w:val="single" w:color="auto" w:sz="4" w:space="0"/>
              <w:right w:val="single" w:color="auto" w:sz="4" w:space="0"/>
            </w:tcBorders>
            <w:noWrap w:val="0"/>
            <w:vAlign w:val="center"/>
          </w:tcPr>
          <w:p w14:paraId="127B340C">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148.98</w:t>
            </w:r>
          </w:p>
        </w:tc>
        <w:tc>
          <w:tcPr>
            <w:tcW w:w="1134" w:type="dxa"/>
            <w:tcBorders>
              <w:top w:val="nil"/>
              <w:left w:val="nil"/>
              <w:bottom w:val="single" w:color="auto" w:sz="4" w:space="0"/>
              <w:right w:val="single" w:color="auto" w:sz="4" w:space="0"/>
            </w:tcBorders>
            <w:noWrap w:val="0"/>
            <w:vAlign w:val="center"/>
          </w:tcPr>
          <w:p w14:paraId="4548A45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144.96</w:t>
            </w:r>
          </w:p>
        </w:tc>
        <w:tc>
          <w:tcPr>
            <w:tcW w:w="828" w:type="dxa"/>
            <w:tcBorders>
              <w:top w:val="nil"/>
              <w:left w:val="nil"/>
              <w:bottom w:val="single" w:color="auto" w:sz="4" w:space="0"/>
              <w:right w:val="single" w:color="auto" w:sz="4" w:space="0"/>
            </w:tcBorders>
            <w:noWrap w:val="0"/>
            <w:vAlign w:val="center"/>
          </w:tcPr>
          <w:p w14:paraId="335C69A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393C703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97.30%</w:t>
            </w:r>
          </w:p>
        </w:tc>
        <w:tc>
          <w:tcPr>
            <w:tcW w:w="1418" w:type="dxa"/>
            <w:tcBorders>
              <w:top w:val="nil"/>
              <w:left w:val="nil"/>
              <w:bottom w:val="single" w:color="auto" w:sz="4" w:space="0"/>
              <w:right w:val="single" w:color="auto" w:sz="4" w:space="0"/>
            </w:tcBorders>
            <w:noWrap w:val="0"/>
            <w:vAlign w:val="center"/>
          </w:tcPr>
          <w:p w14:paraId="47C55E3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 w:eastAsia="zh-CN"/>
              </w:rPr>
              <w:t>9.</w:t>
            </w:r>
            <w:r>
              <w:rPr>
                <w:rFonts w:hint="eastAsia" w:ascii="仿宋_GB2312" w:hAnsi="仿宋_GB2312" w:eastAsia="仿宋_GB2312" w:cs="仿宋_GB2312"/>
                <w:color w:val="000000"/>
                <w:sz w:val="20"/>
                <w:szCs w:val="20"/>
                <w:highlight w:val="none"/>
                <w:lang w:val="en-US" w:eastAsia="zh-CN"/>
              </w:rPr>
              <w:t>73</w:t>
            </w:r>
          </w:p>
        </w:tc>
      </w:tr>
      <w:tr w14:paraId="6B3C1F66">
        <w:tblPrEx>
          <w:tblCellMar>
            <w:top w:w="0" w:type="dxa"/>
            <w:left w:w="108" w:type="dxa"/>
            <w:bottom w:w="0" w:type="dxa"/>
            <w:right w:w="108" w:type="dxa"/>
          </w:tblCellMar>
        </w:tblPrEx>
        <w:trPr>
          <w:trHeight w:val="46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C03C3A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308B9B1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6FE0B00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0.00</w:t>
            </w:r>
          </w:p>
        </w:tc>
        <w:tc>
          <w:tcPr>
            <w:tcW w:w="1134" w:type="dxa"/>
            <w:tcBorders>
              <w:top w:val="nil"/>
              <w:left w:val="nil"/>
              <w:bottom w:val="single" w:color="auto" w:sz="4" w:space="0"/>
              <w:right w:val="single" w:color="auto" w:sz="4" w:space="0"/>
            </w:tcBorders>
            <w:noWrap w:val="0"/>
            <w:vAlign w:val="center"/>
          </w:tcPr>
          <w:p w14:paraId="6A254991">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148.98</w:t>
            </w:r>
          </w:p>
        </w:tc>
        <w:tc>
          <w:tcPr>
            <w:tcW w:w="1134" w:type="dxa"/>
            <w:tcBorders>
              <w:top w:val="nil"/>
              <w:left w:val="nil"/>
              <w:bottom w:val="single" w:color="auto" w:sz="4" w:space="0"/>
              <w:right w:val="single" w:color="auto" w:sz="4" w:space="0"/>
            </w:tcBorders>
            <w:noWrap w:val="0"/>
            <w:vAlign w:val="center"/>
          </w:tcPr>
          <w:p w14:paraId="66574AA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144.96</w:t>
            </w:r>
          </w:p>
        </w:tc>
        <w:tc>
          <w:tcPr>
            <w:tcW w:w="828" w:type="dxa"/>
            <w:tcBorders>
              <w:top w:val="nil"/>
              <w:left w:val="nil"/>
              <w:bottom w:val="single" w:color="auto" w:sz="4" w:space="0"/>
              <w:right w:val="single" w:color="auto" w:sz="4" w:space="0"/>
            </w:tcBorders>
            <w:noWrap w:val="0"/>
            <w:vAlign w:val="center"/>
          </w:tcPr>
          <w:p w14:paraId="7962A95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EE9C40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469CF1F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D50E9E0">
        <w:tblPrEx>
          <w:tblCellMar>
            <w:top w:w="0" w:type="dxa"/>
            <w:left w:w="108" w:type="dxa"/>
            <w:bottom w:w="0" w:type="dxa"/>
            <w:right w:w="108" w:type="dxa"/>
          </w:tblCellMar>
        </w:tblPrEx>
        <w:trPr>
          <w:trHeight w:val="35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A61B36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8215C59">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42F0983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0DEC0D3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4C7E82C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32F0367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73E3AED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00EF627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593C02">
        <w:tblPrEx>
          <w:tblCellMar>
            <w:top w:w="0" w:type="dxa"/>
            <w:left w:w="108" w:type="dxa"/>
            <w:bottom w:w="0" w:type="dxa"/>
            <w:right w:w="108" w:type="dxa"/>
          </w:tblCellMar>
        </w:tblPrEx>
        <w:trPr>
          <w:trHeight w:val="39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A9E253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4347303">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0B59600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5BD48B3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F163FD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314143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C74EA8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57ABEB6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F63D38">
        <w:tblPrEx>
          <w:tblCellMar>
            <w:top w:w="0" w:type="dxa"/>
            <w:left w:w="108" w:type="dxa"/>
            <w:bottom w:w="0" w:type="dxa"/>
            <w:right w:w="108" w:type="dxa"/>
          </w:tblCellMar>
        </w:tblPrEx>
        <w:trPr>
          <w:trHeight w:val="435"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F7699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7783CC5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1BA1228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193F55C">
        <w:tblPrEx>
          <w:tblCellMar>
            <w:top w:w="0" w:type="dxa"/>
            <w:left w:w="108" w:type="dxa"/>
            <w:bottom w:w="0" w:type="dxa"/>
            <w:right w:w="108" w:type="dxa"/>
          </w:tblCellMar>
        </w:tblPrEx>
        <w:trPr>
          <w:trHeight w:val="1916"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06E949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6D23158C">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根据市“三资改革”工作部署，计划启动市主城区道路公共资源停车收费工作，按照重大行政决策事项流程完成前期准备、风险评估、听证和专家证、价值评估、实施方案编制等工作后，将进行市主城区道路临时停车泊位经营权转让拍卖，盘活市主城区道路公共资源临时停车泊位。</w:t>
            </w:r>
            <w:r>
              <w:rPr>
                <w:rFonts w:hint="eastAsia" w:ascii="仿宋_GB2312" w:hAnsi="仿宋_GB2312" w:eastAsia="仿宋_GB2312" w:cs="仿宋_GB2312"/>
                <w:color w:val="000000"/>
                <w:sz w:val="20"/>
                <w:szCs w:val="20"/>
                <w:highlight w:val="none"/>
              </w:rPr>
              <w:t>　</w:t>
            </w:r>
          </w:p>
        </w:tc>
        <w:tc>
          <w:tcPr>
            <w:tcW w:w="4253" w:type="dxa"/>
            <w:gridSpan w:val="4"/>
            <w:tcBorders>
              <w:top w:val="single" w:color="auto" w:sz="4" w:space="0"/>
              <w:left w:val="nil"/>
              <w:bottom w:val="single" w:color="auto" w:sz="4" w:space="0"/>
              <w:right w:val="single" w:color="auto" w:sz="4" w:space="0"/>
            </w:tcBorders>
            <w:noWrap w:val="0"/>
            <w:vAlign w:val="center"/>
          </w:tcPr>
          <w:p w14:paraId="5536D28E">
            <w:pPr>
              <w:pStyle w:val="4"/>
              <w:keepNext w:val="0"/>
              <w:keepLines w:val="0"/>
              <w:pageBreakBefore w:val="0"/>
              <w:kinsoku/>
              <w:wordWrap/>
              <w:overflowPunct/>
              <w:topLinePunct w:val="0"/>
              <w:autoSpaceDE/>
              <w:autoSpaceDN/>
              <w:bidi w:val="0"/>
              <w:adjustRightInd/>
              <w:snapToGrid/>
              <w:spacing w:line="260" w:lineRule="exact"/>
              <w:ind w:firstLine="400" w:firstLineChars="200"/>
              <w:textAlignment w:val="auto"/>
              <w:rPr>
                <w:rFonts w:hint="eastAsia" w:ascii="仿宋_GB2312" w:hAnsi="仿宋_GB2312" w:eastAsia="仿宋_GB2312" w:cs="仿宋_GB2312"/>
                <w:sz w:val="20"/>
                <w:szCs w:val="20"/>
              </w:rPr>
            </w:pPr>
            <w:r>
              <w:rPr>
                <w:rFonts w:hint="eastAsia" w:ascii="仿宋_GB2312" w:hAnsi="仿宋_GB2312" w:eastAsia="仿宋_GB2312" w:cs="仿宋_GB2312"/>
                <w:color w:val="000000"/>
                <w:sz w:val="20"/>
                <w:szCs w:val="20"/>
                <w:highlight w:val="none"/>
                <w:lang w:val="en-US" w:eastAsia="zh-CN"/>
              </w:rPr>
              <w:t>市主城区道路公共资源停车收费工作前期准备、风险评估、听证和专家证、价值评估、实施方案编制等工作均如期完成。</w:t>
            </w:r>
          </w:p>
        </w:tc>
      </w:tr>
      <w:tr w14:paraId="7246399D">
        <w:tblPrEx>
          <w:tblCellMar>
            <w:top w:w="0" w:type="dxa"/>
            <w:left w:w="108" w:type="dxa"/>
            <w:bottom w:w="0" w:type="dxa"/>
            <w:right w:w="108" w:type="dxa"/>
          </w:tblCellMar>
        </w:tblPrEx>
        <w:trPr>
          <w:trHeight w:val="685" w:hRule="atLeast"/>
          <w:jc w:val="center"/>
        </w:trPr>
        <w:tc>
          <w:tcPr>
            <w:tcW w:w="1080" w:type="dxa"/>
            <w:vMerge w:val="restart"/>
            <w:tcBorders>
              <w:top w:val="nil"/>
              <w:left w:val="single" w:color="auto" w:sz="4" w:space="0"/>
              <w:right w:val="single" w:color="auto" w:sz="4" w:space="0"/>
            </w:tcBorders>
            <w:noWrap w:val="0"/>
            <w:vAlign w:val="center"/>
          </w:tcPr>
          <w:p w14:paraId="624ADE4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79E3DF7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09CACE1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3CE519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085708E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3AC6EB3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207D60E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6CE9646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1C683D6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74F7C7C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7A301A6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568B744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3560BC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6F0C0C43">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0988DE35">
        <w:trPr>
          <w:jc w:val="center"/>
        </w:trPr>
        <w:tc>
          <w:tcPr>
            <w:tcW w:w="1080" w:type="dxa"/>
            <w:vMerge w:val="continue"/>
            <w:tcBorders>
              <w:left w:val="single" w:color="auto" w:sz="4" w:space="0"/>
              <w:right w:val="single" w:color="auto" w:sz="4" w:space="0"/>
            </w:tcBorders>
            <w:noWrap w:val="0"/>
            <w:vAlign w:val="center"/>
          </w:tcPr>
          <w:p w14:paraId="0507239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A71C31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44A12FF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p w14:paraId="0BE6105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4991F4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9FA9C70">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经营权转让方案制订服务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00863D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A9140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2F83B5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474429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A687F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　</w:t>
            </w:r>
          </w:p>
        </w:tc>
      </w:tr>
      <w:tr w14:paraId="677EBD89">
        <w:trPr>
          <w:jc w:val="center"/>
        </w:trPr>
        <w:tc>
          <w:tcPr>
            <w:tcW w:w="1080" w:type="dxa"/>
            <w:vMerge w:val="continue"/>
            <w:tcBorders>
              <w:left w:val="single" w:color="auto" w:sz="4" w:space="0"/>
              <w:right w:val="single" w:color="auto" w:sz="4" w:space="0"/>
            </w:tcBorders>
            <w:noWrap w:val="0"/>
            <w:vAlign w:val="center"/>
          </w:tcPr>
          <w:p w14:paraId="0C1BCDB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1A768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F63A2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ADD7B6B">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经营权转让拍卖</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1029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71C3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8ADC99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D4D91F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89074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p>
        </w:tc>
      </w:tr>
      <w:tr w14:paraId="0A874499">
        <w:trPr>
          <w:jc w:val="center"/>
        </w:trPr>
        <w:tc>
          <w:tcPr>
            <w:tcW w:w="1080" w:type="dxa"/>
            <w:vMerge w:val="continue"/>
            <w:tcBorders>
              <w:left w:val="single" w:color="auto" w:sz="4" w:space="0"/>
              <w:right w:val="single" w:color="auto" w:sz="4" w:space="0"/>
            </w:tcBorders>
            <w:noWrap w:val="0"/>
            <w:vAlign w:val="center"/>
          </w:tcPr>
          <w:p w14:paraId="31604BC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8A62CD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CA6043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4060565">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听证和专家论证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792013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9575A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BE788D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0E26C7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914D4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p>
        </w:tc>
      </w:tr>
      <w:tr w14:paraId="7C8AFB48">
        <w:tblPrEx>
          <w:tblCellMar>
            <w:top w:w="0" w:type="dxa"/>
            <w:left w:w="108" w:type="dxa"/>
            <w:bottom w:w="0" w:type="dxa"/>
            <w:right w:w="108" w:type="dxa"/>
          </w:tblCellMar>
        </w:tblPrEx>
        <w:trPr>
          <w:trHeight w:val="487" w:hRule="atLeast"/>
          <w:jc w:val="center"/>
        </w:trPr>
        <w:tc>
          <w:tcPr>
            <w:tcW w:w="1080" w:type="dxa"/>
            <w:vMerge w:val="continue"/>
            <w:tcBorders>
              <w:left w:val="single" w:color="auto" w:sz="4" w:space="0"/>
              <w:right w:val="single" w:color="auto" w:sz="4" w:space="0"/>
            </w:tcBorders>
            <w:noWrap w:val="0"/>
            <w:vAlign w:val="center"/>
          </w:tcPr>
          <w:p w14:paraId="735C3C9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0A219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90BF98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60746B9">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风险评估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8D0CB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FD37B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B71A6D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7F747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12031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p>
        </w:tc>
      </w:tr>
      <w:tr w14:paraId="3763A12D">
        <w:trPr>
          <w:jc w:val="center"/>
        </w:trPr>
        <w:tc>
          <w:tcPr>
            <w:tcW w:w="1080" w:type="dxa"/>
            <w:vMerge w:val="continue"/>
            <w:tcBorders>
              <w:left w:val="single" w:color="auto" w:sz="4" w:space="0"/>
              <w:right w:val="single" w:color="auto" w:sz="4" w:space="0"/>
            </w:tcBorders>
            <w:noWrap w:val="0"/>
            <w:vAlign w:val="center"/>
          </w:tcPr>
          <w:p w14:paraId="5EE3500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53EA38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FCF001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5871CDD">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公共资源经营权价值评估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A4EE3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61B6D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662F5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EBA8DD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F1047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　</w:t>
            </w:r>
          </w:p>
        </w:tc>
      </w:tr>
      <w:tr w14:paraId="7EA156A9">
        <w:trPr>
          <w:jc w:val="center"/>
        </w:trPr>
        <w:tc>
          <w:tcPr>
            <w:tcW w:w="1080" w:type="dxa"/>
            <w:vMerge w:val="continue"/>
            <w:tcBorders>
              <w:left w:val="single" w:color="auto" w:sz="4" w:space="0"/>
              <w:right w:val="single" w:color="auto" w:sz="4" w:space="0"/>
            </w:tcBorders>
            <w:noWrap w:val="0"/>
            <w:vAlign w:val="center"/>
          </w:tcPr>
          <w:p w14:paraId="69E7528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7FC1EF7">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1C125B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2B596C2">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转让价格合理性</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83D58A9">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i w:val="0"/>
                <w:color w:val="000000"/>
                <w:kern w:val="0"/>
                <w:sz w:val="21"/>
                <w:szCs w:val="21"/>
                <w:u w:val="none"/>
                <w:lang w:val="en-US" w:eastAsia="zh-CN" w:bidi="ar"/>
              </w:rPr>
              <w:t>转让价格公允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8F4873">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i w:val="0"/>
                <w:color w:val="000000"/>
                <w:kern w:val="0"/>
                <w:sz w:val="21"/>
                <w:szCs w:val="21"/>
                <w:u w:val="none"/>
                <w:lang w:val="en-US" w:eastAsia="zh-CN" w:bidi="ar"/>
              </w:rPr>
              <w:t>转让价格公允</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5EAD43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AF01A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19368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lang w:eastAsia="zh-CN"/>
              </w:rPr>
            </w:pPr>
          </w:p>
        </w:tc>
      </w:tr>
      <w:tr w14:paraId="6572DAAD">
        <w:trPr>
          <w:jc w:val="center"/>
        </w:trPr>
        <w:tc>
          <w:tcPr>
            <w:tcW w:w="1080" w:type="dxa"/>
            <w:vMerge w:val="continue"/>
            <w:tcBorders>
              <w:left w:val="single" w:color="auto" w:sz="4" w:space="0"/>
              <w:right w:val="single" w:color="auto" w:sz="4" w:space="0"/>
            </w:tcBorders>
            <w:noWrap w:val="0"/>
            <w:vAlign w:val="center"/>
          </w:tcPr>
          <w:p w14:paraId="47D3434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3CCF2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AD0AA1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623B62B">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项目实施流程</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807F5E">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项目实施程序合理合法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86FDB1">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项目实施程序合理合法</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DED59D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1BE32C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71E953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lang w:eastAsia="zh-CN"/>
              </w:rPr>
            </w:pPr>
          </w:p>
        </w:tc>
      </w:tr>
      <w:tr w14:paraId="0288FE77">
        <w:trPr>
          <w:jc w:val="center"/>
        </w:trPr>
        <w:tc>
          <w:tcPr>
            <w:tcW w:w="1080" w:type="dxa"/>
            <w:vMerge w:val="continue"/>
            <w:tcBorders>
              <w:left w:val="single" w:color="auto" w:sz="4" w:space="0"/>
              <w:right w:val="single" w:color="auto" w:sz="4" w:space="0"/>
            </w:tcBorders>
            <w:noWrap w:val="0"/>
            <w:vAlign w:val="center"/>
          </w:tcPr>
          <w:p w14:paraId="3FAFCB3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CESI仿宋-GB2312" w:hAnsi="CESI仿宋-GB2312" w:eastAsia="CESI仿宋-GB2312" w:cs="CESI仿宋-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38712E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67B7A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FF9EDC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按项目实施管理办法和项目实施细则按时完成</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A7AF6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202</w:t>
            </w:r>
            <w:r>
              <w:rPr>
                <w:rFonts w:hint="eastAsia" w:ascii="仿宋_GB2312" w:hAnsi="仿宋_GB2312" w:eastAsia="仿宋_GB2312" w:cs="仿宋_GB2312"/>
                <w:color w:val="000000"/>
                <w:sz w:val="21"/>
                <w:szCs w:val="21"/>
                <w:highlight w:val="none"/>
                <w:lang w:val="en-US" w:eastAsia="zh-CN"/>
              </w:rPr>
              <w:t>5</w:t>
            </w:r>
            <w:r>
              <w:rPr>
                <w:rFonts w:hint="eastAsia" w:ascii="仿宋_GB2312" w:hAnsi="仿宋_GB2312" w:eastAsia="仿宋_GB2312" w:cs="仿宋_GB2312"/>
                <w:color w:val="000000"/>
                <w:sz w:val="21"/>
                <w:szCs w:val="21"/>
                <w:highlight w:val="none"/>
              </w:rPr>
              <w:t>年12月31日前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5D4F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rPr>
              <w:t>202</w:t>
            </w:r>
            <w:r>
              <w:rPr>
                <w:rFonts w:hint="eastAsia" w:ascii="仿宋_GB2312" w:hAnsi="仿宋_GB2312" w:eastAsia="仿宋_GB2312" w:cs="仿宋_GB2312"/>
                <w:color w:val="000000"/>
                <w:sz w:val="21"/>
                <w:szCs w:val="21"/>
                <w:highlight w:val="none"/>
                <w:lang w:val="en-US" w:eastAsia="zh-CN"/>
              </w:rPr>
              <w:t>5</w:t>
            </w:r>
            <w:r>
              <w:rPr>
                <w:rFonts w:hint="eastAsia" w:ascii="仿宋_GB2312" w:hAnsi="仿宋_GB2312" w:eastAsia="仿宋_GB2312" w:cs="仿宋_GB2312"/>
                <w:color w:val="000000"/>
                <w:sz w:val="21"/>
                <w:szCs w:val="21"/>
                <w:highlight w:val="none"/>
              </w:rPr>
              <w:t>年12月31日前</w:t>
            </w:r>
            <w:r>
              <w:rPr>
                <w:rFonts w:hint="eastAsia" w:ascii="仿宋_GB2312" w:hAnsi="仿宋_GB2312" w:eastAsia="仿宋_GB2312" w:cs="仿宋_GB2312"/>
                <w:color w:val="000000"/>
                <w:sz w:val="21"/>
                <w:szCs w:val="21"/>
                <w:highlight w:val="none"/>
                <w:lang w:eastAsia="zh-CN"/>
              </w:rPr>
              <w:t>如期完成</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CA878F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E3D586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12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140E56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　</w:t>
            </w:r>
          </w:p>
        </w:tc>
      </w:tr>
      <w:tr w14:paraId="39B3DA0F">
        <w:trPr>
          <w:jc w:val="center"/>
        </w:trPr>
        <w:tc>
          <w:tcPr>
            <w:tcW w:w="1080" w:type="dxa"/>
            <w:vMerge w:val="continue"/>
            <w:tcBorders>
              <w:left w:val="single" w:color="auto" w:sz="4" w:space="0"/>
              <w:right w:val="single" w:color="auto" w:sz="4" w:space="0"/>
            </w:tcBorders>
            <w:noWrap w:val="0"/>
            <w:vAlign w:val="center"/>
          </w:tcPr>
          <w:p w14:paraId="674F310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7B6E89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3C41F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251A88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项目实施成本</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C6774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200万元以内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F9725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val="en-US" w:eastAsia="zh-CN"/>
              </w:rPr>
              <w:t>实际148.98</w:t>
            </w:r>
            <w:r>
              <w:rPr>
                <w:rFonts w:hint="eastAsia" w:ascii="仿宋_GB2312" w:hAnsi="仿宋_GB2312" w:eastAsia="仿宋_GB2312" w:cs="仿宋_GB2312"/>
                <w:color w:val="000000"/>
                <w:sz w:val="21"/>
                <w:szCs w:val="21"/>
                <w:highlight w:val="none"/>
                <w:lang w:eastAsia="zh-CN"/>
              </w:rPr>
              <w:t>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009E29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821E21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A28B7B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　</w:t>
            </w:r>
          </w:p>
        </w:tc>
      </w:tr>
      <w:tr w14:paraId="1BA90769">
        <w:trPr>
          <w:jc w:val="center"/>
        </w:trPr>
        <w:tc>
          <w:tcPr>
            <w:tcW w:w="1080" w:type="dxa"/>
            <w:vMerge w:val="continue"/>
            <w:tcBorders>
              <w:left w:val="single" w:color="auto" w:sz="4" w:space="0"/>
              <w:right w:val="single" w:color="auto" w:sz="4" w:space="0"/>
            </w:tcBorders>
            <w:noWrap w:val="0"/>
            <w:vAlign w:val="center"/>
          </w:tcPr>
          <w:p w14:paraId="55C4073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68D88C">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47A402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FFF1BE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是否对社会造成影响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7479AB8">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无负面影响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29BF07">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无负面影响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C6CBE2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F2A053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C5817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　</w:t>
            </w:r>
          </w:p>
        </w:tc>
      </w:tr>
      <w:tr w14:paraId="4B31DF01">
        <w:tblPrEx>
          <w:tblCellMar>
            <w:top w:w="0" w:type="dxa"/>
            <w:left w:w="108" w:type="dxa"/>
            <w:bottom w:w="0" w:type="dxa"/>
            <w:right w:w="108" w:type="dxa"/>
          </w:tblCellMar>
        </w:tblPrEx>
        <w:trPr>
          <w:trHeight w:val="988"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0D16314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36AF7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79EE25C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nil"/>
              <w:bottom w:val="single" w:color="auto" w:sz="4" w:space="0"/>
              <w:right w:val="single" w:color="auto" w:sz="4" w:space="0"/>
            </w:tcBorders>
            <w:noWrap w:val="0"/>
            <w:vAlign w:val="center"/>
          </w:tcPr>
          <w:p w14:paraId="0C5D297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是否对自然生态环境造成负面影响</w:t>
            </w:r>
          </w:p>
        </w:tc>
        <w:tc>
          <w:tcPr>
            <w:tcW w:w="1134" w:type="dxa"/>
            <w:tcBorders>
              <w:top w:val="single" w:color="auto" w:sz="4" w:space="0"/>
              <w:left w:val="nil"/>
              <w:bottom w:val="single" w:color="auto" w:sz="4" w:space="0"/>
              <w:right w:val="single" w:color="auto" w:sz="4" w:space="0"/>
            </w:tcBorders>
            <w:noWrap w:val="0"/>
            <w:vAlign w:val="center"/>
          </w:tcPr>
          <w:p w14:paraId="48177F72">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无负面影响</w:t>
            </w:r>
          </w:p>
        </w:tc>
        <w:tc>
          <w:tcPr>
            <w:tcW w:w="1134" w:type="dxa"/>
            <w:tcBorders>
              <w:top w:val="single" w:color="auto" w:sz="4" w:space="0"/>
              <w:left w:val="nil"/>
              <w:bottom w:val="single" w:color="auto" w:sz="4" w:space="0"/>
              <w:right w:val="single" w:color="auto" w:sz="4" w:space="0"/>
            </w:tcBorders>
            <w:noWrap w:val="0"/>
            <w:vAlign w:val="center"/>
          </w:tcPr>
          <w:p w14:paraId="747E8F9F">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无负面影响</w:t>
            </w:r>
          </w:p>
        </w:tc>
        <w:tc>
          <w:tcPr>
            <w:tcW w:w="828" w:type="dxa"/>
            <w:tcBorders>
              <w:top w:val="single" w:color="auto" w:sz="4" w:space="0"/>
              <w:left w:val="nil"/>
              <w:bottom w:val="single" w:color="auto" w:sz="4" w:space="0"/>
              <w:right w:val="single" w:color="auto" w:sz="4" w:space="0"/>
            </w:tcBorders>
            <w:noWrap w:val="0"/>
            <w:vAlign w:val="center"/>
          </w:tcPr>
          <w:p w14:paraId="4B46B6E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4</w:t>
            </w:r>
          </w:p>
        </w:tc>
        <w:tc>
          <w:tcPr>
            <w:tcW w:w="873" w:type="dxa"/>
            <w:tcBorders>
              <w:top w:val="single" w:color="auto" w:sz="4" w:space="0"/>
              <w:left w:val="nil"/>
              <w:bottom w:val="single" w:color="auto" w:sz="4" w:space="0"/>
              <w:right w:val="single" w:color="auto" w:sz="4" w:space="0"/>
            </w:tcBorders>
            <w:noWrap w:val="0"/>
            <w:vAlign w:val="center"/>
          </w:tcPr>
          <w:p w14:paraId="3C7D71F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4</w:t>
            </w:r>
          </w:p>
        </w:tc>
        <w:tc>
          <w:tcPr>
            <w:tcW w:w="1418" w:type="dxa"/>
            <w:tcBorders>
              <w:top w:val="single" w:color="auto" w:sz="4" w:space="0"/>
              <w:left w:val="nil"/>
              <w:bottom w:val="single" w:color="auto" w:sz="4" w:space="0"/>
              <w:right w:val="single" w:color="auto" w:sz="4" w:space="0"/>
            </w:tcBorders>
            <w:noWrap w:val="0"/>
            <w:vAlign w:val="center"/>
          </w:tcPr>
          <w:p w14:paraId="2072FFA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　</w:t>
            </w:r>
          </w:p>
        </w:tc>
      </w:tr>
      <w:tr w14:paraId="7DDF7787">
        <w:tblPrEx>
          <w:tblCellMar>
            <w:top w:w="0" w:type="dxa"/>
            <w:left w:w="108" w:type="dxa"/>
            <w:bottom w:w="0" w:type="dxa"/>
            <w:right w:w="108" w:type="dxa"/>
          </w:tblCellMar>
        </w:tblPrEx>
        <w:trPr>
          <w:trHeight w:val="106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91DB1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28E91B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0DB2103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p w14:paraId="7955A46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174D1D6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D999A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经济效</w:t>
            </w:r>
          </w:p>
          <w:p w14:paraId="36638CD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EBC801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eastAsia="zh-CN"/>
              </w:rPr>
              <w:t>市民出行成本盘活中心城区公共资源</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14B5E6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拍卖收益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5B9E84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eastAsia="zh-CN"/>
              </w:rPr>
              <w:t>实现预期拍卖收入</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067068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11CAB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74DFB5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r>
      <w:tr w14:paraId="14305CD0">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8CFD90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3C82EFC">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right w:val="single" w:color="auto" w:sz="4" w:space="0"/>
            </w:tcBorders>
            <w:noWrap w:val="0"/>
            <w:vAlign w:val="center"/>
          </w:tcPr>
          <w:p w14:paraId="28E06EC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社会效</w:t>
            </w:r>
          </w:p>
          <w:p w14:paraId="3DED7EF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9052C8C">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公共资源使用公平性</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CDB67E3">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减少无偿长时间占用公共资源现象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3EF749">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减少无偿长时间占用公共资源现象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C2C2B4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17373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F13DE4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p>
        </w:tc>
      </w:tr>
      <w:tr w14:paraId="2929F3B9">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7B150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06FB8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401B9BD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19BA6DA">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停车泊位周转利用率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C57718">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提升停车泊位周转利用率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FC79BD6">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提升停车泊位周转利用率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1952E0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A37692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A25245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rPr>
              <w:t>挖掘停车潜力</w:t>
            </w:r>
            <w:r>
              <w:rPr>
                <w:rFonts w:hint="eastAsia" w:ascii="仿宋_GB2312" w:hAnsi="仿宋_GB2312" w:eastAsia="仿宋_GB2312" w:cs="仿宋_GB2312"/>
                <w:color w:val="000000"/>
                <w:sz w:val="21"/>
                <w:szCs w:val="21"/>
                <w:highlight w:val="none"/>
                <w:lang w:eastAsia="zh-CN"/>
              </w:rPr>
              <w:t>方面有待加强</w:t>
            </w:r>
            <w:r>
              <w:rPr>
                <w:rFonts w:hint="eastAsia" w:ascii="仿宋_GB2312" w:hAnsi="仿宋_GB2312" w:eastAsia="仿宋_GB2312" w:cs="仿宋_GB2312"/>
                <w:color w:val="000000"/>
                <w:sz w:val="21"/>
                <w:szCs w:val="21"/>
                <w:highlight w:val="none"/>
              </w:rPr>
              <w:t>，</w:t>
            </w:r>
            <w:r>
              <w:rPr>
                <w:rFonts w:hint="eastAsia" w:ascii="仿宋_GB2312" w:hAnsi="仿宋_GB2312" w:eastAsia="仿宋_GB2312" w:cs="仿宋_GB2312"/>
                <w:color w:val="000000"/>
                <w:sz w:val="21"/>
                <w:szCs w:val="21"/>
                <w:highlight w:val="none"/>
                <w:lang w:eastAsia="zh-CN"/>
              </w:rPr>
              <w:t>充分利用城市现有资源，增加停车泊位</w:t>
            </w:r>
          </w:p>
        </w:tc>
      </w:tr>
      <w:tr w14:paraId="64D2B131">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72B4CF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E7CAFB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19FC49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生态效</w:t>
            </w:r>
          </w:p>
          <w:p w14:paraId="0FC0039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DA97FD1">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不适用</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E1AA53">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不适用</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2CFC45">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i w:val="0"/>
                <w:color w:val="000000"/>
                <w:kern w:val="0"/>
                <w:sz w:val="21"/>
                <w:szCs w:val="21"/>
                <w:u w:val="none"/>
                <w:lang w:val="en-US" w:eastAsia="zh-CN" w:bidi="ar"/>
              </w:rPr>
              <w:t>不适用</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7658A1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8CE5FA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F0739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　</w:t>
            </w:r>
          </w:p>
        </w:tc>
      </w:tr>
      <w:tr w14:paraId="5FB397E6">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54A3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625966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E1BD79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74C8AB6">
            <w:pPr>
              <w:keepNext w:val="0"/>
              <w:keepLines w:val="0"/>
              <w:widowControl/>
              <w:suppressLineNumbers w:val="0"/>
              <w:jc w:val="center"/>
              <w:textAlignment w:val="center"/>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i w:val="0"/>
                <w:color w:val="000000"/>
                <w:kern w:val="0"/>
                <w:sz w:val="21"/>
                <w:szCs w:val="21"/>
                <w:u w:val="none"/>
                <w:lang w:val="en-US" w:eastAsia="zh-CN" w:bidi="ar"/>
              </w:rPr>
              <w:t>盘活公共资源</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990F28">
            <w:pPr>
              <w:keepNext w:val="0"/>
              <w:keepLines w:val="0"/>
              <w:widowControl/>
              <w:suppressLineNumbers w:val="0"/>
              <w:jc w:val="center"/>
              <w:textAlignment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盘活公共资源</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989B0C">
            <w:pPr>
              <w:keepNext w:val="0"/>
              <w:keepLines w:val="0"/>
              <w:widowControl/>
              <w:suppressLineNumbers w:val="0"/>
              <w:jc w:val="center"/>
              <w:textAlignment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盘活了公共资源</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5D7628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31C2FE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EBE718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　</w:t>
            </w:r>
          </w:p>
        </w:tc>
      </w:tr>
      <w:tr w14:paraId="73FE099E">
        <w:trPr>
          <w:jc w:val="center"/>
        </w:trPr>
        <w:tc>
          <w:tcPr>
            <w:tcW w:w="1080" w:type="dxa"/>
            <w:vMerge w:val="continue"/>
            <w:tcBorders>
              <w:left w:val="single" w:color="auto" w:sz="4" w:space="0"/>
              <w:right w:val="single" w:color="auto" w:sz="4" w:space="0"/>
            </w:tcBorders>
            <w:noWrap w:val="0"/>
            <w:vAlign w:val="center"/>
          </w:tcPr>
          <w:p w14:paraId="50D4C70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14:paraId="3F3C19A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17AC583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p>
        </w:tc>
        <w:tc>
          <w:tcPr>
            <w:tcW w:w="1224" w:type="dxa"/>
            <w:tcBorders>
              <w:top w:val="nil"/>
              <w:left w:val="nil"/>
              <w:bottom w:val="single" w:color="auto" w:sz="4" w:space="0"/>
              <w:right w:val="single" w:color="auto" w:sz="4" w:space="0"/>
            </w:tcBorders>
            <w:noWrap w:val="0"/>
            <w:vAlign w:val="center"/>
          </w:tcPr>
          <w:p w14:paraId="4DABB57F">
            <w:pPr>
              <w:keepNext w:val="0"/>
              <w:keepLines w:val="0"/>
              <w:widowControl/>
              <w:suppressLineNumbers w:val="0"/>
              <w:jc w:val="center"/>
              <w:textAlignment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提高临街公共停车泊位周转利用率</w:t>
            </w:r>
          </w:p>
        </w:tc>
        <w:tc>
          <w:tcPr>
            <w:tcW w:w="1134" w:type="dxa"/>
            <w:tcBorders>
              <w:top w:val="nil"/>
              <w:left w:val="nil"/>
              <w:bottom w:val="single" w:color="auto" w:sz="4" w:space="0"/>
              <w:right w:val="single" w:color="auto" w:sz="4" w:space="0"/>
            </w:tcBorders>
            <w:noWrap w:val="0"/>
            <w:vAlign w:val="center"/>
          </w:tcPr>
          <w:p w14:paraId="531F6B45">
            <w:pPr>
              <w:keepNext w:val="0"/>
              <w:keepLines w:val="0"/>
              <w:widowControl/>
              <w:suppressLineNumbers w:val="0"/>
              <w:jc w:val="center"/>
              <w:textAlignment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提高临街公共停车泊位周转利用率</w:t>
            </w:r>
          </w:p>
        </w:tc>
        <w:tc>
          <w:tcPr>
            <w:tcW w:w="1134" w:type="dxa"/>
            <w:tcBorders>
              <w:top w:val="nil"/>
              <w:left w:val="nil"/>
              <w:bottom w:val="single" w:color="auto" w:sz="4" w:space="0"/>
              <w:right w:val="single" w:color="auto" w:sz="4" w:space="0"/>
            </w:tcBorders>
            <w:noWrap w:val="0"/>
            <w:vAlign w:val="center"/>
          </w:tcPr>
          <w:p w14:paraId="7AE15E42">
            <w:pPr>
              <w:keepNext w:val="0"/>
              <w:keepLines w:val="0"/>
              <w:widowControl/>
              <w:suppressLineNumbers w:val="0"/>
              <w:jc w:val="center"/>
              <w:textAlignment w:val="center"/>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i w:val="0"/>
                <w:color w:val="000000"/>
                <w:kern w:val="0"/>
                <w:sz w:val="21"/>
                <w:szCs w:val="21"/>
                <w:u w:val="none"/>
                <w:lang w:val="en-US" w:eastAsia="zh-CN" w:bidi="ar"/>
              </w:rPr>
              <w:t>临街公共停车泊位周转利用率</w:t>
            </w:r>
          </w:p>
        </w:tc>
        <w:tc>
          <w:tcPr>
            <w:tcW w:w="828" w:type="dxa"/>
            <w:tcBorders>
              <w:top w:val="nil"/>
              <w:left w:val="nil"/>
              <w:bottom w:val="single" w:color="auto" w:sz="4" w:space="0"/>
              <w:right w:val="single" w:color="auto" w:sz="4" w:space="0"/>
            </w:tcBorders>
            <w:noWrap w:val="0"/>
            <w:vAlign w:val="center"/>
          </w:tcPr>
          <w:p w14:paraId="7E4D4B5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6</w:t>
            </w:r>
          </w:p>
        </w:tc>
        <w:tc>
          <w:tcPr>
            <w:tcW w:w="873" w:type="dxa"/>
            <w:tcBorders>
              <w:top w:val="nil"/>
              <w:left w:val="nil"/>
              <w:bottom w:val="single" w:color="auto" w:sz="4" w:space="0"/>
              <w:right w:val="single" w:color="auto" w:sz="4" w:space="0"/>
            </w:tcBorders>
            <w:noWrap w:val="0"/>
            <w:vAlign w:val="center"/>
          </w:tcPr>
          <w:p w14:paraId="022F7F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6</w:t>
            </w:r>
          </w:p>
        </w:tc>
        <w:tc>
          <w:tcPr>
            <w:tcW w:w="1418" w:type="dxa"/>
            <w:tcBorders>
              <w:top w:val="nil"/>
              <w:left w:val="nil"/>
              <w:bottom w:val="single" w:color="auto" w:sz="4" w:space="0"/>
              <w:right w:val="single" w:color="auto" w:sz="4" w:space="0"/>
            </w:tcBorders>
            <w:noWrap w:val="0"/>
            <w:vAlign w:val="center"/>
          </w:tcPr>
          <w:p w14:paraId="3DFDABF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　</w:t>
            </w:r>
          </w:p>
        </w:tc>
      </w:tr>
      <w:tr w14:paraId="0120A816">
        <w:trPr>
          <w:jc w:val="center"/>
        </w:trPr>
        <w:tc>
          <w:tcPr>
            <w:tcW w:w="1080" w:type="dxa"/>
            <w:vMerge w:val="continue"/>
            <w:tcBorders>
              <w:left w:val="single" w:color="auto" w:sz="4" w:space="0"/>
              <w:right w:val="single" w:color="auto" w:sz="4" w:space="0"/>
            </w:tcBorders>
            <w:noWrap w:val="0"/>
            <w:vAlign w:val="center"/>
          </w:tcPr>
          <w:p w14:paraId="49902FF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14:paraId="1C5F936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754D5E2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314CF76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vMerge w:val="restart"/>
            <w:tcBorders>
              <w:top w:val="nil"/>
              <w:left w:val="nil"/>
              <w:right w:val="single" w:color="auto" w:sz="4" w:space="0"/>
            </w:tcBorders>
            <w:noWrap w:val="0"/>
            <w:vAlign w:val="center"/>
          </w:tcPr>
          <w:p w14:paraId="3CEBD38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10D99D9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相关职能部门满意度</w:t>
            </w:r>
          </w:p>
        </w:tc>
        <w:tc>
          <w:tcPr>
            <w:tcW w:w="1134" w:type="dxa"/>
            <w:tcBorders>
              <w:top w:val="nil"/>
              <w:left w:val="nil"/>
              <w:bottom w:val="single" w:color="auto" w:sz="4" w:space="0"/>
              <w:right w:val="single" w:color="auto" w:sz="4" w:space="0"/>
            </w:tcBorders>
            <w:noWrap w:val="0"/>
            <w:vAlign w:val="center"/>
          </w:tcPr>
          <w:p w14:paraId="086C440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满意率达95%以</w:t>
            </w:r>
            <w:r>
              <w:rPr>
                <w:rFonts w:hint="eastAsia" w:ascii="仿宋_GB2312" w:hAnsi="仿宋_GB2312" w:eastAsia="仿宋_GB2312" w:cs="仿宋_GB2312"/>
                <w:color w:val="000000"/>
                <w:sz w:val="21"/>
                <w:szCs w:val="21"/>
                <w:highlight w:val="none"/>
                <w:lang w:eastAsia="zh-CN"/>
              </w:rPr>
              <w:t>上</w:t>
            </w:r>
          </w:p>
        </w:tc>
        <w:tc>
          <w:tcPr>
            <w:tcW w:w="1134" w:type="dxa"/>
            <w:tcBorders>
              <w:top w:val="nil"/>
              <w:left w:val="nil"/>
              <w:bottom w:val="single" w:color="auto" w:sz="4" w:space="0"/>
              <w:right w:val="single" w:color="auto" w:sz="4" w:space="0"/>
            </w:tcBorders>
            <w:noWrap w:val="0"/>
            <w:vAlign w:val="center"/>
          </w:tcPr>
          <w:p w14:paraId="23AA518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98%</w:t>
            </w:r>
          </w:p>
        </w:tc>
        <w:tc>
          <w:tcPr>
            <w:tcW w:w="828" w:type="dxa"/>
            <w:tcBorders>
              <w:top w:val="nil"/>
              <w:left w:val="nil"/>
              <w:bottom w:val="single" w:color="auto" w:sz="4" w:space="0"/>
              <w:right w:val="single" w:color="auto" w:sz="4" w:space="0"/>
            </w:tcBorders>
            <w:noWrap w:val="0"/>
            <w:vAlign w:val="center"/>
          </w:tcPr>
          <w:p w14:paraId="1FC42F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6AAFA22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3D38B6F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p>
        </w:tc>
      </w:tr>
      <w:tr w14:paraId="5B45A925">
        <w:trPr>
          <w:jc w:val="center"/>
        </w:trPr>
        <w:tc>
          <w:tcPr>
            <w:tcW w:w="1080" w:type="dxa"/>
            <w:vMerge w:val="continue"/>
            <w:tcBorders>
              <w:left w:val="single" w:color="auto" w:sz="4" w:space="0"/>
              <w:right w:val="single" w:color="auto" w:sz="4" w:space="0"/>
            </w:tcBorders>
            <w:noWrap w:val="0"/>
            <w:vAlign w:val="center"/>
          </w:tcPr>
          <w:p w14:paraId="0B17F2E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7661D35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0DEA80A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rPr>
            </w:pPr>
          </w:p>
        </w:tc>
        <w:tc>
          <w:tcPr>
            <w:tcW w:w="1224" w:type="dxa"/>
            <w:tcBorders>
              <w:top w:val="nil"/>
              <w:left w:val="nil"/>
              <w:bottom w:val="single" w:color="auto" w:sz="4" w:space="0"/>
              <w:right w:val="single" w:color="auto" w:sz="4" w:space="0"/>
            </w:tcBorders>
            <w:noWrap w:val="0"/>
            <w:vAlign w:val="center"/>
          </w:tcPr>
          <w:p w14:paraId="45D0D33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市民满意度</w:t>
            </w:r>
          </w:p>
        </w:tc>
        <w:tc>
          <w:tcPr>
            <w:tcW w:w="1134" w:type="dxa"/>
            <w:tcBorders>
              <w:top w:val="nil"/>
              <w:left w:val="nil"/>
              <w:bottom w:val="single" w:color="auto" w:sz="4" w:space="0"/>
              <w:right w:val="single" w:color="auto" w:sz="4" w:space="0"/>
            </w:tcBorders>
            <w:noWrap w:val="0"/>
            <w:vAlign w:val="center"/>
          </w:tcPr>
          <w:p w14:paraId="5939656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rPr>
              <w:t>满意率达9</w:t>
            </w:r>
            <w:r>
              <w:rPr>
                <w:rFonts w:hint="eastAsia" w:ascii="仿宋_GB2312" w:hAnsi="仿宋_GB2312" w:eastAsia="仿宋_GB2312" w:cs="仿宋_GB2312"/>
                <w:color w:val="000000"/>
                <w:sz w:val="21"/>
                <w:szCs w:val="21"/>
                <w:highlight w:val="none"/>
                <w:lang w:val="en-US" w:eastAsia="zh-CN"/>
              </w:rPr>
              <w:t>0</w:t>
            </w:r>
            <w:r>
              <w:rPr>
                <w:rFonts w:hint="eastAsia" w:ascii="仿宋_GB2312" w:hAnsi="仿宋_GB2312" w:eastAsia="仿宋_GB2312" w:cs="仿宋_GB2312"/>
                <w:color w:val="000000"/>
                <w:sz w:val="21"/>
                <w:szCs w:val="21"/>
                <w:highlight w:val="none"/>
              </w:rPr>
              <w:t>%以</w:t>
            </w:r>
            <w:r>
              <w:rPr>
                <w:rFonts w:hint="eastAsia" w:ascii="仿宋_GB2312" w:hAnsi="仿宋_GB2312" w:eastAsia="仿宋_GB2312" w:cs="仿宋_GB2312"/>
                <w:color w:val="000000"/>
                <w:sz w:val="21"/>
                <w:szCs w:val="21"/>
                <w:highlight w:val="none"/>
                <w:lang w:eastAsia="zh-CN"/>
              </w:rPr>
              <w:t>上</w:t>
            </w:r>
          </w:p>
        </w:tc>
        <w:tc>
          <w:tcPr>
            <w:tcW w:w="1134" w:type="dxa"/>
            <w:tcBorders>
              <w:top w:val="nil"/>
              <w:left w:val="nil"/>
              <w:bottom w:val="single" w:color="auto" w:sz="4" w:space="0"/>
              <w:right w:val="single" w:color="auto" w:sz="4" w:space="0"/>
            </w:tcBorders>
            <w:noWrap w:val="0"/>
            <w:vAlign w:val="center"/>
          </w:tcPr>
          <w:p w14:paraId="5831C5A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rPr>
              <w:t>　</w:t>
            </w:r>
            <w:r>
              <w:rPr>
                <w:rFonts w:hint="eastAsia" w:ascii="仿宋_GB2312" w:hAnsi="仿宋_GB2312" w:eastAsia="仿宋_GB2312" w:cs="仿宋_GB2312"/>
                <w:color w:val="000000"/>
                <w:sz w:val="21"/>
                <w:szCs w:val="21"/>
                <w:highlight w:val="none"/>
                <w:lang w:val="en-US" w:eastAsia="zh-CN"/>
              </w:rPr>
              <w:t>91%</w:t>
            </w:r>
          </w:p>
        </w:tc>
        <w:tc>
          <w:tcPr>
            <w:tcW w:w="828" w:type="dxa"/>
            <w:tcBorders>
              <w:top w:val="nil"/>
              <w:left w:val="nil"/>
              <w:bottom w:val="single" w:color="auto" w:sz="4" w:space="0"/>
              <w:right w:val="single" w:color="auto" w:sz="4" w:space="0"/>
            </w:tcBorders>
            <w:noWrap w:val="0"/>
            <w:vAlign w:val="center"/>
          </w:tcPr>
          <w:p w14:paraId="107AC8E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015EB3E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1"/>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0CF1B8F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1"/>
                <w:szCs w:val="21"/>
                <w:highlight w:val="none"/>
              </w:rPr>
              <w:t>　</w:t>
            </w:r>
          </w:p>
        </w:tc>
      </w:tr>
      <w:tr w14:paraId="488F8233">
        <w:tblPrEx>
          <w:tblCellMar>
            <w:top w:w="0" w:type="dxa"/>
            <w:left w:w="108" w:type="dxa"/>
            <w:bottom w:w="0" w:type="dxa"/>
            <w:right w:w="108" w:type="dxa"/>
          </w:tblCellMar>
        </w:tblPrEx>
        <w:trPr>
          <w:trHeight w:val="477" w:hRule="atLeast"/>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0AE20F5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736F251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2935D8C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98.73</w:t>
            </w:r>
          </w:p>
        </w:tc>
        <w:tc>
          <w:tcPr>
            <w:tcW w:w="1418" w:type="dxa"/>
            <w:tcBorders>
              <w:top w:val="nil"/>
              <w:left w:val="nil"/>
              <w:bottom w:val="single" w:color="auto" w:sz="4" w:space="0"/>
              <w:right w:val="single" w:color="auto" w:sz="4" w:space="0"/>
            </w:tcBorders>
            <w:noWrap w:val="0"/>
            <w:vAlign w:val="center"/>
          </w:tcPr>
          <w:p w14:paraId="5066173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56234286">
      <w:pPr>
        <w:keepNext w:val="0"/>
        <w:keepLines w:val="0"/>
        <w:pageBreakBefore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2"/>
          <w:highlight w:val="none"/>
        </w:rPr>
      </w:pPr>
    </w:p>
    <w:p w14:paraId="7D752E8B">
      <w:pPr>
        <w:keepNext w:val="0"/>
        <w:keepLines w:val="0"/>
        <w:pageBreakBefore w:val="0"/>
        <w:kinsoku/>
        <w:wordWrap/>
        <w:overflowPunct/>
        <w:topLinePunct w:val="0"/>
        <w:autoSpaceDE/>
        <w:autoSpaceDN/>
        <w:bidi w:val="0"/>
        <w:adjustRightInd/>
        <w:snapToGrid/>
        <w:spacing w:line="300" w:lineRule="exact"/>
        <w:textAlignment w:val="auto"/>
        <w:rPr>
          <w:rFonts w:hint="default" w:ascii="方正小标宋简体" w:hAnsi="方正小标宋简体" w:eastAsia="方正小标宋简体" w:cs="方正小标宋简体"/>
          <w:sz w:val="44"/>
          <w:szCs w:val="44"/>
          <w:highlight w:val="none"/>
          <w:lang w:val="en-US" w:eastAsia="zh-CN"/>
        </w:rPr>
      </w:pPr>
      <w:r>
        <w:rPr>
          <w:rFonts w:hint="eastAsia" w:ascii="仿宋_GB2312" w:hAnsi="仿宋_GB2312" w:eastAsia="仿宋_GB2312" w:cs="仿宋_GB2312"/>
          <w:sz w:val="22"/>
          <w:highlight w:val="none"/>
        </w:rPr>
        <w:t>填表人：</w:t>
      </w:r>
      <w:r>
        <w:rPr>
          <w:rFonts w:hint="eastAsia" w:ascii="仿宋_GB2312" w:hAnsi="仿宋_GB2312" w:eastAsia="仿宋_GB2312" w:cs="仿宋_GB2312"/>
          <w:sz w:val="22"/>
          <w:highlight w:val="none"/>
          <w:lang w:val="en-US" w:eastAsia="zh-CN"/>
        </w:rPr>
        <w:t>龙邓</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填报日期：</w:t>
      </w:r>
      <w:r>
        <w:rPr>
          <w:rFonts w:hint="eastAsia" w:ascii="仿宋_GB2312" w:hAnsi="仿宋_GB2312" w:eastAsia="仿宋_GB2312" w:cs="仿宋_GB2312"/>
          <w:sz w:val="22"/>
          <w:highlight w:val="none"/>
          <w:lang w:val="en-US" w:eastAsia="zh-CN"/>
        </w:rPr>
        <w:t>2026.6.22</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联系电话：</w:t>
      </w:r>
      <w:r>
        <w:rPr>
          <w:rFonts w:hint="eastAsia" w:ascii="仿宋_GB2312" w:hAnsi="仿宋_GB2312" w:eastAsia="仿宋_GB2312" w:cs="仿宋_GB2312"/>
          <w:sz w:val="22"/>
          <w:highlight w:val="none"/>
          <w:lang w:val="en-US" w:eastAsia="zh-CN"/>
        </w:rPr>
        <w:t>8220516</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eastAsia" w:ascii="仿宋_GB2312" w:hAnsi="仿宋_GB2312" w:eastAsia="仿宋_GB2312" w:cs="仿宋_GB2312"/>
          <w:sz w:val="22"/>
          <w:highlight w:val="none"/>
        </w:rPr>
        <w:t>单位负责人：</w:t>
      </w:r>
      <w:r>
        <w:rPr>
          <w:rFonts w:hint="eastAsia" w:ascii="仿宋_GB2312" w:hAnsi="仿宋_GB2312" w:eastAsia="仿宋_GB2312" w:cs="仿宋_GB2312"/>
          <w:sz w:val="22"/>
          <w:highlight w:val="none"/>
          <w:lang w:val="en-US" w:eastAsia="zh-CN"/>
        </w:rPr>
        <w:t>何志军</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2760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B7EC2">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3B7EC2">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12293"/>
    <w:multiLevelType w:val="singleLevel"/>
    <w:tmpl w:val="98312293"/>
    <w:lvl w:ilvl="0" w:tentative="0">
      <w:start w:val="1"/>
      <w:numFmt w:val="chineseCounting"/>
      <w:suff w:val="nothing"/>
      <w:lvlText w:val="%1、"/>
      <w:lvlJc w:val="left"/>
      <w:rPr>
        <w:rFonts w:hint="eastAsia"/>
      </w:rPr>
    </w:lvl>
  </w:abstractNum>
  <w:abstractNum w:abstractNumId="1">
    <w:nsid w:val="BBBB4AF7"/>
    <w:multiLevelType w:val="singleLevel"/>
    <w:tmpl w:val="BBBB4AF7"/>
    <w:lvl w:ilvl="0" w:tentative="0">
      <w:start w:val="5"/>
      <w:numFmt w:val="chineseCounting"/>
      <w:suff w:val="nothing"/>
      <w:lvlText w:val="%1、"/>
      <w:lvlJc w:val="left"/>
      <w:rPr>
        <w:rFonts w:hint="eastAsia"/>
      </w:rPr>
    </w:lvl>
  </w:abstractNum>
  <w:abstractNum w:abstractNumId="2">
    <w:nsid w:val="C5321FCC"/>
    <w:multiLevelType w:val="singleLevel"/>
    <w:tmpl w:val="C5321FCC"/>
    <w:lvl w:ilvl="0" w:tentative="0">
      <w:start w:val="1"/>
      <w:numFmt w:val="chineseCounting"/>
      <w:suff w:val="nothing"/>
      <w:lvlText w:val="%1、"/>
      <w:lvlJc w:val="left"/>
      <w:rPr>
        <w:rFonts w:hint="eastAsia"/>
      </w:rPr>
    </w:lvl>
  </w:abstractNum>
  <w:abstractNum w:abstractNumId="3">
    <w:nsid w:val="06C9609B"/>
    <w:multiLevelType w:val="singleLevel"/>
    <w:tmpl w:val="06C9609B"/>
    <w:lvl w:ilvl="0" w:tentative="0">
      <w:start w:val="2"/>
      <w:numFmt w:val="chineseCounting"/>
      <w:suff w:val="nothing"/>
      <w:lvlText w:val="（%1）"/>
      <w:lvlJc w:val="left"/>
      <w:rPr>
        <w:rFonts w:hint="eastAsia"/>
      </w:rPr>
    </w:lvl>
  </w:abstractNum>
  <w:abstractNum w:abstractNumId="4">
    <w:nsid w:val="4E0980DE"/>
    <w:multiLevelType w:val="singleLevel"/>
    <w:tmpl w:val="4E0980DE"/>
    <w:lvl w:ilvl="0" w:tentative="0">
      <w:start w:val="2"/>
      <w:numFmt w:val="chineseCounting"/>
      <w:suff w:val="nothing"/>
      <w:lvlText w:val="(%1）"/>
      <w:lvlJc w:val="left"/>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TBlMjkxOGJkZTY2YWVjYTkxNWZjODEzNjkwZDcifQ=="/>
  </w:docVars>
  <w:rsids>
    <w:rsidRoot w:val="59886344"/>
    <w:rsid w:val="003C0DF2"/>
    <w:rsid w:val="005F1DBC"/>
    <w:rsid w:val="006D411D"/>
    <w:rsid w:val="00AA15D2"/>
    <w:rsid w:val="00BA58C4"/>
    <w:rsid w:val="00CE72AE"/>
    <w:rsid w:val="01176EA7"/>
    <w:rsid w:val="011C626C"/>
    <w:rsid w:val="0154654A"/>
    <w:rsid w:val="017B5A80"/>
    <w:rsid w:val="01822573"/>
    <w:rsid w:val="02781BC8"/>
    <w:rsid w:val="02D84414"/>
    <w:rsid w:val="02E910F0"/>
    <w:rsid w:val="0317360C"/>
    <w:rsid w:val="034B2E38"/>
    <w:rsid w:val="03BE360A"/>
    <w:rsid w:val="03EA43FF"/>
    <w:rsid w:val="03EA521B"/>
    <w:rsid w:val="03EC461B"/>
    <w:rsid w:val="03F15D82"/>
    <w:rsid w:val="04030F36"/>
    <w:rsid w:val="040F55C3"/>
    <w:rsid w:val="0449381C"/>
    <w:rsid w:val="04592B60"/>
    <w:rsid w:val="04730898"/>
    <w:rsid w:val="047E50AB"/>
    <w:rsid w:val="049A0B0A"/>
    <w:rsid w:val="04EB798A"/>
    <w:rsid w:val="04FC43EA"/>
    <w:rsid w:val="05614B95"/>
    <w:rsid w:val="05724FD3"/>
    <w:rsid w:val="057773DC"/>
    <w:rsid w:val="05917228"/>
    <w:rsid w:val="0597352A"/>
    <w:rsid w:val="05BD0FC8"/>
    <w:rsid w:val="062123DB"/>
    <w:rsid w:val="064D79F0"/>
    <w:rsid w:val="06570885"/>
    <w:rsid w:val="06602ADA"/>
    <w:rsid w:val="066466EB"/>
    <w:rsid w:val="06691F53"/>
    <w:rsid w:val="067B3A34"/>
    <w:rsid w:val="06DD024B"/>
    <w:rsid w:val="07175C35"/>
    <w:rsid w:val="072F4F4B"/>
    <w:rsid w:val="073164DF"/>
    <w:rsid w:val="074327A4"/>
    <w:rsid w:val="07D478A0"/>
    <w:rsid w:val="07E27FCC"/>
    <w:rsid w:val="07F92E63"/>
    <w:rsid w:val="0849203C"/>
    <w:rsid w:val="087654E9"/>
    <w:rsid w:val="08A90849"/>
    <w:rsid w:val="08A90D2D"/>
    <w:rsid w:val="08BE0885"/>
    <w:rsid w:val="08C61C3D"/>
    <w:rsid w:val="08F875BE"/>
    <w:rsid w:val="09425E39"/>
    <w:rsid w:val="09430AD2"/>
    <w:rsid w:val="09BC4A90"/>
    <w:rsid w:val="09BF1E8A"/>
    <w:rsid w:val="09F2225F"/>
    <w:rsid w:val="09F67F74"/>
    <w:rsid w:val="0A1E3055"/>
    <w:rsid w:val="0A5E78F5"/>
    <w:rsid w:val="0AC12AF5"/>
    <w:rsid w:val="0AF12517"/>
    <w:rsid w:val="0B0340A7"/>
    <w:rsid w:val="0B064214"/>
    <w:rsid w:val="0B53569D"/>
    <w:rsid w:val="0B5807E8"/>
    <w:rsid w:val="0B732F2C"/>
    <w:rsid w:val="0B9C6927"/>
    <w:rsid w:val="0B9D0EF0"/>
    <w:rsid w:val="0B9F5716"/>
    <w:rsid w:val="0BAF665A"/>
    <w:rsid w:val="0C216E2C"/>
    <w:rsid w:val="0C500C68"/>
    <w:rsid w:val="0C5513C4"/>
    <w:rsid w:val="0C5C1C12"/>
    <w:rsid w:val="0C9048F1"/>
    <w:rsid w:val="0CAA0BCF"/>
    <w:rsid w:val="0CB63A18"/>
    <w:rsid w:val="0D2766C4"/>
    <w:rsid w:val="0D674D12"/>
    <w:rsid w:val="0D9D0734"/>
    <w:rsid w:val="0DB203C0"/>
    <w:rsid w:val="0DCA099E"/>
    <w:rsid w:val="0E06277D"/>
    <w:rsid w:val="0E4C64B9"/>
    <w:rsid w:val="0E735B42"/>
    <w:rsid w:val="0F0F7410"/>
    <w:rsid w:val="0F490B74"/>
    <w:rsid w:val="0F7F0301"/>
    <w:rsid w:val="0FAC0967"/>
    <w:rsid w:val="0FC009B6"/>
    <w:rsid w:val="0FFA1E6E"/>
    <w:rsid w:val="1002041D"/>
    <w:rsid w:val="10CD36C1"/>
    <w:rsid w:val="1134209D"/>
    <w:rsid w:val="11586E4C"/>
    <w:rsid w:val="11CC15E8"/>
    <w:rsid w:val="11F65C89"/>
    <w:rsid w:val="12045226"/>
    <w:rsid w:val="120D34C9"/>
    <w:rsid w:val="124467FD"/>
    <w:rsid w:val="1246139A"/>
    <w:rsid w:val="12BE7183"/>
    <w:rsid w:val="12CD54E7"/>
    <w:rsid w:val="12D11331"/>
    <w:rsid w:val="131170BC"/>
    <w:rsid w:val="132536A6"/>
    <w:rsid w:val="132D60B6"/>
    <w:rsid w:val="137507CF"/>
    <w:rsid w:val="137E1BA8"/>
    <w:rsid w:val="137E3AAA"/>
    <w:rsid w:val="137F4B64"/>
    <w:rsid w:val="13C46A1B"/>
    <w:rsid w:val="13FA243C"/>
    <w:rsid w:val="143619DA"/>
    <w:rsid w:val="144F735B"/>
    <w:rsid w:val="14750A1F"/>
    <w:rsid w:val="14784A9B"/>
    <w:rsid w:val="14830684"/>
    <w:rsid w:val="14BF2D1A"/>
    <w:rsid w:val="14DE7097"/>
    <w:rsid w:val="1514358F"/>
    <w:rsid w:val="15543DCE"/>
    <w:rsid w:val="158E7D3E"/>
    <w:rsid w:val="15DE18EA"/>
    <w:rsid w:val="15E7A661"/>
    <w:rsid w:val="15F80BFE"/>
    <w:rsid w:val="16027660"/>
    <w:rsid w:val="16461969"/>
    <w:rsid w:val="166A4F49"/>
    <w:rsid w:val="168F3C34"/>
    <w:rsid w:val="169C5A2D"/>
    <w:rsid w:val="16D57191"/>
    <w:rsid w:val="16E66CA8"/>
    <w:rsid w:val="16F94C2D"/>
    <w:rsid w:val="16FB6BF7"/>
    <w:rsid w:val="16FF2D6B"/>
    <w:rsid w:val="171D04DA"/>
    <w:rsid w:val="172F856F"/>
    <w:rsid w:val="174B46C0"/>
    <w:rsid w:val="174E54A1"/>
    <w:rsid w:val="174F0CF1"/>
    <w:rsid w:val="17822E75"/>
    <w:rsid w:val="17B2302E"/>
    <w:rsid w:val="17B2477D"/>
    <w:rsid w:val="17C918CC"/>
    <w:rsid w:val="17FD8992"/>
    <w:rsid w:val="18147845"/>
    <w:rsid w:val="181B7858"/>
    <w:rsid w:val="18500E4A"/>
    <w:rsid w:val="18552337"/>
    <w:rsid w:val="18956BD8"/>
    <w:rsid w:val="18971143"/>
    <w:rsid w:val="18A84B5D"/>
    <w:rsid w:val="18D77D55"/>
    <w:rsid w:val="18E45469"/>
    <w:rsid w:val="193E101D"/>
    <w:rsid w:val="199E2028"/>
    <w:rsid w:val="19B823E4"/>
    <w:rsid w:val="19CA401F"/>
    <w:rsid w:val="19DFF643"/>
    <w:rsid w:val="19FF454B"/>
    <w:rsid w:val="1A2B0853"/>
    <w:rsid w:val="1A705206"/>
    <w:rsid w:val="1A807414"/>
    <w:rsid w:val="1A9058A9"/>
    <w:rsid w:val="1AA17AB6"/>
    <w:rsid w:val="1ABD36C6"/>
    <w:rsid w:val="1AC70E1C"/>
    <w:rsid w:val="1AD82846"/>
    <w:rsid w:val="1AE300CE"/>
    <w:rsid w:val="1AF3CE5F"/>
    <w:rsid w:val="1AFFCBDA"/>
    <w:rsid w:val="1B3D4259"/>
    <w:rsid w:val="1B9413C8"/>
    <w:rsid w:val="1BC178C0"/>
    <w:rsid w:val="1BC33CE0"/>
    <w:rsid w:val="1BEC76E3"/>
    <w:rsid w:val="1BF13F6A"/>
    <w:rsid w:val="1BFFD3B4"/>
    <w:rsid w:val="1BFFE712"/>
    <w:rsid w:val="1C4C3A51"/>
    <w:rsid w:val="1C4F3541"/>
    <w:rsid w:val="1C8A77B6"/>
    <w:rsid w:val="1C8E7BC6"/>
    <w:rsid w:val="1CB952D2"/>
    <w:rsid w:val="1CFD5204"/>
    <w:rsid w:val="1D2309CD"/>
    <w:rsid w:val="1D3E30B9"/>
    <w:rsid w:val="1D9571FE"/>
    <w:rsid w:val="1DB55626"/>
    <w:rsid w:val="1DB5F948"/>
    <w:rsid w:val="1DBF5D52"/>
    <w:rsid w:val="1DEE4546"/>
    <w:rsid w:val="1E157715"/>
    <w:rsid w:val="1E3B8B30"/>
    <w:rsid w:val="1E3F3A74"/>
    <w:rsid w:val="1E7712E0"/>
    <w:rsid w:val="1E8410A9"/>
    <w:rsid w:val="1E91ADC7"/>
    <w:rsid w:val="1E930915"/>
    <w:rsid w:val="1EA82AC4"/>
    <w:rsid w:val="1EB12133"/>
    <w:rsid w:val="1EC65D3D"/>
    <w:rsid w:val="1EFD1033"/>
    <w:rsid w:val="1F3A31B7"/>
    <w:rsid w:val="1F7548B7"/>
    <w:rsid w:val="1F7B323E"/>
    <w:rsid w:val="1F7CABFE"/>
    <w:rsid w:val="1F813A12"/>
    <w:rsid w:val="1FB2006F"/>
    <w:rsid w:val="1FE291D0"/>
    <w:rsid w:val="1FEB1390"/>
    <w:rsid w:val="1FF3404C"/>
    <w:rsid w:val="1FF9D7B6"/>
    <w:rsid w:val="1FFB12B5"/>
    <w:rsid w:val="1FFD27C0"/>
    <w:rsid w:val="1FFFFB58"/>
    <w:rsid w:val="20605D1D"/>
    <w:rsid w:val="208328D1"/>
    <w:rsid w:val="20A53730"/>
    <w:rsid w:val="20E7142D"/>
    <w:rsid w:val="20EA4601"/>
    <w:rsid w:val="20ED3CFA"/>
    <w:rsid w:val="20F6718A"/>
    <w:rsid w:val="21054D35"/>
    <w:rsid w:val="212A0153"/>
    <w:rsid w:val="21367194"/>
    <w:rsid w:val="214116AB"/>
    <w:rsid w:val="216435EB"/>
    <w:rsid w:val="217236E9"/>
    <w:rsid w:val="219C0FD7"/>
    <w:rsid w:val="219D5CF4"/>
    <w:rsid w:val="21AE74CB"/>
    <w:rsid w:val="21E1C4E1"/>
    <w:rsid w:val="21E91EE3"/>
    <w:rsid w:val="21F26E49"/>
    <w:rsid w:val="21FA7AAB"/>
    <w:rsid w:val="220A24B9"/>
    <w:rsid w:val="22787AA7"/>
    <w:rsid w:val="227B1683"/>
    <w:rsid w:val="227E3321"/>
    <w:rsid w:val="22C970D5"/>
    <w:rsid w:val="22DB5B2F"/>
    <w:rsid w:val="231639D9"/>
    <w:rsid w:val="232E65AC"/>
    <w:rsid w:val="23B24AE2"/>
    <w:rsid w:val="23C40371"/>
    <w:rsid w:val="24AD03C2"/>
    <w:rsid w:val="24C30629"/>
    <w:rsid w:val="24E92109"/>
    <w:rsid w:val="24F53CC5"/>
    <w:rsid w:val="24FFC822"/>
    <w:rsid w:val="2503216A"/>
    <w:rsid w:val="250F1AC0"/>
    <w:rsid w:val="251F7F55"/>
    <w:rsid w:val="257D6EC4"/>
    <w:rsid w:val="258B2108"/>
    <w:rsid w:val="25AB3597"/>
    <w:rsid w:val="264834DB"/>
    <w:rsid w:val="26502390"/>
    <w:rsid w:val="2677ADDA"/>
    <w:rsid w:val="268970CA"/>
    <w:rsid w:val="26BFFD94"/>
    <w:rsid w:val="26E256DE"/>
    <w:rsid w:val="26FE3B7E"/>
    <w:rsid w:val="26FFA790"/>
    <w:rsid w:val="27037402"/>
    <w:rsid w:val="274560E8"/>
    <w:rsid w:val="278247CB"/>
    <w:rsid w:val="2785661C"/>
    <w:rsid w:val="27914A0E"/>
    <w:rsid w:val="27BB7CDD"/>
    <w:rsid w:val="27D71050"/>
    <w:rsid w:val="27EC4016"/>
    <w:rsid w:val="27F57601"/>
    <w:rsid w:val="281D62A2"/>
    <w:rsid w:val="2829733C"/>
    <w:rsid w:val="2859389A"/>
    <w:rsid w:val="28643ED1"/>
    <w:rsid w:val="286643D9"/>
    <w:rsid w:val="28896358"/>
    <w:rsid w:val="28A80261"/>
    <w:rsid w:val="28AC5FA3"/>
    <w:rsid w:val="28D9083E"/>
    <w:rsid w:val="28F23BAD"/>
    <w:rsid w:val="2927562A"/>
    <w:rsid w:val="294F211B"/>
    <w:rsid w:val="29547A65"/>
    <w:rsid w:val="29A94291"/>
    <w:rsid w:val="29C63095"/>
    <w:rsid w:val="2A3F69A3"/>
    <w:rsid w:val="2A505BBC"/>
    <w:rsid w:val="2A563562"/>
    <w:rsid w:val="2A73664D"/>
    <w:rsid w:val="2ACE1AD5"/>
    <w:rsid w:val="2AF02FB8"/>
    <w:rsid w:val="2B361B54"/>
    <w:rsid w:val="2B5D45DC"/>
    <w:rsid w:val="2B702C06"/>
    <w:rsid w:val="2B762899"/>
    <w:rsid w:val="2B852ADC"/>
    <w:rsid w:val="2B9D7E25"/>
    <w:rsid w:val="2BA967CA"/>
    <w:rsid w:val="2BC45BBC"/>
    <w:rsid w:val="2BEF7F55"/>
    <w:rsid w:val="2BFC39D5"/>
    <w:rsid w:val="2C1A76C8"/>
    <w:rsid w:val="2C505482"/>
    <w:rsid w:val="2C5C3582"/>
    <w:rsid w:val="2C8A3B74"/>
    <w:rsid w:val="2C9740FC"/>
    <w:rsid w:val="2C9E3214"/>
    <w:rsid w:val="2D297497"/>
    <w:rsid w:val="2D64E77A"/>
    <w:rsid w:val="2D79041E"/>
    <w:rsid w:val="2DB41AC5"/>
    <w:rsid w:val="2DFF7860"/>
    <w:rsid w:val="2E5F7614"/>
    <w:rsid w:val="2E7EFE34"/>
    <w:rsid w:val="2E9F5C62"/>
    <w:rsid w:val="2ED26038"/>
    <w:rsid w:val="2ED77087"/>
    <w:rsid w:val="2EDC7ABF"/>
    <w:rsid w:val="2EF5C177"/>
    <w:rsid w:val="2F3D7265"/>
    <w:rsid w:val="2F3FB6CA"/>
    <w:rsid w:val="2F520F27"/>
    <w:rsid w:val="2F5AC3AC"/>
    <w:rsid w:val="2F6B1603"/>
    <w:rsid w:val="2F7F6422"/>
    <w:rsid w:val="2FBB6FE0"/>
    <w:rsid w:val="2FE7DA75"/>
    <w:rsid w:val="2FF65D56"/>
    <w:rsid w:val="2FFB4E44"/>
    <w:rsid w:val="2FFB7FED"/>
    <w:rsid w:val="2FFB9414"/>
    <w:rsid w:val="2FFBD7E4"/>
    <w:rsid w:val="2FFE7E70"/>
    <w:rsid w:val="30101716"/>
    <w:rsid w:val="30446AC1"/>
    <w:rsid w:val="30654C8A"/>
    <w:rsid w:val="306A5CC3"/>
    <w:rsid w:val="308275EA"/>
    <w:rsid w:val="30B66241"/>
    <w:rsid w:val="30BF25EC"/>
    <w:rsid w:val="30DF309C"/>
    <w:rsid w:val="30E46D36"/>
    <w:rsid w:val="30FE11D3"/>
    <w:rsid w:val="316F4012"/>
    <w:rsid w:val="319E0453"/>
    <w:rsid w:val="31C0130D"/>
    <w:rsid w:val="31FB58A6"/>
    <w:rsid w:val="31FF7AE8"/>
    <w:rsid w:val="32052D87"/>
    <w:rsid w:val="32433D76"/>
    <w:rsid w:val="325A1752"/>
    <w:rsid w:val="3264169D"/>
    <w:rsid w:val="32894C60"/>
    <w:rsid w:val="32B3392E"/>
    <w:rsid w:val="32EA443C"/>
    <w:rsid w:val="32F522F5"/>
    <w:rsid w:val="32F56799"/>
    <w:rsid w:val="32F71D7D"/>
    <w:rsid w:val="330668C7"/>
    <w:rsid w:val="332D5F33"/>
    <w:rsid w:val="335710EE"/>
    <w:rsid w:val="335A2AA0"/>
    <w:rsid w:val="337613DE"/>
    <w:rsid w:val="33778B45"/>
    <w:rsid w:val="33BA669C"/>
    <w:rsid w:val="33E9B2D3"/>
    <w:rsid w:val="33FA9D18"/>
    <w:rsid w:val="33FBDDAB"/>
    <w:rsid w:val="34272982"/>
    <w:rsid w:val="34452E08"/>
    <w:rsid w:val="347705D7"/>
    <w:rsid w:val="349F419A"/>
    <w:rsid w:val="34C0637E"/>
    <w:rsid w:val="34CC11D8"/>
    <w:rsid w:val="34E16FD5"/>
    <w:rsid w:val="34FB5BBD"/>
    <w:rsid w:val="351039A8"/>
    <w:rsid w:val="3538101C"/>
    <w:rsid w:val="354860EB"/>
    <w:rsid w:val="355D23D3"/>
    <w:rsid w:val="355F5136"/>
    <w:rsid w:val="358E07DF"/>
    <w:rsid w:val="35A40002"/>
    <w:rsid w:val="35A973C7"/>
    <w:rsid w:val="35AF0042"/>
    <w:rsid w:val="35BF6D15"/>
    <w:rsid w:val="35CC15B7"/>
    <w:rsid w:val="35D50BAE"/>
    <w:rsid w:val="35E41B3B"/>
    <w:rsid w:val="35EF80EF"/>
    <w:rsid w:val="36005459"/>
    <w:rsid w:val="36592B9B"/>
    <w:rsid w:val="36664758"/>
    <w:rsid w:val="3687595A"/>
    <w:rsid w:val="36883480"/>
    <w:rsid w:val="368A99A7"/>
    <w:rsid w:val="369605DD"/>
    <w:rsid w:val="369938DF"/>
    <w:rsid w:val="36BD7B6A"/>
    <w:rsid w:val="36C01D22"/>
    <w:rsid w:val="36D207DC"/>
    <w:rsid w:val="36F079A3"/>
    <w:rsid w:val="371702A4"/>
    <w:rsid w:val="37206A37"/>
    <w:rsid w:val="373B54E9"/>
    <w:rsid w:val="374540DD"/>
    <w:rsid w:val="3763118E"/>
    <w:rsid w:val="3784633D"/>
    <w:rsid w:val="379A1C3C"/>
    <w:rsid w:val="379FBE45"/>
    <w:rsid w:val="37DF2B88"/>
    <w:rsid w:val="37EB3F50"/>
    <w:rsid w:val="37F069F3"/>
    <w:rsid w:val="37F76B0F"/>
    <w:rsid w:val="3823251A"/>
    <w:rsid w:val="384653A1"/>
    <w:rsid w:val="389D1465"/>
    <w:rsid w:val="389E6F8B"/>
    <w:rsid w:val="38A8F0B9"/>
    <w:rsid w:val="38BD38B5"/>
    <w:rsid w:val="38EE1CC0"/>
    <w:rsid w:val="38FF24ED"/>
    <w:rsid w:val="39381D3C"/>
    <w:rsid w:val="39476067"/>
    <w:rsid w:val="396D1386"/>
    <w:rsid w:val="39771243"/>
    <w:rsid w:val="39A50338"/>
    <w:rsid w:val="39FA783E"/>
    <w:rsid w:val="3A046612"/>
    <w:rsid w:val="3A1F776E"/>
    <w:rsid w:val="3A331955"/>
    <w:rsid w:val="3A35F591"/>
    <w:rsid w:val="3A450380"/>
    <w:rsid w:val="3A4F678F"/>
    <w:rsid w:val="3A56BA4A"/>
    <w:rsid w:val="3A5D453C"/>
    <w:rsid w:val="3A68164F"/>
    <w:rsid w:val="3A6F67B9"/>
    <w:rsid w:val="3A7B3A28"/>
    <w:rsid w:val="3A864340"/>
    <w:rsid w:val="3A9B6F0E"/>
    <w:rsid w:val="3AD51E56"/>
    <w:rsid w:val="3AEF8943"/>
    <w:rsid w:val="3AFE9D8D"/>
    <w:rsid w:val="3B0E7F2D"/>
    <w:rsid w:val="3B1874C8"/>
    <w:rsid w:val="3B7A5A8D"/>
    <w:rsid w:val="3BAFAC9F"/>
    <w:rsid w:val="3BC2ED61"/>
    <w:rsid w:val="3BDF58CE"/>
    <w:rsid w:val="3BEB24E7"/>
    <w:rsid w:val="3BF56FBA"/>
    <w:rsid w:val="3BFC8AA8"/>
    <w:rsid w:val="3C2C0654"/>
    <w:rsid w:val="3C3665DF"/>
    <w:rsid w:val="3CE4FF4F"/>
    <w:rsid w:val="3CE5819B"/>
    <w:rsid w:val="3CEB7CAA"/>
    <w:rsid w:val="3CED04E1"/>
    <w:rsid w:val="3CFF2322"/>
    <w:rsid w:val="3D146F91"/>
    <w:rsid w:val="3D26224F"/>
    <w:rsid w:val="3D4218E5"/>
    <w:rsid w:val="3D4476F2"/>
    <w:rsid w:val="3D4EFDF3"/>
    <w:rsid w:val="3D5E08E1"/>
    <w:rsid w:val="3D6150B1"/>
    <w:rsid w:val="3DAF5F95"/>
    <w:rsid w:val="3DBDDFC8"/>
    <w:rsid w:val="3DBFB5AA"/>
    <w:rsid w:val="3DCC5501"/>
    <w:rsid w:val="3DE11DF4"/>
    <w:rsid w:val="3DFF15BB"/>
    <w:rsid w:val="3DFF8639"/>
    <w:rsid w:val="3E1877DF"/>
    <w:rsid w:val="3E4660FB"/>
    <w:rsid w:val="3E57714C"/>
    <w:rsid w:val="3E63337B"/>
    <w:rsid w:val="3E6F38A3"/>
    <w:rsid w:val="3E703177"/>
    <w:rsid w:val="3E7FCE16"/>
    <w:rsid w:val="3EAA3817"/>
    <w:rsid w:val="3EB74E23"/>
    <w:rsid w:val="3EBD6193"/>
    <w:rsid w:val="3EEF1430"/>
    <w:rsid w:val="3EFB3EF4"/>
    <w:rsid w:val="3EFFF355"/>
    <w:rsid w:val="3F2F0A7D"/>
    <w:rsid w:val="3F4FE695"/>
    <w:rsid w:val="3F611E41"/>
    <w:rsid w:val="3F76AD36"/>
    <w:rsid w:val="3F7741D8"/>
    <w:rsid w:val="3F7AA408"/>
    <w:rsid w:val="3F7F9C83"/>
    <w:rsid w:val="3F7FE8E2"/>
    <w:rsid w:val="3FA70E1B"/>
    <w:rsid w:val="3FAD48CD"/>
    <w:rsid w:val="3FAD5F8B"/>
    <w:rsid w:val="3FCBE0E7"/>
    <w:rsid w:val="3FCD11EF"/>
    <w:rsid w:val="3FD7488F"/>
    <w:rsid w:val="3FD80FD4"/>
    <w:rsid w:val="3FDFB0F9"/>
    <w:rsid w:val="3FDFB4C1"/>
    <w:rsid w:val="3FF46BE4"/>
    <w:rsid w:val="3FFA51C8"/>
    <w:rsid w:val="3FFAE9AD"/>
    <w:rsid w:val="3FFB03D0"/>
    <w:rsid w:val="3FFCF670"/>
    <w:rsid w:val="3FFF018F"/>
    <w:rsid w:val="3FFF67A2"/>
    <w:rsid w:val="400821FC"/>
    <w:rsid w:val="402405B7"/>
    <w:rsid w:val="40866D2C"/>
    <w:rsid w:val="41250249"/>
    <w:rsid w:val="415648A7"/>
    <w:rsid w:val="41764F49"/>
    <w:rsid w:val="41807B75"/>
    <w:rsid w:val="41831414"/>
    <w:rsid w:val="418B1260"/>
    <w:rsid w:val="419034DB"/>
    <w:rsid w:val="419D4283"/>
    <w:rsid w:val="41A03D74"/>
    <w:rsid w:val="41B65345"/>
    <w:rsid w:val="41D63C39"/>
    <w:rsid w:val="41D6428B"/>
    <w:rsid w:val="41E20493"/>
    <w:rsid w:val="41F62F84"/>
    <w:rsid w:val="41F84F92"/>
    <w:rsid w:val="42076ECA"/>
    <w:rsid w:val="421B33FA"/>
    <w:rsid w:val="421F1DD3"/>
    <w:rsid w:val="425F4C4B"/>
    <w:rsid w:val="427520F4"/>
    <w:rsid w:val="42D96BAB"/>
    <w:rsid w:val="43713C1A"/>
    <w:rsid w:val="43A42766"/>
    <w:rsid w:val="44A41DCD"/>
    <w:rsid w:val="44CB735A"/>
    <w:rsid w:val="45093D6F"/>
    <w:rsid w:val="450972F8"/>
    <w:rsid w:val="4517434D"/>
    <w:rsid w:val="45264590"/>
    <w:rsid w:val="454B2248"/>
    <w:rsid w:val="456F23DB"/>
    <w:rsid w:val="456F4189"/>
    <w:rsid w:val="45794257"/>
    <w:rsid w:val="45BD1188"/>
    <w:rsid w:val="463E7A49"/>
    <w:rsid w:val="465B2193"/>
    <w:rsid w:val="465F41FD"/>
    <w:rsid w:val="46663C24"/>
    <w:rsid w:val="4682613E"/>
    <w:rsid w:val="468A0B4E"/>
    <w:rsid w:val="46E87275"/>
    <w:rsid w:val="47734610"/>
    <w:rsid w:val="477F074F"/>
    <w:rsid w:val="47E0136E"/>
    <w:rsid w:val="47E81FD1"/>
    <w:rsid w:val="47EA2189"/>
    <w:rsid w:val="47F81765"/>
    <w:rsid w:val="4820176A"/>
    <w:rsid w:val="48D30A38"/>
    <w:rsid w:val="48F332B7"/>
    <w:rsid w:val="493C4382"/>
    <w:rsid w:val="4944592C"/>
    <w:rsid w:val="494D47E1"/>
    <w:rsid w:val="495518E8"/>
    <w:rsid w:val="497C777E"/>
    <w:rsid w:val="498E4745"/>
    <w:rsid w:val="49DB73FE"/>
    <w:rsid w:val="49DE79B3"/>
    <w:rsid w:val="49EEC8D0"/>
    <w:rsid w:val="4A185174"/>
    <w:rsid w:val="4A390A56"/>
    <w:rsid w:val="4A78588E"/>
    <w:rsid w:val="4A8055D9"/>
    <w:rsid w:val="4A9D70A2"/>
    <w:rsid w:val="4AD95ABD"/>
    <w:rsid w:val="4AFBFC7D"/>
    <w:rsid w:val="4B2EA724"/>
    <w:rsid w:val="4B6E0A3F"/>
    <w:rsid w:val="4B7D07C8"/>
    <w:rsid w:val="4BD74836"/>
    <w:rsid w:val="4BE807F1"/>
    <w:rsid w:val="4BEFD053"/>
    <w:rsid w:val="4BF428E7"/>
    <w:rsid w:val="4BF7F362"/>
    <w:rsid w:val="4C2A2BB8"/>
    <w:rsid w:val="4C4874E2"/>
    <w:rsid w:val="4C4E3957"/>
    <w:rsid w:val="4CF7A5AB"/>
    <w:rsid w:val="4D26102B"/>
    <w:rsid w:val="4D4E02A1"/>
    <w:rsid w:val="4D986247"/>
    <w:rsid w:val="4D9A3D6D"/>
    <w:rsid w:val="4DB71CF8"/>
    <w:rsid w:val="4DD89830"/>
    <w:rsid w:val="4DDF1E79"/>
    <w:rsid w:val="4DFA38FB"/>
    <w:rsid w:val="4DFBB1D6"/>
    <w:rsid w:val="4E13667D"/>
    <w:rsid w:val="4E485577"/>
    <w:rsid w:val="4E5BBA9C"/>
    <w:rsid w:val="4E5C4165"/>
    <w:rsid w:val="4E771829"/>
    <w:rsid w:val="4E7F0F85"/>
    <w:rsid w:val="4EB96475"/>
    <w:rsid w:val="4EC512BE"/>
    <w:rsid w:val="4EEA43DA"/>
    <w:rsid w:val="4EFF6D04"/>
    <w:rsid w:val="4F2C30EB"/>
    <w:rsid w:val="4F351F9F"/>
    <w:rsid w:val="4F6F09F1"/>
    <w:rsid w:val="4F6F616B"/>
    <w:rsid w:val="4F7314B1"/>
    <w:rsid w:val="4F7A17D4"/>
    <w:rsid w:val="4F7D0893"/>
    <w:rsid w:val="4F7ED5CC"/>
    <w:rsid w:val="4F7F1717"/>
    <w:rsid w:val="4F895E47"/>
    <w:rsid w:val="4FB7DF52"/>
    <w:rsid w:val="4FBD0E37"/>
    <w:rsid w:val="4FC21149"/>
    <w:rsid w:val="4FEBD89B"/>
    <w:rsid w:val="4FF94135"/>
    <w:rsid w:val="4FFBE669"/>
    <w:rsid w:val="50302767"/>
    <w:rsid w:val="509176A9"/>
    <w:rsid w:val="50DD469C"/>
    <w:rsid w:val="50E57073"/>
    <w:rsid w:val="50EA5464"/>
    <w:rsid w:val="510D4856"/>
    <w:rsid w:val="5147093D"/>
    <w:rsid w:val="51DC0DF8"/>
    <w:rsid w:val="5272350A"/>
    <w:rsid w:val="52802CF0"/>
    <w:rsid w:val="52BB6C5F"/>
    <w:rsid w:val="52C635A9"/>
    <w:rsid w:val="52DC0984"/>
    <w:rsid w:val="530D2AC6"/>
    <w:rsid w:val="53196A38"/>
    <w:rsid w:val="5324497A"/>
    <w:rsid w:val="532564DD"/>
    <w:rsid w:val="53367EBD"/>
    <w:rsid w:val="534C3D5B"/>
    <w:rsid w:val="534F55FA"/>
    <w:rsid w:val="53594F1A"/>
    <w:rsid w:val="53B10062"/>
    <w:rsid w:val="53B63179"/>
    <w:rsid w:val="53EB213D"/>
    <w:rsid w:val="53EF967F"/>
    <w:rsid w:val="53FD32A8"/>
    <w:rsid w:val="53FF203C"/>
    <w:rsid w:val="540C7047"/>
    <w:rsid w:val="54280325"/>
    <w:rsid w:val="54684BC5"/>
    <w:rsid w:val="5474356A"/>
    <w:rsid w:val="54880DC3"/>
    <w:rsid w:val="55006BAB"/>
    <w:rsid w:val="5520724E"/>
    <w:rsid w:val="557E5AD7"/>
    <w:rsid w:val="55945D82"/>
    <w:rsid w:val="55972ADB"/>
    <w:rsid w:val="55CF47D0"/>
    <w:rsid w:val="55FB5CE7"/>
    <w:rsid w:val="55FF4935"/>
    <w:rsid w:val="55FF753B"/>
    <w:rsid w:val="56372AA1"/>
    <w:rsid w:val="5668150A"/>
    <w:rsid w:val="566D0CE3"/>
    <w:rsid w:val="56861332"/>
    <w:rsid w:val="56FC283D"/>
    <w:rsid w:val="573568B4"/>
    <w:rsid w:val="579FB4C2"/>
    <w:rsid w:val="57BD9159"/>
    <w:rsid w:val="57C84FDA"/>
    <w:rsid w:val="57DA4CD0"/>
    <w:rsid w:val="57DF684C"/>
    <w:rsid w:val="57EFE0CB"/>
    <w:rsid w:val="57FB2369"/>
    <w:rsid w:val="582B4BF2"/>
    <w:rsid w:val="582E57DE"/>
    <w:rsid w:val="586A0B55"/>
    <w:rsid w:val="586C4131"/>
    <w:rsid w:val="58900246"/>
    <w:rsid w:val="58A12C9F"/>
    <w:rsid w:val="58A718B2"/>
    <w:rsid w:val="58B70BAF"/>
    <w:rsid w:val="591C41D0"/>
    <w:rsid w:val="593212FE"/>
    <w:rsid w:val="5939268C"/>
    <w:rsid w:val="59417793"/>
    <w:rsid w:val="594272C5"/>
    <w:rsid w:val="594F0101"/>
    <w:rsid w:val="59886344"/>
    <w:rsid w:val="59956A89"/>
    <w:rsid w:val="59B53C70"/>
    <w:rsid w:val="59C76585"/>
    <w:rsid w:val="59DF6BA5"/>
    <w:rsid w:val="59EF71EF"/>
    <w:rsid w:val="59F842F5"/>
    <w:rsid w:val="5A3966BC"/>
    <w:rsid w:val="5A5E0D35"/>
    <w:rsid w:val="5ABD8580"/>
    <w:rsid w:val="5ADD34EB"/>
    <w:rsid w:val="5AFFF128"/>
    <w:rsid w:val="5B57504B"/>
    <w:rsid w:val="5B615FCD"/>
    <w:rsid w:val="5B8FC25C"/>
    <w:rsid w:val="5BA858A7"/>
    <w:rsid w:val="5BCA1CC1"/>
    <w:rsid w:val="5BDBE74A"/>
    <w:rsid w:val="5BDE8C69"/>
    <w:rsid w:val="5BE07737"/>
    <w:rsid w:val="5BE84AC6"/>
    <w:rsid w:val="5BF5C50B"/>
    <w:rsid w:val="5C11169E"/>
    <w:rsid w:val="5C2869E8"/>
    <w:rsid w:val="5C3F60E3"/>
    <w:rsid w:val="5C9A1694"/>
    <w:rsid w:val="5CC15BA8"/>
    <w:rsid w:val="5CC52C70"/>
    <w:rsid w:val="5CD674D1"/>
    <w:rsid w:val="5CF13516"/>
    <w:rsid w:val="5D1D99E4"/>
    <w:rsid w:val="5D1F428F"/>
    <w:rsid w:val="5D3F7E13"/>
    <w:rsid w:val="5D4B33F2"/>
    <w:rsid w:val="5D526412"/>
    <w:rsid w:val="5D6E7650"/>
    <w:rsid w:val="5D7F537A"/>
    <w:rsid w:val="5D83037A"/>
    <w:rsid w:val="5DA60EEC"/>
    <w:rsid w:val="5DABCD17"/>
    <w:rsid w:val="5DBEBB7B"/>
    <w:rsid w:val="5DBED4A6"/>
    <w:rsid w:val="5DD6E584"/>
    <w:rsid w:val="5DD7AFD0"/>
    <w:rsid w:val="5DE04B5C"/>
    <w:rsid w:val="5DE45F01"/>
    <w:rsid w:val="5DE76EBB"/>
    <w:rsid w:val="5DF51F6D"/>
    <w:rsid w:val="5DFB3E37"/>
    <w:rsid w:val="5DFB4C00"/>
    <w:rsid w:val="5DFEAFD1"/>
    <w:rsid w:val="5E2A4C99"/>
    <w:rsid w:val="5EAB87CB"/>
    <w:rsid w:val="5EC21376"/>
    <w:rsid w:val="5ECC5D50"/>
    <w:rsid w:val="5ECDBDC3"/>
    <w:rsid w:val="5EFC4054"/>
    <w:rsid w:val="5F141D32"/>
    <w:rsid w:val="5F1F40D2"/>
    <w:rsid w:val="5F2416E8"/>
    <w:rsid w:val="5F4FF522"/>
    <w:rsid w:val="5F5F29DE"/>
    <w:rsid w:val="5F5F9DF5"/>
    <w:rsid w:val="5F63E314"/>
    <w:rsid w:val="5F72D193"/>
    <w:rsid w:val="5F77191A"/>
    <w:rsid w:val="5F795ED8"/>
    <w:rsid w:val="5F79BDB0"/>
    <w:rsid w:val="5F7B82EA"/>
    <w:rsid w:val="5F7F3FD4"/>
    <w:rsid w:val="5F7FA0F3"/>
    <w:rsid w:val="5F942FAB"/>
    <w:rsid w:val="5FA694C4"/>
    <w:rsid w:val="5FAF1802"/>
    <w:rsid w:val="5FBA3DFB"/>
    <w:rsid w:val="5FC55B17"/>
    <w:rsid w:val="5FC70AFF"/>
    <w:rsid w:val="5FD7374E"/>
    <w:rsid w:val="5FDB7C92"/>
    <w:rsid w:val="5FE2438A"/>
    <w:rsid w:val="5FE5531C"/>
    <w:rsid w:val="5FEA0B84"/>
    <w:rsid w:val="5FF46551"/>
    <w:rsid w:val="5FFB1EFE"/>
    <w:rsid w:val="5FFB9F0E"/>
    <w:rsid w:val="5FFD1369"/>
    <w:rsid w:val="5FFE09B9"/>
    <w:rsid w:val="5FFE8E17"/>
    <w:rsid w:val="5FFF6DCE"/>
    <w:rsid w:val="5FFF9490"/>
    <w:rsid w:val="5FFFD94D"/>
    <w:rsid w:val="60172FFB"/>
    <w:rsid w:val="60372506"/>
    <w:rsid w:val="603B77B5"/>
    <w:rsid w:val="60457B68"/>
    <w:rsid w:val="604638E0"/>
    <w:rsid w:val="61446072"/>
    <w:rsid w:val="61493688"/>
    <w:rsid w:val="615D0EE2"/>
    <w:rsid w:val="6175085B"/>
    <w:rsid w:val="618E3791"/>
    <w:rsid w:val="61934540"/>
    <w:rsid w:val="61DA6D91"/>
    <w:rsid w:val="62155E7B"/>
    <w:rsid w:val="62293945"/>
    <w:rsid w:val="62372999"/>
    <w:rsid w:val="62614A02"/>
    <w:rsid w:val="628F77C1"/>
    <w:rsid w:val="62A768B8"/>
    <w:rsid w:val="62AF0244"/>
    <w:rsid w:val="631D6B7A"/>
    <w:rsid w:val="63473BF7"/>
    <w:rsid w:val="638504D1"/>
    <w:rsid w:val="63EEE080"/>
    <w:rsid w:val="64436AB5"/>
    <w:rsid w:val="647CC9B4"/>
    <w:rsid w:val="64833257"/>
    <w:rsid w:val="64AC6498"/>
    <w:rsid w:val="64B8256B"/>
    <w:rsid w:val="64D4595F"/>
    <w:rsid w:val="64ECBA07"/>
    <w:rsid w:val="651D7306"/>
    <w:rsid w:val="65493C57"/>
    <w:rsid w:val="655A635E"/>
    <w:rsid w:val="65667DD7"/>
    <w:rsid w:val="6578453C"/>
    <w:rsid w:val="65960E66"/>
    <w:rsid w:val="65D3619D"/>
    <w:rsid w:val="65D92C42"/>
    <w:rsid w:val="65E9D462"/>
    <w:rsid w:val="65F339EE"/>
    <w:rsid w:val="663F32AC"/>
    <w:rsid w:val="665A10E7"/>
    <w:rsid w:val="66A3383B"/>
    <w:rsid w:val="66BF6DA9"/>
    <w:rsid w:val="66DFA25C"/>
    <w:rsid w:val="66E78867"/>
    <w:rsid w:val="66EFCEF3"/>
    <w:rsid w:val="66F336CF"/>
    <w:rsid w:val="66F6F6B3"/>
    <w:rsid w:val="673D5A3D"/>
    <w:rsid w:val="674B7848"/>
    <w:rsid w:val="675B08E7"/>
    <w:rsid w:val="676034DA"/>
    <w:rsid w:val="6762733E"/>
    <w:rsid w:val="67678325"/>
    <w:rsid w:val="677FCEC7"/>
    <w:rsid w:val="67BDAF8A"/>
    <w:rsid w:val="67C47F0C"/>
    <w:rsid w:val="67C56F1B"/>
    <w:rsid w:val="67CA32F0"/>
    <w:rsid w:val="67E6E270"/>
    <w:rsid w:val="67FBE63C"/>
    <w:rsid w:val="67FE3561"/>
    <w:rsid w:val="682B3AE8"/>
    <w:rsid w:val="687A681D"/>
    <w:rsid w:val="68E343C2"/>
    <w:rsid w:val="68ED3EF8"/>
    <w:rsid w:val="68FE2FAA"/>
    <w:rsid w:val="69584DB0"/>
    <w:rsid w:val="695B4A6F"/>
    <w:rsid w:val="697D65C5"/>
    <w:rsid w:val="69961435"/>
    <w:rsid w:val="69BAD113"/>
    <w:rsid w:val="69E44A75"/>
    <w:rsid w:val="69E5416A"/>
    <w:rsid w:val="69FFC7F7"/>
    <w:rsid w:val="6A107439"/>
    <w:rsid w:val="6A6B28C1"/>
    <w:rsid w:val="6A6E7A5F"/>
    <w:rsid w:val="6A6F1098"/>
    <w:rsid w:val="6AE14931"/>
    <w:rsid w:val="6AF3DC8E"/>
    <w:rsid w:val="6AFA050D"/>
    <w:rsid w:val="6B3F87CC"/>
    <w:rsid w:val="6B5FF842"/>
    <w:rsid w:val="6B6F1C8D"/>
    <w:rsid w:val="6B7B32EC"/>
    <w:rsid w:val="6B957985"/>
    <w:rsid w:val="6B9A199C"/>
    <w:rsid w:val="6BA41BFF"/>
    <w:rsid w:val="6BB701B3"/>
    <w:rsid w:val="6BDD6301"/>
    <w:rsid w:val="6BEFFD92"/>
    <w:rsid w:val="6C53185F"/>
    <w:rsid w:val="6C8F4986"/>
    <w:rsid w:val="6CA04621"/>
    <w:rsid w:val="6CC67A66"/>
    <w:rsid w:val="6CCF69DD"/>
    <w:rsid w:val="6CD57309"/>
    <w:rsid w:val="6CF0202E"/>
    <w:rsid w:val="6D1014FE"/>
    <w:rsid w:val="6D1A1C24"/>
    <w:rsid w:val="6D2D20B0"/>
    <w:rsid w:val="6D3F4F03"/>
    <w:rsid w:val="6D4231A8"/>
    <w:rsid w:val="6D514074"/>
    <w:rsid w:val="6D77C5BF"/>
    <w:rsid w:val="6D7D2D8A"/>
    <w:rsid w:val="6D817A7E"/>
    <w:rsid w:val="6D88339E"/>
    <w:rsid w:val="6D9C504D"/>
    <w:rsid w:val="6D9C754C"/>
    <w:rsid w:val="6DC7245C"/>
    <w:rsid w:val="6DCBFDC7"/>
    <w:rsid w:val="6DEE53BA"/>
    <w:rsid w:val="6DEE8FF0"/>
    <w:rsid w:val="6DF40E20"/>
    <w:rsid w:val="6DFF3CF1"/>
    <w:rsid w:val="6DFF6815"/>
    <w:rsid w:val="6E1241EE"/>
    <w:rsid w:val="6E3C4068"/>
    <w:rsid w:val="6E4F6056"/>
    <w:rsid w:val="6E7D7067"/>
    <w:rsid w:val="6EB8EC6C"/>
    <w:rsid w:val="6EBFBD06"/>
    <w:rsid w:val="6EEBB00C"/>
    <w:rsid w:val="6EEF3FB4"/>
    <w:rsid w:val="6EF47329"/>
    <w:rsid w:val="6EF99EEC"/>
    <w:rsid w:val="6EFE19F4"/>
    <w:rsid w:val="6EFF9A81"/>
    <w:rsid w:val="6EFF9C98"/>
    <w:rsid w:val="6F4ED10F"/>
    <w:rsid w:val="6F5B5F44"/>
    <w:rsid w:val="6F661274"/>
    <w:rsid w:val="6F75DDA9"/>
    <w:rsid w:val="6F775864"/>
    <w:rsid w:val="6F7DFA4C"/>
    <w:rsid w:val="6F7EF9B3"/>
    <w:rsid w:val="6F7FD295"/>
    <w:rsid w:val="6F9948CD"/>
    <w:rsid w:val="6F9F4D31"/>
    <w:rsid w:val="6FA9796E"/>
    <w:rsid w:val="6FB7E4EA"/>
    <w:rsid w:val="6FBDAD05"/>
    <w:rsid w:val="6FC52B07"/>
    <w:rsid w:val="6FD72525"/>
    <w:rsid w:val="6FDA52D6"/>
    <w:rsid w:val="6FDB664F"/>
    <w:rsid w:val="6FE6E6FE"/>
    <w:rsid w:val="6FE80510"/>
    <w:rsid w:val="6FF45107"/>
    <w:rsid w:val="6FF7284B"/>
    <w:rsid w:val="6FF957B2"/>
    <w:rsid w:val="6FFB0A6C"/>
    <w:rsid w:val="6FFCE907"/>
    <w:rsid w:val="6FFD47D8"/>
    <w:rsid w:val="6FFE1F5B"/>
    <w:rsid w:val="6FFF0327"/>
    <w:rsid w:val="6FFF2FE0"/>
    <w:rsid w:val="70130A5F"/>
    <w:rsid w:val="701835D1"/>
    <w:rsid w:val="70271038"/>
    <w:rsid w:val="705A140E"/>
    <w:rsid w:val="705E5838"/>
    <w:rsid w:val="709F5073"/>
    <w:rsid w:val="70C56334"/>
    <w:rsid w:val="70CE3BAA"/>
    <w:rsid w:val="70E21403"/>
    <w:rsid w:val="70F01D72"/>
    <w:rsid w:val="70F22B6B"/>
    <w:rsid w:val="71384D7B"/>
    <w:rsid w:val="713A4D9B"/>
    <w:rsid w:val="713F3707"/>
    <w:rsid w:val="714156B8"/>
    <w:rsid w:val="715D89BC"/>
    <w:rsid w:val="71707127"/>
    <w:rsid w:val="71D92AF9"/>
    <w:rsid w:val="71E05943"/>
    <w:rsid w:val="71FA1A60"/>
    <w:rsid w:val="724B0ECA"/>
    <w:rsid w:val="72826018"/>
    <w:rsid w:val="729478A3"/>
    <w:rsid w:val="72BF37AA"/>
    <w:rsid w:val="72D2325E"/>
    <w:rsid w:val="72D37256"/>
    <w:rsid w:val="72EE806E"/>
    <w:rsid w:val="73072668"/>
    <w:rsid w:val="7337E138"/>
    <w:rsid w:val="73457F21"/>
    <w:rsid w:val="735EEB71"/>
    <w:rsid w:val="73813156"/>
    <w:rsid w:val="739C1D3D"/>
    <w:rsid w:val="73A11102"/>
    <w:rsid w:val="73AEE043"/>
    <w:rsid w:val="73C57236"/>
    <w:rsid w:val="73CF4944"/>
    <w:rsid w:val="73E44676"/>
    <w:rsid w:val="73EF3ED2"/>
    <w:rsid w:val="742D6CD7"/>
    <w:rsid w:val="74660111"/>
    <w:rsid w:val="74795BDB"/>
    <w:rsid w:val="7487E731"/>
    <w:rsid w:val="74964543"/>
    <w:rsid w:val="749A44CF"/>
    <w:rsid w:val="74B44E65"/>
    <w:rsid w:val="74FDE12E"/>
    <w:rsid w:val="750758DC"/>
    <w:rsid w:val="751111F2"/>
    <w:rsid w:val="752E2E69"/>
    <w:rsid w:val="754AAEFA"/>
    <w:rsid w:val="756B19C7"/>
    <w:rsid w:val="75797C0B"/>
    <w:rsid w:val="75AE0795"/>
    <w:rsid w:val="75AE7CEF"/>
    <w:rsid w:val="75BA645C"/>
    <w:rsid w:val="75BFF3DC"/>
    <w:rsid w:val="75D76114"/>
    <w:rsid w:val="75DE03EB"/>
    <w:rsid w:val="75DFF729"/>
    <w:rsid w:val="75EC66B6"/>
    <w:rsid w:val="75EC9AA9"/>
    <w:rsid w:val="75EFB60F"/>
    <w:rsid w:val="75FC99B9"/>
    <w:rsid w:val="75FF7662"/>
    <w:rsid w:val="75FFA3E0"/>
    <w:rsid w:val="760D1285"/>
    <w:rsid w:val="7618C8DE"/>
    <w:rsid w:val="76524935"/>
    <w:rsid w:val="76713B41"/>
    <w:rsid w:val="767FC522"/>
    <w:rsid w:val="76961ABF"/>
    <w:rsid w:val="769DBC11"/>
    <w:rsid w:val="76BE98B7"/>
    <w:rsid w:val="76CC01DA"/>
    <w:rsid w:val="76D72CFC"/>
    <w:rsid w:val="76DC4055"/>
    <w:rsid w:val="76DF01CD"/>
    <w:rsid w:val="76EF12E2"/>
    <w:rsid w:val="771B11CB"/>
    <w:rsid w:val="776963DA"/>
    <w:rsid w:val="777204D2"/>
    <w:rsid w:val="777755C9"/>
    <w:rsid w:val="779270E1"/>
    <w:rsid w:val="77B70883"/>
    <w:rsid w:val="77BE9E95"/>
    <w:rsid w:val="77BFA8BA"/>
    <w:rsid w:val="77CB5BB3"/>
    <w:rsid w:val="77D5B118"/>
    <w:rsid w:val="77D9162F"/>
    <w:rsid w:val="77D9167E"/>
    <w:rsid w:val="77DDB234"/>
    <w:rsid w:val="77DDB7C7"/>
    <w:rsid w:val="77ECD694"/>
    <w:rsid w:val="77FD3DB6"/>
    <w:rsid w:val="77FDB9BA"/>
    <w:rsid w:val="77FE96C3"/>
    <w:rsid w:val="77FF00EC"/>
    <w:rsid w:val="77FF9831"/>
    <w:rsid w:val="78181997"/>
    <w:rsid w:val="782F4F2E"/>
    <w:rsid w:val="7855070D"/>
    <w:rsid w:val="78870188"/>
    <w:rsid w:val="78A771BA"/>
    <w:rsid w:val="78CB3108"/>
    <w:rsid w:val="78CD5F89"/>
    <w:rsid w:val="78D36201"/>
    <w:rsid w:val="78D9DB0F"/>
    <w:rsid w:val="78D9DD2D"/>
    <w:rsid w:val="78F910A8"/>
    <w:rsid w:val="790E548B"/>
    <w:rsid w:val="790E7239"/>
    <w:rsid w:val="791D1CE3"/>
    <w:rsid w:val="795541ED"/>
    <w:rsid w:val="795814CE"/>
    <w:rsid w:val="79A78E8D"/>
    <w:rsid w:val="79BADB5B"/>
    <w:rsid w:val="79BD2A0E"/>
    <w:rsid w:val="79BF0DCF"/>
    <w:rsid w:val="79C72656"/>
    <w:rsid w:val="79EF322C"/>
    <w:rsid w:val="79EFBDF1"/>
    <w:rsid w:val="79EFF1E7"/>
    <w:rsid w:val="79FE12D7"/>
    <w:rsid w:val="79FF27DF"/>
    <w:rsid w:val="7A13262E"/>
    <w:rsid w:val="7A263110"/>
    <w:rsid w:val="7A3E00D1"/>
    <w:rsid w:val="7A4D543F"/>
    <w:rsid w:val="7A4F1BE2"/>
    <w:rsid w:val="7AA7DDB2"/>
    <w:rsid w:val="7AAD3585"/>
    <w:rsid w:val="7AB67B89"/>
    <w:rsid w:val="7ABB3300"/>
    <w:rsid w:val="7ADAC4C1"/>
    <w:rsid w:val="7AE446F6"/>
    <w:rsid w:val="7AE75F94"/>
    <w:rsid w:val="7AFA6C72"/>
    <w:rsid w:val="7AFEC050"/>
    <w:rsid w:val="7B3B1699"/>
    <w:rsid w:val="7B440643"/>
    <w:rsid w:val="7B6BEC4B"/>
    <w:rsid w:val="7B75D5D9"/>
    <w:rsid w:val="7B77B89D"/>
    <w:rsid w:val="7B7FFBDC"/>
    <w:rsid w:val="7BA7EC7E"/>
    <w:rsid w:val="7BAE0860"/>
    <w:rsid w:val="7BBF75B5"/>
    <w:rsid w:val="7BC55F08"/>
    <w:rsid w:val="7BCC6F38"/>
    <w:rsid w:val="7BD5B0F3"/>
    <w:rsid w:val="7BE7CDA6"/>
    <w:rsid w:val="7BE974A7"/>
    <w:rsid w:val="7BF21DB1"/>
    <w:rsid w:val="7BF70CDF"/>
    <w:rsid w:val="7BF9458F"/>
    <w:rsid w:val="7BF9EEBB"/>
    <w:rsid w:val="7BFCD6E5"/>
    <w:rsid w:val="7BFD4D46"/>
    <w:rsid w:val="7BFF0322"/>
    <w:rsid w:val="7BFF4863"/>
    <w:rsid w:val="7BFF94A9"/>
    <w:rsid w:val="7BFFA704"/>
    <w:rsid w:val="7C1F744E"/>
    <w:rsid w:val="7C4A67DB"/>
    <w:rsid w:val="7C7FCD54"/>
    <w:rsid w:val="7C83836C"/>
    <w:rsid w:val="7CAB41BD"/>
    <w:rsid w:val="7CB9570E"/>
    <w:rsid w:val="7CBED9B5"/>
    <w:rsid w:val="7CE34539"/>
    <w:rsid w:val="7CE705FD"/>
    <w:rsid w:val="7CE97215"/>
    <w:rsid w:val="7CEE4217"/>
    <w:rsid w:val="7CEF4D9E"/>
    <w:rsid w:val="7CF74B28"/>
    <w:rsid w:val="7CFD0A82"/>
    <w:rsid w:val="7CFFC991"/>
    <w:rsid w:val="7D133070"/>
    <w:rsid w:val="7D4F69C8"/>
    <w:rsid w:val="7D5A5257"/>
    <w:rsid w:val="7D7B95DF"/>
    <w:rsid w:val="7D7DA268"/>
    <w:rsid w:val="7D7FEA5E"/>
    <w:rsid w:val="7D807FDA"/>
    <w:rsid w:val="7D976E5C"/>
    <w:rsid w:val="7DA0242A"/>
    <w:rsid w:val="7DAEC1CD"/>
    <w:rsid w:val="7DBB18B2"/>
    <w:rsid w:val="7DBF90CE"/>
    <w:rsid w:val="7DC36EAF"/>
    <w:rsid w:val="7DCEFE5A"/>
    <w:rsid w:val="7DD67643"/>
    <w:rsid w:val="7DD70FEE"/>
    <w:rsid w:val="7DDF5F19"/>
    <w:rsid w:val="7DDF9E19"/>
    <w:rsid w:val="7DEDF6E8"/>
    <w:rsid w:val="7DF7CD98"/>
    <w:rsid w:val="7DFA6FF9"/>
    <w:rsid w:val="7DFC31B7"/>
    <w:rsid w:val="7DFD147A"/>
    <w:rsid w:val="7DFEE555"/>
    <w:rsid w:val="7DFF72A1"/>
    <w:rsid w:val="7E1F1009"/>
    <w:rsid w:val="7E38E83D"/>
    <w:rsid w:val="7E5CD7A8"/>
    <w:rsid w:val="7E5DF138"/>
    <w:rsid w:val="7E5F7CA5"/>
    <w:rsid w:val="7E674C95"/>
    <w:rsid w:val="7E68119A"/>
    <w:rsid w:val="7E6FDACF"/>
    <w:rsid w:val="7E741656"/>
    <w:rsid w:val="7E76F1AC"/>
    <w:rsid w:val="7E8A304E"/>
    <w:rsid w:val="7E9FA6A8"/>
    <w:rsid w:val="7EA83C8C"/>
    <w:rsid w:val="7EAB552B"/>
    <w:rsid w:val="7EAD1917"/>
    <w:rsid w:val="7EB7E2E9"/>
    <w:rsid w:val="7EBB949A"/>
    <w:rsid w:val="7EBF8D68"/>
    <w:rsid w:val="7ED408D1"/>
    <w:rsid w:val="7ED5094E"/>
    <w:rsid w:val="7EDA04CB"/>
    <w:rsid w:val="7EDEFB0D"/>
    <w:rsid w:val="7EEA7E01"/>
    <w:rsid w:val="7EEEF81B"/>
    <w:rsid w:val="7EF7BAF2"/>
    <w:rsid w:val="7EFA45D8"/>
    <w:rsid w:val="7EFC5D86"/>
    <w:rsid w:val="7EFD6CEA"/>
    <w:rsid w:val="7EFE4215"/>
    <w:rsid w:val="7EFF1101"/>
    <w:rsid w:val="7EFF276E"/>
    <w:rsid w:val="7EFF4DB1"/>
    <w:rsid w:val="7EFF8F89"/>
    <w:rsid w:val="7EFFBD5E"/>
    <w:rsid w:val="7F1D649E"/>
    <w:rsid w:val="7F1D8C01"/>
    <w:rsid w:val="7F1D93A4"/>
    <w:rsid w:val="7F25708B"/>
    <w:rsid w:val="7F33D46B"/>
    <w:rsid w:val="7F370046"/>
    <w:rsid w:val="7F499F52"/>
    <w:rsid w:val="7F4E6105"/>
    <w:rsid w:val="7F5E1409"/>
    <w:rsid w:val="7F5F7CD1"/>
    <w:rsid w:val="7F665B56"/>
    <w:rsid w:val="7F741BFF"/>
    <w:rsid w:val="7F753672"/>
    <w:rsid w:val="7F7A6B69"/>
    <w:rsid w:val="7F7C310D"/>
    <w:rsid w:val="7F7C3E18"/>
    <w:rsid w:val="7F7D0244"/>
    <w:rsid w:val="7F7DE97D"/>
    <w:rsid w:val="7F7F31A5"/>
    <w:rsid w:val="7F7FEAA3"/>
    <w:rsid w:val="7F87621E"/>
    <w:rsid w:val="7F8BBC85"/>
    <w:rsid w:val="7F9B22FA"/>
    <w:rsid w:val="7F9DCB70"/>
    <w:rsid w:val="7F9F173E"/>
    <w:rsid w:val="7F9F529B"/>
    <w:rsid w:val="7FA476E1"/>
    <w:rsid w:val="7FA59AC5"/>
    <w:rsid w:val="7FB03F85"/>
    <w:rsid w:val="7FB48CBC"/>
    <w:rsid w:val="7FB69F21"/>
    <w:rsid w:val="7FB99793"/>
    <w:rsid w:val="7FBB4B55"/>
    <w:rsid w:val="7FBCC9A8"/>
    <w:rsid w:val="7FBD2445"/>
    <w:rsid w:val="7FBEC33B"/>
    <w:rsid w:val="7FBF1639"/>
    <w:rsid w:val="7FBF24D0"/>
    <w:rsid w:val="7FBF2D44"/>
    <w:rsid w:val="7FBF66F7"/>
    <w:rsid w:val="7FBF8DA9"/>
    <w:rsid w:val="7FC05006"/>
    <w:rsid w:val="7FC84160"/>
    <w:rsid w:val="7FCC0B27"/>
    <w:rsid w:val="7FD1CF75"/>
    <w:rsid w:val="7FD7E491"/>
    <w:rsid w:val="7FDB715D"/>
    <w:rsid w:val="7FDD7C31"/>
    <w:rsid w:val="7FDF1DC7"/>
    <w:rsid w:val="7FDFBA0D"/>
    <w:rsid w:val="7FDFCED2"/>
    <w:rsid w:val="7FDFEB91"/>
    <w:rsid w:val="7FE597C0"/>
    <w:rsid w:val="7FECD43C"/>
    <w:rsid w:val="7FEE550F"/>
    <w:rsid w:val="7FEF095A"/>
    <w:rsid w:val="7FEF32FC"/>
    <w:rsid w:val="7FF5B4EB"/>
    <w:rsid w:val="7FF6F922"/>
    <w:rsid w:val="7FFBF4F3"/>
    <w:rsid w:val="7FFE1436"/>
    <w:rsid w:val="7FFE1AD6"/>
    <w:rsid w:val="7FFE5161"/>
    <w:rsid w:val="7FFE6F00"/>
    <w:rsid w:val="7FFF0E6B"/>
    <w:rsid w:val="7FFF3B49"/>
    <w:rsid w:val="7FFF7A81"/>
    <w:rsid w:val="7FFF8F2C"/>
    <w:rsid w:val="857987D1"/>
    <w:rsid w:val="85AB5DFC"/>
    <w:rsid w:val="8B8BF46A"/>
    <w:rsid w:val="8BDFA092"/>
    <w:rsid w:val="8D3DB4E1"/>
    <w:rsid w:val="8DDFC741"/>
    <w:rsid w:val="8EE7EA62"/>
    <w:rsid w:val="8FC62E1E"/>
    <w:rsid w:val="917C4045"/>
    <w:rsid w:val="94B3C6B8"/>
    <w:rsid w:val="95D8EA5F"/>
    <w:rsid w:val="973A891C"/>
    <w:rsid w:val="97FCC61E"/>
    <w:rsid w:val="987DE569"/>
    <w:rsid w:val="99F3EA2C"/>
    <w:rsid w:val="9B3D8AB4"/>
    <w:rsid w:val="9B5F4B72"/>
    <w:rsid w:val="9BF54BFF"/>
    <w:rsid w:val="9DF1164D"/>
    <w:rsid w:val="9DFE704F"/>
    <w:rsid w:val="9E47E960"/>
    <w:rsid w:val="9EBECA30"/>
    <w:rsid w:val="9ED77037"/>
    <w:rsid w:val="9EE98282"/>
    <w:rsid w:val="9EEDE6FC"/>
    <w:rsid w:val="9F79DD3A"/>
    <w:rsid w:val="9F7F9F50"/>
    <w:rsid w:val="9FF12100"/>
    <w:rsid w:val="9FFBED4A"/>
    <w:rsid w:val="A3D072AE"/>
    <w:rsid w:val="A3E60BBA"/>
    <w:rsid w:val="A3F482C9"/>
    <w:rsid w:val="A3FF7002"/>
    <w:rsid w:val="A65E7203"/>
    <w:rsid w:val="A67E71FC"/>
    <w:rsid w:val="A6EE4F9B"/>
    <w:rsid w:val="A6FF2BE3"/>
    <w:rsid w:val="A78BD97E"/>
    <w:rsid w:val="AA6F8EA9"/>
    <w:rsid w:val="AAF453F5"/>
    <w:rsid w:val="ABFF27DA"/>
    <w:rsid w:val="AD751FF8"/>
    <w:rsid w:val="AEEF4CBE"/>
    <w:rsid w:val="AF7B3AB3"/>
    <w:rsid w:val="AF87386F"/>
    <w:rsid w:val="AF9BF3BF"/>
    <w:rsid w:val="AF9DB75B"/>
    <w:rsid w:val="AF9F0B39"/>
    <w:rsid w:val="AFFB20BD"/>
    <w:rsid w:val="AFFE8517"/>
    <w:rsid w:val="AFFF66CA"/>
    <w:rsid w:val="AFFF883F"/>
    <w:rsid w:val="AFFFE6DB"/>
    <w:rsid w:val="B1BFE493"/>
    <w:rsid w:val="B1FB434A"/>
    <w:rsid w:val="B4369F75"/>
    <w:rsid w:val="B53E6DD7"/>
    <w:rsid w:val="B56704ED"/>
    <w:rsid w:val="B5DF417B"/>
    <w:rsid w:val="B5F30868"/>
    <w:rsid w:val="B5F66079"/>
    <w:rsid w:val="B687365C"/>
    <w:rsid w:val="B6ACEF27"/>
    <w:rsid w:val="B6F44BE4"/>
    <w:rsid w:val="B75F374F"/>
    <w:rsid w:val="B777C81B"/>
    <w:rsid w:val="B7BFAF9E"/>
    <w:rsid w:val="B7ED8DB4"/>
    <w:rsid w:val="B7EDFEE9"/>
    <w:rsid w:val="B7F1665E"/>
    <w:rsid w:val="B7F7025B"/>
    <w:rsid w:val="B8ED9877"/>
    <w:rsid w:val="B9996CAA"/>
    <w:rsid w:val="B9F788F7"/>
    <w:rsid w:val="B9FF1699"/>
    <w:rsid w:val="BABF6F68"/>
    <w:rsid w:val="BADC9C78"/>
    <w:rsid w:val="BADF4E2B"/>
    <w:rsid w:val="BAEFAE7E"/>
    <w:rsid w:val="BAF710C2"/>
    <w:rsid w:val="BB3E8837"/>
    <w:rsid w:val="BB5EAC76"/>
    <w:rsid w:val="BBD79D2B"/>
    <w:rsid w:val="BBDDCDB1"/>
    <w:rsid w:val="BBF5466B"/>
    <w:rsid w:val="BBFBAA44"/>
    <w:rsid w:val="BCDEE425"/>
    <w:rsid w:val="BD1AE685"/>
    <w:rsid w:val="BD27D325"/>
    <w:rsid w:val="BD6F9BFE"/>
    <w:rsid w:val="BD7BE880"/>
    <w:rsid w:val="BDA98C9E"/>
    <w:rsid w:val="BDB7891E"/>
    <w:rsid w:val="BDE702BC"/>
    <w:rsid w:val="BDF54793"/>
    <w:rsid w:val="BDFAD6CC"/>
    <w:rsid w:val="BE8F97B6"/>
    <w:rsid w:val="BEBE59C8"/>
    <w:rsid w:val="BED72453"/>
    <w:rsid w:val="BEFE11D7"/>
    <w:rsid w:val="BEFF2446"/>
    <w:rsid w:val="BF2FAED1"/>
    <w:rsid w:val="BF5A9051"/>
    <w:rsid w:val="BF5B3100"/>
    <w:rsid w:val="BF6F5D3B"/>
    <w:rsid w:val="BF7ED3B9"/>
    <w:rsid w:val="BF7F0B30"/>
    <w:rsid w:val="BF7F0F57"/>
    <w:rsid w:val="BF7F3F0E"/>
    <w:rsid w:val="BFBE8B52"/>
    <w:rsid w:val="BFC75C17"/>
    <w:rsid w:val="BFD515BA"/>
    <w:rsid w:val="BFDAFE81"/>
    <w:rsid w:val="BFE903B6"/>
    <w:rsid w:val="BFEB5591"/>
    <w:rsid w:val="BFF5CF8C"/>
    <w:rsid w:val="BFF728E7"/>
    <w:rsid w:val="BFF965AE"/>
    <w:rsid w:val="BFFEE1D7"/>
    <w:rsid w:val="BFFF3568"/>
    <w:rsid w:val="C1FC0E58"/>
    <w:rsid w:val="C37F6F74"/>
    <w:rsid w:val="C3FE9796"/>
    <w:rsid w:val="C5BBB196"/>
    <w:rsid w:val="C6DDA747"/>
    <w:rsid w:val="C736BE2C"/>
    <w:rsid w:val="C7698026"/>
    <w:rsid w:val="C7993751"/>
    <w:rsid w:val="C7DEB296"/>
    <w:rsid w:val="C7EB32B6"/>
    <w:rsid w:val="C7F7F813"/>
    <w:rsid w:val="C7FC54D2"/>
    <w:rsid w:val="C9F795BE"/>
    <w:rsid w:val="CAE9DF01"/>
    <w:rsid w:val="CB9E2DD0"/>
    <w:rsid w:val="CBAB6322"/>
    <w:rsid w:val="CBC2040B"/>
    <w:rsid w:val="CD4F101C"/>
    <w:rsid w:val="CDBE8CE4"/>
    <w:rsid w:val="CDED03AB"/>
    <w:rsid w:val="CEED8F02"/>
    <w:rsid w:val="CEFA9217"/>
    <w:rsid w:val="CF3DC3A4"/>
    <w:rsid w:val="CFCD9B30"/>
    <w:rsid w:val="CFFFAA50"/>
    <w:rsid w:val="D0DF3CC7"/>
    <w:rsid w:val="D10D4427"/>
    <w:rsid w:val="D14594F9"/>
    <w:rsid w:val="D37DFF00"/>
    <w:rsid w:val="D37E3C57"/>
    <w:rsid w:val="D39FE2BD"/>
    <w:rsid w:val="D53DD4A1"/>
    <w:rsid w:val="D53E94B6"/>
    <w:rsid w:val="D57F45F2"/>
    <w:rsid w:val="D5BF8457"/>
    <w:rsid w:val="D617BCB4"/>
    <w:rsid w:val="D6B5BB47"/>
    <w:rsid w:val="D72BDA60"/>
    <w:rsid w:val="D73E9632"/>
    <w:rsid w:val="D77584A8"/>
    <w:rsid w:val="D77D7E76"/>
    <w:rsid w:val="D7B1E0BC"/>
    <w:rsid w:val="D7BB24A1"/>
    <w:rsid w:val="D7FB2A74"/>
    <w:rsid w:val="D8E58685"/>
    <w:rsid w:val="D8F72A72"/>
    <w:rsid w:val="D9EF2048"/>
    <w:rsid w:val="DA72D862"/>
    <w:rsid w:val="DAF7F3AD"/>
    <w:rsid w:val="DB96C383"/>
    <w:rsid w:val="DB9DA467"/>
    <w:rsid w:val="DBA7CF79"/>
    <w:rsid w:val="DBA9792B"/>
    <w:rsid w:val="DBB0600D"/>
    <w:rsid w:val="DBBFF025"/>
    <w:rsid w:val="DBE9CAC6"/>
    <w:rsid w:val="DBFF0AB3"/>
    <w:rsid w:val="DCDF4AAC"/>
    <w:rsid w:val="DD1F8FE3"/>
    <w:rsid w:val="DDBCE58D"/>
    <w:rsid w:val="DDE8A27B"/>
    <w:rsid w:val="DDFA1E5E"/>
    <w:rsid w:val="DDFB9DA5"/>
    <w:rsid w:val="DDFD7B2A"/>
    <w:rsid w:val="DE5F2375"/>
    <w:rsid w:val="DE7DEB27"/>
    <w:rsid w:val="DEB3E847"/>
    <w:rsid w:val="DEBA15AD"/>
    <w:rsid w:val="DEBD9267"/>
    <w:rsid w:val="DEBDCEDF"/>
    <w:rsid w:val="DEDF25A3"/>
    <w:rsid w:val="DEF38269"/>
    <w:rsid w:val="DEFA72C0"/>
    <w:rsid w:val="DEFCC0BB"/>
    <w:rsid w:val="DEFCF26A"/>
    <w:rsid w:val="DEFF5767"/>
    <w:rsid w:val="DF3B071C"/>
    <w:rsid w:val="DF3E875D"/>
    <w:rsid w:val="DF3FA0C3"/>
    <w:rsid w:val="DF76DE3F"/>
    <w:rsid w:val="DF7B4C00"/>
    <w:rsid w:val="DF7D316A"/>
    <w:rsid w:val="DF7DDFEA"/>
    <w:rsid w:val="DF7E572D"/>
    <w:rsid w:val="DF97E129"/>
    <w:rsid w:val="DF9D9F10"/>
    <w:rsid w:val="DF9FEDB6"/>
    <w:rsid w:val="DFAF8C7A"/>
    <w:rsid w:val="DFB5D7CD"/>
    <w:rsid w:val="DFD51BD6"/>
    <w:rsid w:val="DFEA699B"/>
    <w:rsid w:val="DFEF884A"/>
    <w:rsid w:val="DFEF94F5"/>
    <w:rsid w:val="DFF6FB85"/>
    <w:rsid w:val="DFF75AAA"/>
    <w:rsid w:val="DFF944BE"/>
    <w:rsid w:val="DFF9B388"/>
    <w:rsid w:val="DFFB50D9"/>
    <w:rsid w:val="DFFB81E0"/>
    <w:rsid w:val="DFFBF2AE"/>
    <w:rsid w:val="DFFE563F"/>
    <w:rsid w:val="DFFFCD23"/>
    <w:rsid w:val="DFFFDBBD"/>
    <w:rsid w:val="DFFFFEE1"/>
    <w:rsid w:val="E1FF23EC"/>
    <w:rsid w:val="E33E5B73"/>
    <w:rsid w:val="E3A75B0F"/>
    <w:rsid w:val="E3D77675"/>
    <w:rsid w:val="E5CFBA06"/>
    <w:rsid w:val="E67DA264"/>
    <w:rsid w:val="E67E277D"/>
    <w:rsid w:val="E67F37B8"/>
    <w:rsid w:val="E6DEF89F"/>
    <w:rsid w:val="E6FAB0AD"/>
    <w:rsid w:val="E6FDABF8"/>
    <w:rsid w:val="E7DDCCF3"/>
    <w:rsid w:val="E7ECFF4B"/>
    <w:rsid w:val="E7F50D03"/>
    <w:rsid w:val="E7FC895A"/>
    <w:rsid w:val="E8BF9610"/>
    <w:rsid w:val="E96B16EB"/>
    <w:rsid w:val="E9B4AF1C"/>
    <w:rsid w:val="E9DDCF4C"/>
    <w:rsid w:val="E9EEADD5"/>
    <w:rsid w:val="E9EF9A90"/>
    <w:rsid w:val="E9FF4F90"/>
    <w:rsid w:val="EA2DBF8A"/>
    <w:rsid w:val="EA77D993"/>
    <w:rsid w:val="EB2F19E5"/>
    <w:rsid w:val="EBE76AE9"/>
    <w:rsid w:val="EBF1E475"/>
    <w:rsid w:val="EBF78FEE"/>
    <w:rsid w:val="EBFF1507"/>
    <w:rsid w:val="ECAFF8D1"/>
    <w:rsid w:val="ECDEE47C"/>
    <w:rsid w:val="ECE3C7D2"/>
    <w:rsid w:val="ECFF067C"/>
    <w:rsid w:val="ED01A041"/>
    <w:rsid w:val="ED5D16FD"/>
    <w:rsid w:val="ED77C2C5"/>
    <w:rsid w:val="ED7F2C41"/>
    <w:rsid w:val="EDBDAA78"/>
    <w:rsid w:val="EDDC0B5D"/>
    <w:rsid w:val="EDDFE485"/>
    <w:rsid w:val="EDE93E33"/>
    <w:rsid w:val="EDEE3673"/>
    <w:rsid w:val="EDEF7679"/>
    <w:rsid w:val="EDF3BCD9"/>
    <w:rsid w:val="EDF70CC9"/>
    <w:rsid w:val="EDFB1A59"/>
    <w:rsid w:val="EE3CBE64"/>
    <w:rsid w:val="EE7D4922"/>
    <w:rsid w:val="EE7DC637"/>
    <w:rsid w:val="EE7DF157"/>
    <w:rsid w:val="EEDE6480"/>
    <w:rsid w:val="EEFB3204"/>
    <w:rsid w:val="EEFF3122"/>
    <w:rsid w:val="EEFF42AB"/>
    <w:rsid w:val="EF3DCB67"/>
    <w:rsid w:val="EF483ABF"/>
    <w:rsid w:val="EF6F7731"/>
    <w:rsid w:val="EF956869"/>
    <w:rsid w:val="EF9F92D8"/>
    <w:rsid w:val="EF9FE052"/>
    <w:rsid w:val="EFAF01C4"/>
    <w:rsid w:val="EFBF92C0"/>
    <w:rsid w:val="EFD3AA27"/>
    <w:rsid w:val="EFD8F4BC"/>
    <w:rsid w:val="EFDF4414"/>
    <w:rsid w:val="EFE17BCE"/>
    <w:rsid w:val="EFE94589"/>
    <w:rsid w:val="EFE9FF0B"/>
    <w:rsid w:val="EFEAE57C"/>
    <w:rsid w:val="EFED1EA8"/>
    <w:rsid w:val="EFEF4A7E"/>
    <w:rsid w:val="EFEF64F6"/>
    <w:rsid w:val="EFF5E105"/>
    <w:rsid w:val="EFF765C3"/>
    <w:rsid w:val="EFF7D64C"/>
    <w:rsid w:val="EFFD0BAA"/>
    <w:rsid w:val="EFFE6CE7"/>
    <w:rsid w:val="EFFF94B6"/>
    <w:rsid w:val="EFFFA786"/>
    <w:rsid w:val="F17589AE"/>
    <w:rsid w:val="F1FEB8BB"/>
    <w:rsid w:val="F26D6769"/>
    <w:rsid w:val="F2BB1EEB"/>
    <w:rsid w:val="F2BE3F94"/>
    <w:rsid w:val="F2F61783"/>
    <w:rsid w:val="F30E0F2B"/>
    <w:rsid w:val="F354D2B2"/>
    <w:rsid w:val="F3BF894B"/>
    <w:rsid w:val="F3CE6641"/>
    <w:rsid w:val="F45E1B5E"/>
    <w:rsid w:val="F4D9D5BA"/>
    <w:rsid w:val="F5566CD8"/>
    <w:rsid w:val="F5AFCE0E"/>
    <w:rsid w:val="F5BDA86A"/>
    <w:rsid w:val="F5DFFD5B"/>
    <w:rsid w:val="F5E7F927"/>
    <w:rsid w:val="F5FEA44B"/>
    <w:rsid w:val="F5FF76D9"/>
    <w:rsid w:val="F67D5C9F"/>
    <w:rsid w:val="F67F09B7"/>
    <w:rsid w:val="F6A4BE8A"/>
    <w:rsid w:val="F6AB226A"/>
    <w:rsid w:val="F6F311E6"/>
    <w:rsid w:val="F6FB4904"/>
    <w:rsid w:val="F6FB7CDD"/>
    <w:rsid w:val="F6FD9A00"/>
    <w:rsid w:val="F74700F9"/>
    <w:rsid w:val="F76BB24F"/>
    <w:rsid w:val="F76F22BD"/>
    <w:rsid w:val="F76F26AB"/>
    <w:rsid w:val="F77C62FB"/>
    <w:rsid w:val="F77E26B3"/>
    <w:rsid w:val="F77F7106"/>
    <w:rsid w:val="F7A738F1"/>
    <w:rsid w:val="F7B62087"/>
    <w:rsid w:val="F7BE2321"/>
    <w:rsid w:val="F7CF7C8E"/>
    <w:rsid w:val="F7D92B79"/>
    <w:rsid w:val="F7EBD7E2"/>
    <w:rsid w:val="F7EFF6EE"/>
    <w:rsid w:val="F7FDF720"/>
    <w:rsid w:val="F7FEF66E"/>
    <w:rsid w:val="F7FF929A"/>
    <w:rsid w:val="F87DF1DB"/>
    <w:rsid w:val="F87FAF3A"/>
    <w:rsid w:val="F95FF012"/>
    <w:rsid w:val="F96E2CC4"/>
    <w:rsid w:val="F9DBC44C"/>
    <w:rsid w:val="F9EB62C4"/>
    <w:rsid w:val="F9EE2357"/>
    <w:rsid w:val="F9F75323"/>
    <w:rsid w:val="F9FF9851"/>
    <w:rsid w:val="FA3D8918"/>
    <w:rsid w:val="FA7B6779"/>
    <w:rsid w:val="FABB51D6"/>
    <w:rsid w:val="FAEBE4F0"/>
    <w:rsid w:val="FAF76FB9"/>
    <w:rsid w:val="FAFF227D"/>
    <w:rsid w:val="FB32EE10"/>
    <w:rsid w:val="FB3446BC"/>
    <w:rsid w:val="FB366618"/>
    <w:rsid w:val="FB396857"/>
    <w:rsid w:val="FB3BFB9C"/>
    <w:rsid w:val="FB3F3A7A"/>
    <w:rsid w:val="FB5E19DC"/>
    <w:rsid w:val="FB632B17"/>
    <w:rsid w:val="FB733F75"/>
    <w:rsid w:val="FB7DD561"/>
    <w:rsid w:val="FB7F30D1"/>
    <w:rsid w:val="FB9D551E"/>
    <w:rsid w:val="FBADF6BE"/>
    <w:rsid w:val="FBBA9CA0"/>
    <w:rsid w:val="FBBB7741"/>
    <w:rsid w:val="FBBC56CE"/>
    <w:rsid w:val="FBDBE92D"/>
    <w:rsid w:val="FBEF0A7E"/>
    <w:rsid w:val="FBEFC74A"/>
    <w:rsid w:val="FBF4155C"/>
    <w:rsid w:val="FBF5CFC6"/>
    <w:rsid w:val="FBF60152"/>
    <w:rsid w:val="FBFBACA4"/>
    <w:rsid w:val="FBFD10EB"/>
    <w:rsid w:val="FBFEFFDA"/>
    <w:rsid w:val="FBFF178F"/>
    <w:rsid w:val="FBFF3DBD"/>
    <w:rsid w:val="FC36BAFA"/>
    <w:rsid w:val="FC5DDCDC"/>
    <w:rsid w:val="FCE6CDAB"/>
    <w:rsid w:val="FCF3C861"/>
    <w:rsid w:val="FCFFA898"/>
    <w:rsid w:val="FD38D148"/>
    <w:rsid w:val="FD3A31C9"/>
    <w:rsid w:val="FD556F22"/>
    <w:rsid w:val="FD5E8FC1"/>
    <w:rsid w:val="FD9EB4C1"/>
    <w:rsid w:val="FD9F627A"/>
    <w:rsid w:val="FDA24754"/>
    <w:rsid w:val="FDA7AC95"/>
    <w:rsid w:val="FDBFBA03"/>
    <w:rsid w:val="FDCFF7DE"/>
    <w:rsid w:val="FDD34495"/>
    <w:rsid w:val="FDEC55CB"/>
    <w:rsid w:val="FDF16B4F"/>
    <w:rsid w:val="FDF20EA6"/>
    <w:rsid w:val="FDF6AF1B"/>
    <w:rsid w:val="FDF81E59"/>
    <w:rsid w:val="FDFA1759"/>
    <w:rsid w:val="FDFB2A0E"/>
    <w:rsid w:val="FDFC3848"/>
    <w:rsid w:val="FDFC65BE"/>
    <w:rsid w:val="FDFD83BC"/>
    <w:rsid w:val="FDFF3ADE"/>
    <w:rsid w:val="FDFF58E2"/>
    <w:rsid w:val="FE4F35F2"/>
    <w:rsid w:val="FE5D298E"/>
    <w:rsid w:val="FE67CF19"/>
    <w:rsid w:val="FE7FEB4B"/>
    <w:rsid w:val="FEBF0649"/>
    <w:rsid w:val="FEBF4A3C"/>
    <w:rsid w:val="FECF7BD8"/>
    <w:rsid w:val="FEDBD028"/>
    <w:rsid w:val="FEDCAAE7"/>
    <w:rsid w:val="FEDEE798"/>
    <w:rsid w:val="FEED2BA9"/>
    <w:rsid w:val="FEF9116E"/>
    <w:rsid w:val="FEFBCAC9"/>
    <w:rsid w:val="FEFE1F6A"/>
    <w:rsid w:val="FEFF373B"/>
    <w:rsid w:val="FEFF76F7"/>
    <w:rsid w:val="FEFF97C7"/>
    <w:rsid w:val="FF2A8E38"/>
    <w:rsid w:val="FF2E0743"/>
    <w:rsid w:val="FF31F360"/>
    <w:rsid w:val="FF3565C5"/>
    <w:rsid w:val="FF3F7F9E"/>
    <w:rsid w:val="FF4722BE"/>
    <w:rsid w:val="FF4D69EA"/>
    <w:rsid w:val="FF56CD7B"/>
    <w:rsid w:val="FF5A7C59"/>
    <w:rsid w:val="FF5D25AC"/>
    <w:rsid w:val="FF5DD0ED"/>
    <w:rsid w:val="FF5F5335"/>
    <w:rsid w:val="FF6E5908"/>
    <w:rsid w:val="FF6F4121"/>
    <w:rsid w:val="FF791DD9"/>
    <w:rsid w:val="FF79FC02"/>
    <w:rsid w:val="FF7BEEA3"/>
    <w:rsid w:val="FF7FA890"/>
    <w:rsid w:val="FF9AB578"/>
    <w:rsid w:val="FF9DB612"/>
    <w:rsid w:val="FFAD4E25"/>
    <w:rsid w:val="FFAFF288"/>
    <w:rsid w:val="FFB37206"/>
    <w:rsid w:val="FFB4CC49"/>
    <w:rsid w:val="FFB60606"/>
    <w:rsid w:val="FFB70ED4"/>
    <w:rsid w:val="FFBAB613"/>
    <w:rsid w:val="FFBB5188"/>
    <w:rsid w:val="FFBB6663"/>
    <w:rsid w:val="FFBBA70E"/>
    <w:rsid w:val="FFBDAE4F"/>
    <w:rsid w:val="FFBF2424"/>
    <w:rsid w:val="FFBFBCE6"/>
    <w:rsid w:val="FFC77761"/>
    <w:rsid w:val="FFCBDC3F"/>
    <w:rsid w:val="FFCBFD57"/>
    <w:rsid w:val="FFCFA20C"/>
    <w:rsid w:val="FFD9AFA8"/>
    <w:rsid w:val="FFDBD6C3"/>
    <w:rsid w:val="FFDE4B0D"/>
    <w:rsid w:val="FFE4D129"/>
    <w:rsid w:val="FFE54007"/>
    <w:rsid w:val="FFE75570"/>
    <w:rsid w:val="FFE9EF0A"/>
    <w:rsid w:val="FFEECD73"/>
    <w:rsid w:val="FFEFEEA8"/>
    <w:rsid w:val="FFF3D5B1"/>
    <w:rsid w:val="FFF5AFA5"/>
    <w:rsid w:val="FFF63E12"/>
    <w:rsid w:val="FFF6AE1C"/>
    <w:rsid w:val="FFF6E886"/>
    <w:rsid w:val="FFF77F73"/>
    <w:rsid w:val="FFF7A598"/>
    <w:rsid w:val="FFF7CB38"/>
    <w:rsid w:val="FFF7DE26"/>
    <w:rsid w:val="FFFB2C68"/>
    <w:rsid w:val="FFFB3953"/>
    <w:rsid w:val="FFFD7DFE"/>
    <w:rsid w:val="FFFDC3D2"/>
    <w:rsid w:val="FFFDCA87"/>
    <w:rsid w:val="FFFE5271"/>
    <w:rsid w:val="FFFE696C"/>
    <w:rsid w:val="FFFF0FF5"/>
    <w:rsid w:val="FFFF79EE"/>
    <w:rsid w:val="FFFF7CA8"/>
    <w:rsid w:val="FFFF9F9E"/>
    <w:rsid w:val="FFFFAC3C"/>
    <w:rsid w:val="FFFFE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0"/>
    <w:pPr>
      <w:ind w:left="1680" w:leftChars="800"/>
    </w:pPr>
  </w:style>
  <w:style w:type="paragraph" w:styleId="4">
    <w:name w:val="toa heading"/>
    <w:basedOn w:val="1"/>
    <w:next w:val="1"/>
    <w:qFormat/>
    <w:uiPriority w:val="99"/>
    <w:pPr>
      <w:spacing w:before="120" w:after="200" w:line="276" w:lineRule="auto"/>
    </w:pPr>
    <w:rPr>
      <w:rFonts w:ascii="Arial" w:hAnsi="Arial"/>
      <w:sz w:val="24"/>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列出段落1"/>
    <w:basedOn w:val="1"/>
    <w:qFormat/>
    <w:uiPriority w:val="34"/>
    <w:pPr>
      <w:ind w:firstLine="420" w:firstLineChars="200"/>
    </w:pPr>
  </w:style>
  <w:style w:type="paragraph" w:styleId="11">
    <w:name w:val="List Paragraph"/>
    <w:basedOn w:val="1"/>
    <w:qFormat/>
    <w:uiPriority w:val="99"/>
    <w:pPr>
      <w:ind w:firstLine="420" w:firstLineChars="200"/>
    </w:pPr>
    <w:rPr>
      <w:rFonts w:ascii="Calibri" w:hAnsi="Calibri"/>
      <w:szCs w:val="22"/>
    </w:rPr>
  </w:style>
  <w:style w:type="paragraph" w:customStyle="1" w:styleId="12">
    <w:name w:val="Table Text"/>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5553</Words>
  <Characters>6109</Characters>
  <Lines>0</Lines>
  <Paragraphs>0</Paragraphs>
  <TotalTime>51</TotalTime>
  <ScaleCrop>false</ScaleCrop>
  <LinksUpToDate>false</LinksUpToDate>
  <CharactersWithSpaces>6386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2024-03-28T00:36:00Z</dcterms:created>
  <dc:creator>Administrator</dc:creator>
  <cp:lastModifiedBy>TCB003</cp:lastModifiedBy>
  <cp:lastPrinted>2026-05-21T02:32:00Z</cp:lastPrinted>
  <dcterms:modified xsi:type="dcterms:W3CDTF">2026-07-13T16:08:29Z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6182D3A10D564617983F46DEE354AEAF</vt:lpwstr>
  </property>
  <property fmtid="{D5CDD505-2E9C-101B-9397-08002B2CF9AE}" pid="4" name="KSOTemplateDocerSaveRecord">
    <vt:lpwstr>eyJoZGlkIjoiMTQ5OTBlMjkxOGJkZTY2YWVjYTkxNWZjODEzNjkwZDciLCJ1c2VySWQiOiI3MzkwMTIwMjYifQ==</vt:lpwstr>
  </property>
</Properties>
</file>