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F52C7">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color w:val="000000"/>
          <w:sz w:val="44"/>
          <w:szCs w:val="44"/>
        </w:rPr>
        <w:t>岳阳市智慧城管指挥中心</w:t>
      </w:r>
    </w:p>
    <w:p w14:paraId="03E37D6C">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14:paraId="29BB00C9">
      <w:pPr>
        <w:widowControl/>
        <w:spacing w:line="600" w:lineRule="exact"/>
        <w:jc w:val="left"/>
        <w:rPr>
          <w:rFonts w:hint="eastAsia" w:ascii="黑体" w:hAnsi="黑体" w:eastAsia="黑体" w:cs="黑体"/>
          <w:sz w:val="32"/>
          <w:szCs w:val="32"/>
          <w:highlight w:val="none"/>
        </w:rPr>
      </w:pPr>
    </w:p>
    <w:p w14:paraId="4BE41129">
      <w:pPr>
        <w:keepNext w:val="0"/>
        <w:keepLines w:val="0"/>
        <w:pageBreakBefore w:val="0"/>
        <w:widowControl w:val="0"/>
        <w:numPr>
          <w:ilvl w:val="0"/>
          <w:numId w:val="0"/>
        </w:numPr>
        <w:kinsoku/>
        <w:wordWrap/>
        <w:overflowPunct/>
        <w:topLinePunct w:val="0"/>
        <w:autoSpaceDE/>
        <w:autoSpaceDN/>
        <w:bidi w:val="0"/>
        <w:adjustRightInd/>
        <w:snapToGrid/>
        <w:spacing w:afterLines="0" w:line="600" w:lineRule="exact"/>
        <w:ind w:right="0" w:rightChars="0" w:firstLine="643" w:firstLineChars="200"/>
        <w:jc w:val="left"/>
        <w:textAlignment w:val="auto"/>
        <w:rPr>
          <w:rFonts w:hint="eastAsia" w:ascii="黑体" w:hAnsi="黑体" w:eastAsia="黑体" w:cs="黑体"/>
          <w:sz w:val="32"/>
          <w:szCs w:val="32"/>
          <w:highlight w:val="none"/>
        </w:rPr>
      </w:pPr>
      <w:r>
        <w:rPr>
          <w:rFonts w:hint="eastAsia" w:ascii="黑体" w:hAnsi="黑体" w:eastAsia="黑体" w:cs="黑体"/>
          <w:b/>
          <w:bCs/>
          <w:sz w:val="32"/>
          <w:szCs w:val="32"/>
          <w:lang w:val="en" w:eastAsia="zh-CN"/>
        </w:rPr>
        <w:t>一、项目基本情况</w:t>
      </w:r>
    </w:p>
    <w:p w14:paraId="03E2CEC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val="en-US" w:eastAsia="zh-CN"/>
        </w:rPr>
        <w:t>中心的项目主要为</w:t>
      </w:r>
      <w:r>
        <w:rPr>
          <w:rFonts w:hint="eastAsia" w:ascii="CESI仿宋-GB2312" w:hAnsi="CESI仿宋-GB2312" w:eastAsia="CESI仿宋-GB2312" w:cs="CESI仿宋-GB2312"/>
          <w:sz w:val="32"/>
          <w:szCs w:val="32"/>
        </w:rPr>
        <w:t>中心城区城市管理事、部件信息的采集，并对已采集的事部件信息进行分析</w:t>
      </w:r>
      <w:r>
        <w:rPr>
          <w:rFonts w:hint="eastAsia" w:ascii="CESI仿宋-GB2312" w:hAnsi="CESI仿宋-GB2312" w:eastAsia="CESI仿宋-GB2312" w:cs="CESI仿宋-GB2312"/>
          <w:sz w:val="32"/>
          <w:szCs w:val="32"/>
          <w:lang w:eastAsia="zh-CN"/>
        </w:rPr>
        <w:t>和</w:t>
      </w:r>
      <w:r>
        <w:rPr>
          <w:rFonts w:hint="eastAsia" w:ascii="CESI仿宋-GB2312" w:hAnsi="CESI仿宋-GB2312" w:eastAsia="CESI仿宋-GB2312" w:cs="CESI仿宋-GB2312"/>
          <w:sz w:val="32"/>
          <w:szCs w:val="32"/>
        </w:rPr>
        <w:t>统计</w:t>
      </w:r>
      <w:r>
        <w:rPr>
          <w:rFonts w:hint="eastAsia" w:ascii="CESI仿宋-GB2312" w:hAnsi="CESI仿宋-GB2312" w:eastAsia="CESI仿宋-GB2312" w:cs="CESI仿宋-GB2312"/>
          <w:sz w:val="32"/>
          <w:szCs w:val="32"/>
          <w:lang w:eastAsia="zh-CN"/>
        </w:rPr>
        <w:t>，结果通过智慧城市系统平台及时、主动派送至各城市管理单位，为各级、各部门领导提供科学的城市管理决策依据，提升城市管理工作效率。12319市民投诉的城市管理问题及转办12345公众服务热线投诉城市管理事部件问题第一时间受理、第一时间办理，并将处理结果第一时间反馈给投诉市民。</w:t>
      </w:r>
    </w:p>
    <w:p w14:paraId="3485757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eastAsia="zh-CN"/>
        </w:rPr>
        <w:t>二、项目资金使用及管理情况</w:t>
      </w:r>
    </w:p>
    <w:p w14:paraId="41B2804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（一）项目资金情况分析</w:t>
      </w:r>
    </w:p>
    <w:p w14:paraId="29F867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lang w:val="en-US" w:eastAsia="zh-CN"/>
        </w:rPr>
      </w:pP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年</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市财政预算批复</w:t>
      </w:r>
      <w:r>
        <w:rPr>
          <w:rFonts w:hint="eastAsia" w:ascii="仿宋_GB2312" w:hAnsi="仿宋_GB2312" w:eastAsia="仿宋_GB2312" w:cs="仿宋_GB2312"/>
          <w:b w:val="0"/>
          <w:bCs w:val="0"/>
          <w:color w:val="auto"/>
          <w:sz w:val="32"/>
          <w:szCs w:val="32"/>
          <w:lang w:val="en-US" w:eastAsia="zh-CN"/>
        </w:rPr>
        <w:t>中心</w:t>
      </w:r>
      <w:r>
        <w:rPr>
          <w:rFonts w:hint="eastAsia" w:ascii="仿宋_GB2312" w:hAnsi="仿宋_GB2312" w:eastAsia="仿宋_GB2312" w:cs="仿宋_GB2312"/>
          <w:b w:val="0"/>
          <w:bCs w:val="0"/>
          <w:color w:val="auto"/>
          <w:sz w:val="32"/>
          <w:szCs w:val="32"/>
        </w:rPr>
        <w:t>项目</w:t>
      </w:r>
      <w:r>
        <w:rPr>
          <w:rFonts w:hint="eastAsia" w:ascii="仿宋_GB2312" w:hAnsi="仿宋_GB2312" w:eastAsia="仿宋_GB2312" w:cs="仿宋_GB2312"/>
          <w:b w:val="0"/>
          <w:bCs w:val="0"/>
          <w:color w:val="auto"/>
          <w:sz w:val="32"/>
          <w:szCs w:val="32"/>
          <w:lang w:val="en-US" w:eastAsia="zh-CN"/>
        </w:rPr>
        <w:t>经费预算总金额为</w:t>
      </w:r>
      <w:r>
        <w:rPr>
          <w:rFonts w:hint="default" w:ascii="仿宋_GB2312" w:hAnsi="仿宋_GB2312" w:eastAsia="仿宋_GB2312" w:cs="仿宋_GB2312"/>
          <w:b w:val="0"/>
          <w:bCs w:val="0"/>
          <w:color w:val="auto"/>
          <w:sz w:val="32"/>
          <w:szCs w:val="32"/>
          <w:lang w:val="en-US" w:eastAsia="zh-CN"/>
        </w:rPr>
        <w:t>60</w:t>
      </w:r>
      <w:r>
        <w:rPr>
          <w:rFonts w:hint="eastAsia" w:ascii="仿宋_GB2312" w:hAnsi="仿宋_GB2312" w:eastAsia="仿宋_GB2312" w:cs="仿宋_GB2312"/>
          <w:b w:val="0"/>
          <w:bCs w:val="0"/>
          <w:color w:val="auto"/>
          <w:sz w:val="32"/>
          <w:szCs w:val="32"/>
          <w:lang w:val="en-US" w:eastAsia="zh-CN"/>
        </w:rPr>
        <w:t>.00</w:t>
      </w:r>
      <w:r>
        <w:rPr>
          <w:rFonts w:hint="eastAsia" w:ascii="仿宋_GB2312" w:hAnsi="仿宋_GB2312" w:eastAsia="仿宋_GB2312" w:cs="仿宋_GB2312"/>
          <w:b w:val="0"/>
          <w:bCs w:val="0"/>
          <w:color w:val="auto"/>
          <w:sz w:val="32"/>
          <w:szCs w:val="32"/>
        </w:rPr>
        <w:t>万元</w:t>
      </w:r>
      <w:r>
        <w:rPr>
          <w:rFonts w:hint="eastAsia" w:ascii="仿宋_GB2312" w:hAnsi="仿宋_GB2312" w:eastAsia="仿宋_GB2312" w:cs="仿宋_GB2312"/>
          <w:b w:val="0"/>
          <w:bCs w:val="0"/>
          <w:color w:val="auto"/>
          <w:sz w:val="32"/>
          <w:szCs w:val="32"/>
          <w:lang w:eastAsia="zh-CN"/>
        </w:rPr>
        <w:t>，年中项目预算金额调整为</w:t>
      </w:r>
      <w:r>
        <w:rPr>
          <w:rFonts w:hint="default" w:ascii="仿宋_GB2312" w:hAnsi="仿宋_GB2312" w:eastAsia="仿宋_GB2312" w:cs="仿宋_GB2312"/>
          <w:b w:val="0"/>
          <w:bCs w:val="0"/>
          <w:color w:val="auto"/>
          <w:sz w:val="32"/>
          <w:szCs w:val="32"/>
          <w:lang w:val="en-US" w:eastAsia="zh-CN"/>
        </w:rPr>
        <w:t>562.86</w:t>
      </w:r>
      <w:r>
        <w:rPr>
          <w:rFonts w:hint="eastAsia" w:ascii="仿宋_GB2312" w:hAnsi="仿宋_GB2312" w:eastAsia="仿宋_GB2312" w:cs="仿宋_GB2312"/>
          <w:b w:val="0"/>
          <w:bCs w:val="0"/>
          <w:color w:val="auto"/>
          <w:sz w:val="32"/>
          <w:szCs w:val="32"/>
          <w:lang w:val="en-US" w:eastAsia="zh-CN"/>
        </w:rPr>
        <w:t>万元，</w:t>
      </w:r>
      <w:r>
        <w:rPr>
          <w:rFonts w:hint="eastAsia" w:ascii="仿宋_GB2312" w:hAnsi="仿宋_GB2312" w:eastAsia="仿宋_GB2312" w:cs="仿宋_GB2312"/>
          <w:color w:val="auto"/>
          <w:sz w:val="32"/>
          <w:szCs w:val="32"/>
          <w:lang w:val="en-US" w:eastAsia="zh-CN"/>
        </w:rPr>
        <w:t>实际支出总金额为</w:t>
      </w:r>
      <w:r>
        <w:rPr>
          <w:rFonts w:hint="default" w:ascii="仿宋_GB2312" w:hAnsi="仿宋_GB2312" w:eastAsia="仿宋_GB2312" w:cs="仿宋_GB2312"/>
          <w:color w:val="auto"/>
          <w:sz w:val="32"/>
          <w:szCs w:val="32"/>
          <w:lang w:val="en-US" w:eastAsia="zh-CN"/>
        </w:rPr>
        <w:t>558.31</w:t>
      </w:r>
      <w:r>
        <w:rPr>
          <w:rFonts w:hint="eastAsia" w:ascii="仿宋_GB2312" w:hAnsi="仿宋_GB2312" w:eastAsia="仿宋_GB2312" w:cs="仿宋_GB2312"/>
          <w:color w:val="auto"/>
          <w:sz w:val="32"/>
          <w:szCs w:val="32"/>
          <w:lang w:val="en-US" w:eastAsia="zh-CN"/>
        </w:rPr>
        <w:t>万元，其中</w:t>
      </w:r>
      <w:r>
        <w:rPr>
          <w:rFonts w:hint="default" w:ascii="仿宋_GB2312" w:hAnsi="仿宋_GB2312" w:eastAsia="仿宋_GB2312" w:cs="仿宋_GB2312"/>
          <w:sz w:val="32"/>
          <w:szCs w:val="32"/>
          <w:lang w:val="en-US"/>
        </w:rPr>
        <w:t>2025</w:t>
      </w:r>
      <w:r>
        <w:rPr>
          <w:rFonts w:hint="eastAsia" w:ascii="仿宋_GB2312" w:hAnsi="仿宋_GB2312" w:eastAsia="仿宋_GB2312" w:cs="仿宋_GB2312"/>
          <w:sz w:val="32"/>
          <w:szCs w:val="32"/>
        </w:rPr>
        <w:t>年城市事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部件采集服务</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lang w:val="en-US" w:eastAsia="zh-CN"/>
        </w:rPr>
        <w:t>支出</w:t>
      </w:r>
      <w:r>
        <w:rPr>
          <w:rFonts w:hint="default" w:ascii="仿宋_GB2312" w:hAnsi="仿宋_GB2312" w:eastAsia="仿宋_GB2312" w:cs="仿宋_GB2312"/>
          <w:sz w:val="32"/>
          <w:szCs w:val="32"/>
          <w:lang w:val="en-US" w:eastAsia="zh-CN"/>
        </w:rPr>
        <w:t>298.45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平台坐席员劳务派遣服务</w:t>
      </w:r>
      <w:r>
        <w:rPr>
          <w:rFonts w:hint="eastAsia" w:ascii="仿宋_GB2312" w:hAnsi="仿宋_GB2312" w:eastAsia="仿宋_GB2312" w:cs="仿宋_GB2312"/>
          <w:sz w:val="32"/>
          <w:szCs w:val="32"/>
          <w:lang w:eastAsia="zh-CN"/>
        </w:rPr>
        <w:t>项目支出</w:t>
      </w:r>
      <w:r>
        <w:rPr>
          <w:rFonts w:hint="eastAsia" w:ascii="仿宋_GB2312" w:hAnsi="仿宋_GB2312" w:eastAsia="仿宋_GB2312" w:cs="仿宋_GB2312"/>
          <w:sz w:val="32"/>
          <w:szCs w:val="32"/>
          <w:lang w:val="en-US" w:eastAsia="zh-CN"/>
        </w:rPr>
        <w:t>95.45万元、</w:t>
      </w:r>
      <w:r>
        <w:rPr>
          <w:rFonts w:hint="eastAsia" w:ascii="仿宋_GB2312" w:hAnsi="仿宋_GB2312" w:eastAsia="仿宋_GB2312" w:cs="仿宋_GB2312"/>
          <w:sz w:val="32"/>
          <w:szCs w:val="32"/>
        </w:rPr>
        <w:t>一期通讯运营</w:t>
      </w:r>
      <w:r>
        <w:rPr>
          <w:rFonts w:hint="eastAsia" w:ascii="仿宋_GB2312" w:hAnsi="仿宋_GB2312" w:eastAsia="仿宋_GB2312" w:cs="仿宋_GB2312"/>
          <w:sz w:val="32"/>
          <w:szCs w:val="32"/>
          <w:lang w:eastAsia="zh-CN"/>
        </w:rPr>
        <w:t>租赁服务项目支出</w:t>
      </w:r>
      <w:r>
        <w:rPr>
          <w:rFonts w:hint="eastAsia" w:ascii="仿宋_GB2312" w:hAnsi="仿宋_GB2312" w:eastAsia="仿宋_GB2312" w:cs="仿宋_GB2312"/>
          <w:sz w:val="32"/>
          <w:szCs w:val="32"/>
          <w:lang w:val="en-US" w:eastAsia="zh-CN"/>
        </w:rPr>
        <w:t>31.00万元、</w:t>
      </w:r>
      <w:r>
        <w:rPr>
          <w:rFonts w:hint="eastAsia" w:ascii="仿宋_GB2312" w:hAnsi="仿宋_GB2312" w:eastAsia="仿宋_GB2312" w:cs="仿宋_GB2312"/>
          <w:sz w:val="32"/>
          <w:szCs w:val="32"/>
        </w:rPr>
        <w:t>二期通讯运营</w:t>
      </w:r>
      <w:r>
        <w:rPr>
          <w:rFonts w:hint="eastAsia" w:ascii="仿宋_GB2312" w:hAnsi="仿宋_GB2312" w:eastAsia="仿宋_GB2312" w:cs="仿宋_GB2312"/>
          <w:sz w:val="32"/>
          <w:szCs w:val="32"/>
          <w:lang w:eastAsia="zh-CN"/>
        </w:rPr>
        <w:t>租赁项目支出</w:t>
      </w:r>
      <w:r>
        <w:rPr>
          <w:rFonts w:hint="eastAsia" w:ascii="仿宋_GB2312" w:hAnsi="仿宋_GB2312" w:eastAsia="仿宋_GB2312" w:cs="仿宋_GB2312"/>
          <w:sz w:val="32"/>
          <w:szCs w:val="32"/>
          <w:lang w:val="en-US" w:eastAsia="zh-CN"/>
        </w:rPr>
        <w:t>40.00万元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软件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数据库及设备维护</w:t>
      </w:r>
      <w:r>
        <w:rPr>
          <w:rFonts w:hint="eastAsia" w:ascii="仿宋_GB2312" w:hAnsi="仿宋_GB2312" w:eastAsia="仿宋_GB2312" w:cs="仿宋_GB2312"/>
          <w:sz w:val="32"/>
          <w:szCs w:val="32"/>
          <w:lang w:eastAsia="zh-CN"/>
        </w:rPr>
        <w:t>项目支出</w:t>
      </w:r>
      <w:r>
        <w:rPr>
          <w:rFonts w:hint="eastAsia" w:ascii="仿宋_GB2312" w:hAnsi="仿宋_GB2312" w:eastAsia="仿宋_GB2312" w:cs="仿宋_GB2312"/>
          <w:sz w:val="32"/>
          <w:szCs w:val="32"/>
          <w:lang w:val="en-US" w:eastAsia="zh-CN"/>
        </w:rPr>
        <w:t>49万元</w:t>
      </w:r>
      <w:r>
        <w:rPr>
          <w:rFonts w:hint="eastAsia" w:ascii="仿宋_GB2312" w:hAnsi="仿宋_GB2312" w:eastAsia="仿宋_GB2312" w:cs="仿宋_GB2312"/>
          <w:sz w:val="32"/>
          <w:szCs w:val="32"/>
          <w:lang w:eastAsia="zh-CN"/>
        </w:rPr>
        <w:t>、设备运行及办公用电费项目支出</w:t>
      </w:r>
      <w:r>
        <w:rPr>
          <w:rFonts w:hint="eastAsia" w:ascii="仿宋_GB2312" w:hAnsi="仿宋_GB2312" w:eastAsia="仿宋_GB2312" w:cs="仿宋_GB2312"/>
          <w:sz w:val="32"/>
          <w:szCs w:val="32"/>
          <w:lang w:val="en-US" w:eastAsia="zh-CN"/>
        </w:rPr>
        <w:t>23.60万元，2025年专项工作经费20.81万元。主要用于</w:t>
      </w:r>
      <w:r>
        <w:rPr>
          <w:rFonts w:hint="eastAsia" w:ascii="仿宋_GB2312" w:hAnsi="仿宋_GB2312" w:eastAsia="仿宋_GB2312" w:cs="仿宋_GB2312"/>
          <w:color w:val="000000"/>
          <w:sz w:val="32"/>
          <w:szCs w:val="32"/>
          <w:lang w:val="en-US" w:eastAsia="zh-CN"/>
        </w:rPr>
        <w:t>中心城区</w:t>
      </w:r>
      <w:r>
        <w:rPr>
          <w:rFonts w:hint="eastAsia" w:ascii="仿宋_GB2312" w:eastAsia="仿宋_GB2312"/>
          <w:sz w:val="32"/>
          <w:szCs w:val="32"/>
        </w:rPr>
        <w:t>城市管理事部件信息的采集</w:t>
      </w:r>
      <w:r>
        <w:rPr>
          <w:rFonts w:hint="eastAsia" w:ascii="仿宋_GB2312" w:eastAsia="仿宋_GB2312"/>
          <w:sz w:val="32"/>
          <w:szCs w:val="32"/>
          <w:lang w:val="en-US" w:eastAsia="zh-CN"/>
        </w:rPr>
        <w:t>服务费结算，</w:t>
      </w:r>
      <w:r>
        <w:rPr>
          <w:rFonts w:hint="eastAsia" w:ascii="CESI仿宋-GB2312" w:hAnsi="CESI仿宋-GB2312" w:eastAsia="CESI仿宋-GB2312" w:cs="CESI仿宋-GB2312"/>
          <w:sz w:val="32"/>
          <w:szCs w:val="32"/>
          <w:lang w:eastAsia="zh-CN"/>
        </w:rPr>
        <w:t>智慧城市系统平台</w:t>
      </w:r>
      <w:r>
        <w:rPr>
          <w:rFonts w:hint="eastAsia" w:ascii="CESI仿宋-GB2312" w:hAnsi="CESI仿宋-GB2312" w:eastAsia="CESI仿宋-GB2312" w:cs="CESI仿宋-GB2312"/>
          <w:sz w:val="32"/>
          <w:szCs w:val="32"/>
          <w:lang w:val="en-US" w:eastAsia="zh-CN"/>
        </w:rPr>
        <w:t>升级及日常维护支出，</w:t>
      </w:r>
      <w:r>
        <w:rPr>
          <w:rFonts w:hint="eastAsia" w:ascii="仿宋_GB2312" w:eastAsia="仿宋_GB2312"/>
          <w:sz w:val="32"/>
          <w:szCs w:val="32"/>
        </w:rPr>
        <w:t>城市管理事</w:t>
      </w:r>
      <w:r>
        <w:rPr>
          <w:rFonts w:hint="eastAsia" w:ascii="仿宋_GB2312" w:eastAsia="仿宋_GB2312"/>
          <w:sz w:val="32"/>
          <w:szCs w:val="32"/>
          <w:lang w:eastAsia="zh-CN"/>
        </w:rPr>
        <w:t>、</w:t>
      </w:r>
      <w:r>
        <w:rPr>
          <w:rFonts w:hint="eastAsia" w:ascii="仿宋_GB2312" w:eastAsia="仿宋_GB2312"/>
          <w:sz w:val="32"/>
          <w:szCs w:val="32"/>
        </w:rPr>
        <w:t>部件信息采集</w:t>
      </w:r>
      <w:r>
        <w:rPr>
          <w:rFonts w:hint="eastAsia" w:ascii="仿宋_GB2312" w:eastAsia="仿宋_GB2312"/>
          <w:sz w:val="32"/>
          <w:szCs w:val="32"/>
          <w:lang w:val="en-US" w:eastAsia="zh-CN"/>
        </w:rPr>
        <w:t>终端和</w:t>
      </w:r>
      <w:r>
        <w:rPr>
          <w:rFonts w:hint="eastAsia" w:ascii="CESI仿宋-GB2312" w:hAnsi="CESI仿宋-GB2312" w:eastAsia="CESI仿宋-GB2312" w:cs="CESI仿宋-GB2312"/>
          <w:sz w:val="32"/>
          <w:szCs w:val="32"/>
          <w:lang w:eastAsia="zh-CN"/>
        </w:rPr>
        <w:t>智慧城市系统平台</w:t>
      </w:r>
      <w:r>
        <w:rPr>
          <w:rFonts w:hint="eastAsia" w:ascii="仿宋_GB2312" w:eastAsia="仿宋_GB2312"/>
          <w:sz w:val="32"/>
          <w:szCs w:val="32"/>
          <w:lang w:val="en-US" w:eastAsia="zh-CN"/>
        </w:rPr>
        <w:t>网络租赁，平台坐席人员工资和社保费用结算，机房各类设备运行电费等费用支出。</w:t>
      </w:r>
    </w:p>
    <w:p w14:paraId="7E8301C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（二）项目资金管理情况</w:t>
      </w:r>
    </w:p>
    <w:p w14:paraId="4E70C1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SA"/>
        </w:rPr>
        <w:t>根据《预算法》、《政府会计制度》和岳阳市财政局《关于进一步规范专项资金使用流程的通知》（岳财发〔2024〕8号）等文件精神，</w:t>
      </w:r>
      <w:r>
        <w:rPr>
          <w:rFonts w:hint="eastAsia" w:ascii="仿宋_GB2312" w:hAnsi="仿宋_GB2312" w:eastAsia="仿宋_GB2312" w:cs="仿宋_GB2312"/>
          <w:sz w:val="32"/>
          <w:szCs w:val="32"/>
        </w:rPr>
        <w:t>为确保资金</w:t>
      </w:r>
      <w:r>
        <w:rPr>
          <w:rFonts w:hint="eastAsia" w:ascii="仿宋_GB2312" w:hAnsi="仿宋_GB2312" w:eastAsia="仿宋_GB2312" w:cs="仿宋_GB2312"/>
          <w:sz w:val="32"/>
          <w:szCs w:val="32"/>
          <w:lang w:val="en-US" w:eastAsia="zh-CN"/>
        </w:rPr>
        <w:t>使用</w:t>
      </w:r>
      <w:r>
        <w:rPr>
          <w:rFonts w:hint="eastAsia" w:ascii="仿宋_GB2312" w:hAnsi="仿宋_GB2312" w:eastAsia="仿宋_GB2312" w:cs="仿宋_GB2312"/>
          <w:sz w:val="32"/>
          <w:szCs w:val="32"/>
        </w:rPr>
        <w:t>合理、合规，</w:t>
      </w:r>
      <w:r>
        <w:rPr>
          <w:rFonts w:hint="eastAsia" w:ascii="仿宋_GB2312" w:hAnsi="仿宋_GB2312" w:eastAsia="仿宋_GB2312" w:cs="仿宋_GB2312"/>
          <w:sz w:val="32"/>
          <w:szCs w:val="32"/>
          <w:lang w:val="en-US" w:eastAsia="zh-CN"/>
        </w:rPr>
        <w:t>发挥财政资金使用效益。中心</w:t>
      </w:r>
      <w:r>
        <w:rPr>
          <w:rFonts w:hint="eastAsia" w:ascii="仿宋_GB2312" w:hAnsi="仿宋_GB2312" w:eastAsia="仿宋_GB2312" w:cs="仿宋_GB2312"/>
          <w:sz w:val="32"/>
          <w:szCs w:val="32"/>
        </w:rPr>
        <w:t>建立了《专项资金管理办法》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政府采购内控制度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等制度，为项目管理提供了制度保障。</w:t>
      </w:r>
    </w:p>
    <w:p w14:paraId="05376C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从支付流程分析，每一笔</w:t>
      </w:r>
      <w:r>
        <w:rPr>
          <w:rFonts w:hint="eastAsia" w:ascii="仿宋_GB2312" w:hAnsi="仿宋_GB2312" w:eastAsia="仿宋_GB2312" w:cs="仿宋_GB2312"/>
          <w:sz w:val="32"/>
          <w:szCs w:val="32"/>
          <w:lang w:eastAsia="zh-CN"/>
        </w:rPr>
        <w:t>费用</w:t>
      </w:r>
      <w:r>
        <w:rPr>
          <w:rFonts w:hint="eastAsia" w:ascii="仿宋_GB2312" w:hAnsi="仿宋_GB2312" w:eastAsia="仿宋_GB2312" w:cs="仿宋_GB2312"/>
          <w:sz w:val="32"/>
          <w:szCs w:val="32"/>
        </w:rPr>
        <w:t>支出经过经办人、部门负责人证明签字，资金支付经财务负责人</w:t>
      </w:r>
      <w:r>
        <w:rPr>
          <w:rFonts w:hint="eastAsia" w:ascii="仿宋_GB2312" w:hAnsi="仿宋_GB2312" w:eastAsia="仿宋_GB2312" w:cs="仿宋_GB2312"/>
          <w:sz w:val="32"/>
          <w:szCs w:val="32"/>
          <w:lang w:val="en-US" w:eastAsia="zh-CN"/>
        </w:rPr>
        <w:t>审</w:t>
      </w:r>
      <w:r>
        <w:rPr>
          <w:rFonts w:hint="eastAsia" w:ascii="仿宋_GB2312" w:hAnsi="仿宋_GB2312" w:eastAsia="仿宋_GB2312" w:cs="仿宋_GB2312"/>
          <w:sz w:val="32"/>
          <w:szCs w:val="32"/>
        </w:rPr>
        <w:t>核</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主管领导审批同意</w:t>
      </w:r>
      <w:r>
        <w:rPr>
          <w:rFonts w:hint="eastAsia" w:ascii="仿宋_GB2312" w:hAnsi="仿宋_GB2312" w:eastAsia="仿宋_GB2312" w:cs="仿宋_GB2312"/>
          <w:sz w:val="32"/>
          <w:szCs w:val="32"/>
          <w:lang w:val="en-US" w:eastAsia="zh-CN"/>
        </w:rPr>
        <w:t>后进行结算</w:t>
      </w:r>
      <w:r>
        <w:rPr>
          <w:rFonts w:hint="eastAsia" w:ascii="仿宋_GB2312" w:hAnsi="仿宋_GB2312" w:eastAsia="仿宋_GB2312" w:cs="仿宋_GB2312"/>
          <w:sz w:val="32"/>
          <w:szCs w:val="32"/>
        </w:rPr>
        <w:t>，并严格执行支出审核控制，重点审核单据来源是否合法，内容是否真实、完整，使用是否准确，是否符合预算，审批手续是否齐全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保证了整个项目组织工作的高效性、约束性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另外，</w:t>
      </w:r>
      <w:r>
        <w:rPr>
          <w:rFonts w:hint="eastAsia" w:ascii="仿宋_GB2312" w:hAnsi="仿宋_GB2312" w:eastAsia="仿宋_GB2312" w:cs="仿宋_GB2312"/>
          <w:sz w:val="32"/>
          <w:szCs w:val="32"/>
        </w:rPr>
        <w:t>制订了收支业务等内部控制操作规程，规范专项资金的使用和管理，单独核算，专款专用，严禁挤占和挪用项目资金。确保专项支出从“事前、事中、事后”全过程监控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确保了经费支出效益</w:t>
      </w:r>
      <w:r>
        <w:rPr>
          <w:rFonts w:hint="eastAsia" w:ascii="仿宋_GB2312" w:hAnsi="仿宋_GB2312" w:eastAsia="仿宋_GB2312" w:cs="仿宋_GB2312"/>
          <w:sz w:val="32"/>
          <w:szCs w:val="32"/>
        </w:rPr>
        <w:t>。</w:t>
      </w:r>
    </w:p>
    <w:p w14:paraId="5F332A44">
      <w:pPr>
        <w:keepNext w:val="0"/>
        <w:keepLines w:val="0"/>
        <w:pageBreakBefore w:val="0"/>
        <w:numPr>
          <w:ilvl w:val="0"/>
          <w:numId w:val="0"/>
        </w:numPr>
        <w:kinsoku/>
        <w:wordWrap/>
        <w:overflowPunct/>
        <w:topLinePunct w:val="0"/>
        <w:autoSpaceDE/>
        <w:autoSpaceDN/>
        <w:bidi w:val="0"/>
        <w:adjustRightInd/>
        <w:snapToGrid/>
        <w:spacing w:line="600" w:lineRule="exact"/>
        <w:ind w:leftChars="200"/>
        <w:textAlignment w:val="auto"/>
        <w:rPr>
          <w:rFonts w:hint="eastAsia" w:ascii="楷体_GB2312" w:hAnsi="楷体_GB2312" w:eastAsia="楷体_GB2312" w:cs="楷体_GB2312"/>
          <w:b/>
          <w:bCs/>
          <w:sz w:val="32"/>
          <w:szCs w:val="32"/>
        </w:rPr>
      </w:pPr>
      <w:r>
        <w:rPr>
          <w:rFonts w:hint="eastAsia" w:ascii="黑体" w:hAnsi="黑体" w:eastAsia="黑体" w:cs="黑体"/>
          <w:b/>
          <w:bCs/>
          <w:sz w:val="32"/>
          <w:szCs w:val="32"/>
          <w:lang w:val="en-US" w:eastAsia="zh-CN"/>
        </w:rPr>
        <w:t>三、</w:t>
      </w:r>
      <w:r>
        <w:rPr>
          <w:rFonts w:hint="eastAsia" w:ascii="黑体" w:hAnsi="黑体" w:eastAsia="黑体" w:cs="黑体"/>
          <w:b/>
          <w:bCs/>
          <w:sz w:val="32"/>
          <w:szCs w:val="32"/>
        </w:rPr>
        <w:t>项目组织实施情况分析</w:t>
      </w:r>
    </w:p>
    <w:p w14:paraId="41C7013F">
      <w:pPr>
        <w:keepNext w:val="0"/>
        <w:keepLines w:val="0"/>
        <w:pageBreakBefore w:val="0"/>
        <w:numPr>
          <w:ilvl w:val="0"/>
          <w:numId w:val="1"/>
        </w:numPr>
        <w:kinsoku/>
        <w:wordWrap/>
        <w:overflowPunct/>
        <w:topLinePunct w:val="0"/>
        <w:autoSpaceDE/>
        <w:autoSpaceDN/>
        <w:bidi w:val="0"/>
        <w:adjustRightInd/>
        <w:snapToGrid/>
        <w:spacing w:line="600" w:lineRule="exact"/>
        <w:ind w:left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项目组织情况分析</w:t>
      </w:r>
    </w:p>
    <w:p w14:paraId="03D78F97">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val="0"/>
          <w:sz w:val="32"/>
          <w:szCs w:val="32"/>
        </w:rPr>
      </w:pPr>
      <w:r>
        <w:rPr>
          <w:rFonts w:hint="eastAsia" w:eastAsia="仿宋_GB2312"/>
          <w:b w:val="0"/>
          <w:bCs w:val="0"/>
          <w:sz w:val="32"/>
          <w:szCs w:val="32"/>
          <w:u w:val="single" w:color="FFFFFF"/>
        </w:rPr>
        <w:t>中心</w:t>
      </w:r>
      <w:r>
        <w:rPr>
          <w:rFonts w:hint="eastAsia" w:ascii="仿宋_GB2312" w:eastAsia="仿宋_GB2312"/>
          <w:b w:val="0"/>
          <w:bCs w:val="0"/>
          <w:sz w:val="32"/>
          <w:szCs w:val="32"/>
        </w:rPr>
        <w:t>考核小组依照《岳阳市智慧城管信息采集工作管理办法》，采取系统在线检查与日常检查相结合的方式，按月对公司进行全面考核。主要对信息采集员所采集的信息的“质”与“量”进行考核，采集信息必须真实、准确、清晰、及时，不得有虚假伪造、重复的信息，网格覆盖范围内信息量不得少于900条/天（不含核查、核实信息）。考评方式多样化，从案件数量上报率、有效率、采集员实际配备率、巡查覆盖密度率、核查回复准确率、核查回复率等方面进行考评，并对信息采集人员按工作纪律要求加强管理，要求做到作业“三个覆盖”（即：时间、区域、空间）确保信息采集全面化，坚持文明采集、实事求是如实反映城市管理中存在的各类问题，为各级领导、各部门提供科学的城市管理决策依据，提升市民对城市管理工作的满意度。</w:t>
      </w:r>
    </w:p>
    <w:p w14:paraId="492A9CF1">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（二）项目采购管理情况</w:t>
      </w:r>
    </w:p>
    <w:p w14:paraId="66D34F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highlight w:val="none"/>
        </w:rPr>
      </w:pPr>
      <w:r>
        <w:rPr>
          <w:rFonts w:hint="eastAsia" w:ascii="仿宋_GB2312" w:hAnsi="仿宋_GB2312" w:eastAsia="仿宋_GB2312" w:cs="仿宋_GB2312"/>
          <w:sz w:val="32"/>
          <w:szCs w:val="32"/>
          <w:lang w:val="en-US" w:eastAsia="zh-CN"/>
        </w:rPr>
        <w:t>中心政府采购工作严格按照</w:t>
      </w:r>
      <w:r>
        <w:rPr>
          <w:rFonts w:hint="eastAsia" w:ascii="仿宋_GB2312" w:hAnsi="仿宋_GB2312" w:eastAsia="仿宋_GB2312" w:cs="仿宋_GB2312"/>
          <w:color w:val="auto"/>
          <w:sz w:val="32"/>
          <w:szCs w:val="32"/>
        </w:rPr>
        <w:t>《中华人民共和国政府采购法》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岳阳市财政局关于印发《岳阳市预算单位政府集中采购目录及标准指引（2022版）》的通知（岳财发〔2022〕2号）和</w:t>
      </w:r>
      <w:r>
        <w:rPr>
          <w:rFonts w:hint="eastAsia" w:ascii="仿宋_GB2312" w:hAnsi="仿宋_GB2312" w:eastAsia="仿宋_GB2312" w:cs="仿宋_GB2312"/>
          <w:sz w:val="32"/>
          <w:szCs w:val="32"/>
        </w:rPr>
        <w:t>湖南省财政厅印发的《湖南省政府采购电子卖场管理办法》（湘财购［2019]27号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等文件规定的标准和程序执行。2025年城市事、部件采集服务项目以公开招标方式进行了采购，</w:t>
      </w:r>
      <w:r>
        <w:rPr>
          <w:rFonts w:hint="eastAsia" w:ascii="仿宋_GB2312" w:hAnsi="仿宋_GB2312" w:eastAsia="仿宋_GB2312" w:cs="仿宋_GB2312"/>
          <w:color w:val="auto"/>
          <w:sz w:val="32"/>
          <w:szCs w:val="32"/>
          <w:lang w:val="en-US" w:eastAsia="zh-CN"/>
        </w:rPr>
        <w:t>成交供应商为政通智慧城市运营科技有限公司，中标合同价格为300万元/年，</w:t>
      </w:r>
      <w:r>
        <w:rPr>
          <w:rFonts w:hint="eastAsia" w:ascii="仿宋_GB2312" w:hAnsi="仿宋" w:eastAsia="仿宋_GB2312" w:cs="仿宋"/>
          <w:sz w:val="32"/>
          <w:szCs w:val="32"/>
        </w:rPr>
        <w:t>202</w:t>
      </w:r>
      <w:r>
        <w:rPr>
          <w:rFonts w:hint="eastAsia" w:ascii="仿宋_GB2312" w:eastAsia="仿宋_GB2312" w:cs="仿宋"/>
          <w:sz w:val="32"/>
          <w:szCs w:val="32"/>
          <w:lang w:val="en-US" w:eastAsia="zh-CN"/>
        </w:rPr>
        <w:t>5</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度</w:t>
      </w:r>
      <w:r>
        <w:rPr>
          <w:rFonts w:hint="eastAsia" w:ascii="仿宋_GB2312" w:hAnsi="仿宋" w:eastAsia="仿宋_GB2312" w:cs="仿宋"/>
          <w:sz w:val="32"/>
          <w:szCs w:val="32"/>
        </w:rPr>
        <w:t>信息采集服务费项目</w:t>
      </w:r>
      <w:r>
        <w:rPr>
          <w:rFonts w:hint="eastAsia" w:ascii="仿宋_GB2312" w:hAnsi="仿宋" w:eastAsia="仿宋_GB2312" w:cs="仿宋"/>
          <w:sz w:val="32"/>
          <w:szCs w:val="32"/>
          <w:lang w:val="en-US" w:eastAsia="zh-CN"/>
        </w:rPr>
        <w:t>年初</w:t>
      </w:r>
      <w:r>
        <w:rPr>
          <w:rFonts w:hint="eastAsia" w:ascii="仿宋_GB2312" w:hAnsi="仿宋" w:eastAsia="仿宋_GB2312" w:cs="仿宋"/>
          <w:sz w:val="32"/>
          <w:szCs w:val="32"/>
        </w:rPr>
        <w:t>预算</w:t>
      </w:r>
      <w:r>
        <w:rPr>
          <w:rFonts w:hint="eastAsia" w:ascii="仿宋_GB2312" w:eastAsia="仿宋_GB2312" w:cs="仿宋"/>
          <w:sz w:val="32"/>
          <w:szCs w:val="32"/>
          <w:lang w:val="en-US" w:eastAsia="zh-CN"/>
        </w:rPr>
        <w:t>300</w:t>
      </w:r>
      <w:r>
        <w:rPr>
          <w:rFonts w:hint="eastAsia" w:ascii="仿宋_GB2312" w:hAnsi="仿宋" w:eastAsia="仿宋_GB2312" w:cs="仿宋"/>
          <w:sz w:val="32"/>
          <w:szCs w:val="32"/>
        </w:rPr>
        <w:t>万元，</w:t>
      </w:r>
      <w:r>
        <w:rPr>
          <w:rFonts w:hint="eastAsia" w:ascii="仿宋_GB2312" w:hAnsi="仿宋" w:eastAsia="仿宋_GB2312" w:cs="仿宋"/>
          <w:sz w:val="32"/>
          <w:szCs w:val="32"/>
          <w:u w:val="single" w:color="FFFFFF"/>
        </w:rPr>
        <w:t>按照合同约定</w:t>
      </w:r>
      <w:r>
        <w:rPr>
          <w:rFonts w:hint="eastAsia" w:ascii="仿宋_GB2312" w:eastAsia="仿宋_GB2312" w:cs="仿宋"/>
          <w:sz w:val="32"/>
          <w:szCs w:val="32"/>
          <w:u w:val="single" w:color="FFFFFF"/>
          <w:lang w:val="en-US" w:eastAsia="zh-CN"/>
        </w:rPr>
        <w:t>和考核情况</w:t>
      </w:r>
      <w:r>
        <w:rPr>
          <w:rFonts w:hint="eastAsia" w:ascii="仿宋_GB2312" w:hAnsi="仿宋" w:eastAsia="仿宋_GB2312" w:cs="仿宋"/>
          <w:sz w:val="32"/>
          <w:szCs w:val="32"/>
        </w:rPr>
        <w:t>实际拨款</w:t>
      </w:r>
      <w:r>
        <w:rPr>
          <w:rFonts w:hint="eastAsia" w:ascii="仿宋_GB2312" w:eastAsia="仿宋_GB2312" w:cs="仿宋"/>
          <w:sz w:val="32"/>
          <w:szCs w:val="32"/>
          <w:lang w:val="en-US" w:eastAsia="zh-CN"/>
        </w:rPr>
        <w:t>298.45</w:t>
      </w:r>
      <w:r>
        <w:rPr>
          <w:rFonts w:hint="eastAsia" w:ascii="仿宋_GB2312" w:hAnsi="仿宋" w:eastAsia="仿宋_GB2312" w:cs="仿宋"/>
          <w:sz w:val="32"/>
          <w:szCs w:val="32"/>
        </w:rPr>
        <w:t>万元</w:t>
      </w:r>
      <w:r>
        <w:rPr>
          <w:rFonts w:hint="eastAsia" w:ascii="仿宋_GB2312" w:hAnsi="仿宋_GB2312" w:eastAsia="仿宋_GB2312" w:cs="仿宋_GB2312"/>
          <w:color w:val="auto"/>
          <w:sz w:val="32"/>
          <w:szCs w:val="32"/>
          <w:lang w:val="en-US" w:eastAsia="zh-CN"/>
        </w:rPr>
        <w:t>。智慧城管一期通迅运营租赁、二期通迅运营租赁和服务项目以单一来源方式进行了采购成交供应商分别为中移铁通有限公司岳阳分公司和中国电信股份有限价公司岳阳分公司，其他采购限额以下项目均通过电子卖场进行了采购。</w:t>
      </w:r>
    </w:p>
    <w:p w14:paraId="34D6A9E7">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黑体" w:hAnsi="黑体" w:eastAsia="黑体" w:cs="黑体"/>
          <w:b/>
          <w:bCs/>
          <w:sz w:val="32"/>
          <w:szCs w:val="32"/>
          <w:lang w:val="en-US" w:eastAsia="zh-CN"/>
        </w:rPr>
        <w:t>四</w:t>
      </w:r>
      <w:r>
        <w:rPr>
          <w:rFonts w:hint="eastAsia" w:ascii="黑体" w:hAnsi="黑体" w:eastAsia="黑体" w:cs="黑体"/>
          <w:b/>
          <w:bCs/>
          <w:sz w:val="32"/>
          <w:szCs w:val="32"/>
          <w:lang w:eastAsia="zh-CN"/>
        </w:rPr>
        <w:t>、</w:t>
      </w:r>
      <w:r>
        <w:rPr>
          <w:rFonts w:hint="eastAsia" w:ascii="黑体" w:hAnsi="黑体" w:eastAsia="黑体" w:cs="黑体"/>
          <w:b/>
          <w:bCs/>
          <w:sz w:val="32"/>
          <w:szCs w:val="32"/>
        </w:rPr>
        <w:t>综合评价情况及评价结论</w:t>
      </w:r>
    </w:p>
    <w:p w14:paraId="43685B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评价小组依</w:t>
      </w:r>
      <w:r>
        <w:rPr>
          <w:rFonts w:hint="eastAsia" w:ascii="仿宋_GB2312" w:hAnsi="仿宋_GB2312" w:eastAsia="仿宋_GB2312" w:cs="仿宋_GB2312"/>
          <w:sz w:val="32"/>
          <w:szCs w:val="32"/>
        </w:rPr>
        <w:t>据</w:t>
      </w:r>
      <w:r>
        <w:rPr>
          <w:rFonts w:hint="eastAsia" w:ascii="仿宋_GB2312" w:hAnsi="仿宋_GB2312" w:eastAsia="仿宋_GB2312" w:cs="仿宋_GB2312"/>
          <w:sz w:val="32"/>
          <w:szCs w:val="32"/>
          <w:lang w:val="en-US" w:eastAsia="zh-CN"/>
        </w:rPr>
        <w:t>岳阳市财政局《关于印发&lt;岳阳市市级预算部门绩效自评操作规程&gt;的通知》岳财函〔2022〕209号文件规定相关</w:t>
      </w:r>
      <w:r>
        <w:rPr>
          <w:rFonts w:hint="eastAsia" w:ascii="仿宋_GB2312" w:hAnsi="仿宋_GB2312" w:eastAsia="仿宋_GB2312" w:cs="仿宋_GB2312"/>
          <w:sz w:val="32"/>
          <w:szCs w:val="32"/>
        </w:rPr>
        <w:t>评价指标</w:t>
      </w:r>
      <w:r>
        <w:rPr>
          <w:rFonts w:hint="eastAsia" w:ascii="仿宋_GB2312" w:hAnsi="仿宋_GB2312" w:eastAsia="仿宋_GB2312" w:cs="仿宋_GB2312"/>
          <w:sz w:val="32"/>
          <w:szCs w:val="32"/>
          <w:lang w:val="en-US" w:eastAsia="zh-CN"/>
        </w:rPr>
        <w:t>和标准进行了分析与</w:t>
      </w:r>
      <w:r>
        <w:rPr>
          <w:rFonts w:hint="eastAsia" w:ascii="仿宋_GB2312" w:hAnsi="仿宋_GB2312" w:eastAsia="仿宋_GB2312" w:cs="仿宋_GB2312"/>
          <w:sz w:val="32"/>
          <w:szCs w:val="32"/>
        </w:rPr>
        <w:t>评分，</w:t>
      </w:r>
      <w:r>
        <w:rPr>
          <w:rFonts w:hint="eastAsia" w:ascii="仿宋_GB2312" w:hAnsi="仿宋_GB2312" w:eastAsia="仿宋_GB2312" w:cs="仿宋_GB2312"/>
          <w:sz w:val="32"/>
          <w:szCs w:val="32"/>
          <w:lang w:eastAsia="zh-CN"/>
        </w:rPr>
        <w:t>一致认为中心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eastAsia="zh-CN"/>
        </w:rPr>
        <w:t>资金</w:t>
      </w:r>
      <w:r>
        <w:rPr>
          <w:rFonts w:hint="eastAsia" w:ascii="仿宋_GB2312" w:hAnsi="仿宋_GB2312" w:eastAsia="仿宋_GB2312" w:cs="仿宋_GB2312"/>
          <w:sz w:val="32"/>
          <w:szCs w:val="32"/>
        </w:rPr>
        <w:t>管</w:t>
      </w:r>
      <w:r>
        <w:rPr>
          <w:rFonts w:hint="eastAsia" w:ascii="仿宋_GB2312" w:hAnsi="仿宋_GB2312" w:eastAsia="仿宋_GB2312" w:cs="仿宋_GB2312"/>
          <w:sz w:val="32"/>
          <w:szCs w:val="32"/>
          <w:lang w:val="en-US" w:eastAsia="zh-CN"/>
        </w:rPr>
        <w:t>理和使用规范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遵守了相关法规</w:t>
      </w:r>
      <w:r>
        <w:rPr>
          <w:rFonts w:hint="eastAsia" w:ascii="仿宋_GB2312" w:hAnsi="仿宋_GB2312" w:eastAsia="仿宋_GB2312" w:cs="仿宋_GB2312"/>
          <w:sz w:val="32"/>
          <w:szCs w:val="32"/>
        </w:rPr>
        <w:t>政策，</w:t>
      </w:r>
      <w:r>
        <w:rPr>
          <w:rFonts w:hint="eastAsia" w:ascii="仿宋_GB2312" w:hAnsi="仿宋_GB2312" w:eastAsia="仿宋_GB2312" w:cs="仿宋_GB2312"/>
          <w:sz w:val="32"/>
          <w:szCs w:val="32"/>
          <w:lang w:eastAsia="zh-CN"/>
        </w:rPr>
        <w:t>预算执行率高，</w:t>
      </w:r>
      <w:r>
        <w:rPr>
          <w:rFonts w:hint="eastAsia" w:ascii="仿宋_GB2312" w:hAnsi="仿宋_GB2312" w:eastAsia="仿宋_GB2312" w:cs="仿宋_GB2312"/>
          <w:sz w:val="32"/>
          <w:szCs w:val="32"/>
          <w:lang w:val="en-US" w:eastAsia="zh-CN"/>
        </w:rPr>
        <w:t>圆满完成了年初绩效目标。</w:t>
      </w:r>
      <w:r>
        <w:rPr>
          <w:rFonts w:hint="eastAsia" w:ascii="仿宋_GB2312" w:hAnsi="仿宋_GB2312" w:eastAsia="仿宋_GB2312" w:cs="仿宋_GB2312"/>
          <w:sz w:val="32"/>
          <w:szCs w:val="32"/>
          <w:lang w:eastAsia="zh-CN"/>
        </w:rPr>
        <w:t>资金使用规范，</w:t>
      </w:r>
      <w:r>
        <w:rPr>
          <w:rFonts w:hint="eastAsia" w:ascii="仿宋_GB2312" w:hAnsi="仿宋_GB2312" w:eastAsia="仿宋_GB2312" w:cs="仿宋_GB2312"/>
          <w:sz w:val="32"/>
          <w:szCs w:val="32"/>
        </w:rPr>
        <w:t>有效发挥了</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rPr>
        <w:t>资金的使用效</w:t>
      </w:r>
      <w:r>
        <w:rPr>
          <w:rFonts w:hint="eastAsia" w:ascii="仿宋_GB2312" w:hAnsi="仿宋_GB2312" w:eastAsia="仿宋_GB2312" w:cs="仿宋_GB2312"/>
          <w:sz w:val="32"/>
          <w:szCs w:val="32"/>
          <w:lang w:eastAsia="zh-CN"/>
        </w:rPr>
        <w:t>益，绩效</w:t>
      </w:r>
      <w:r>
        <w:rPr>
          <w:rFonts w:hint="eastAsia" w:ascii="仿宋_GB2312" w:hAnsi="仿宋_GB2312" w:eastAsia="仿宋_GB2312" w:cs="仿宋_GB2312"/>
          <w:sz w:val="32"/>
          <w:szCs w:val="32"/>
          <w:lang w:val="en-US" w:eastAsia="zh-CN"/>
        </w:rPr>
        <w:t>自评得分均在</w:t>
      </w:r>
      <w:r>
        <w:rPr>
          <w:rFonts w:hint="eastAsia" w:ascii="仿宋_GB2312" w:hAnsi="仿宋_GB2312" w:eastAsia="仿宋_GB2312" w:cs="仿宋_GB2312"/>
          <w:color w:val="auto"/>
          <w:sz w:val="32"/>
          <w:szCs w:val="32"/>
          <w:lang w:val="en-US" w:eastAsia="zh-CN"/>
        </w:rPr>
        <w:t>92.95</w:t>
      </w:r>
      <w:r>
        <w:rPr>
          <w:rFonts w:hint="eastAsia" w:ascii="仿宋_GB2312" w:hAnsi="仿宋_GB2312" w:eastAsia="仿宋_GB2312" w:cs="仿宋_GB2312"/>
          <w:sz w:val="32"/>
          <w:szCs w:val="32"/>
          <w:lang w:val="en-US" w:eastAsia="zh-CN"/>
        </w:rPr>
        <w:t>分以上，</w:t>
      </w:r>
      <w:r>
        <w:rPr>
          <w:rFonts w:hint="eastAsia" w:ascii="仿宋_GB2312" w:hAnsi="仿宋_GB2312" w:eastAsia="仿宋_GB2312" w:cs="仿宋_GB2312"/>
          <w:sz w:val="32"/>
          <w:szCs w:val="32"/>
        </w:rPr>
        <w:t>考评等级</w:t>
      </w:r>
      <w:r>
        <w:rPr>
          <w:rFonts w:hint="eastAsia" w:ascii="仿宋_GB2312" w:hAnsi="仿宋_GB2312" w:eastAsia="仿宋_GB2312" w:cs="仿宋_GB2312"/>
          <w:sz w:val="32"/>
          <w:szCs w:val="32"/>
          <w:lang w:eastAsia="zh-CN"/>
        </w:rPr>
        <w:t>均</w:t>
      </w:r>
      <w:r>
        <w:rPr>
          <w:rFonts w:hint="eastAsia" w:ascii="仿宋_GB2312" w:hAnsi="仿宋_GB2312" w:eastAsia="仿宋_GB2312" w:cs="仿宋_GB2312"/>
          <w:sz w:val="32"/>
          <w:szCs w:val="32"/>
        </w:rPr>
        <w:t>为优</w:t>
      </w:r>
      <w:r>
        <w:rPr>
          <w:rFonts w:hint="eastAsia" w:ascii="仿宋_GB2312" w:hAnsi="仿宋_GB2312" w:eastAsia="仿宋_GB2312" w:cs="仿宋_GB2312"/>
          <w:sz w:val="32"/>
          <w:szCs w:val="32"/>
          <w:lang w:eastAsia="zh-CN"/>
        </w:rPr>
        <w:t>秀</w:t>
      </w:r>
      <w:r>
        <w:rPr>
          <w:rFonts w:hint="eastAsia" w:ascii="仿宋_GB2312" w:hAnsi="仿宋_GB2312" w:eastAsia="仿宋_GB2312" w:cs="仿宋_GB2312"/>
          <w:sz w:val="32"/>
          <w:szCs w:val="32"/>
        </w:rPr>
        <w:t>。</w:t>
      </w:r>
    </w:p>
    <w:p w14:paraId="398AD530">
      <w:pPr>
        <w:pStyle w:val="4"/>
        <w:keepNext w:val="0"/>
        <w:keepLines w:val="0"/>
        <w:pageBreakBefore w:val="0"/>
        <w:numPr>
          <w:ilvl w:val="0"/>
          <w:numId w:val="0"/>
        </w:numPr>
        <w:kinsoku/>
        <w:wordWrap/>
        <w:overflowPunct/>
        <w:topLinePunct w:val="0"/>
        <w:autoSpaceDE/>
        <w:autoSpaceDN/>
        <w:bidi w:val="0"/>
        <w:adjustRightInd/>
        <w:snapToGrid/>
        <w:spacing w:line="600" w:lineRule="exact"/>
        <w:ind w:left="640" w:leftChars="0"/>
        <w:textAlignment w:val="auto"/>
        <w:rPr>
          <w:rFonts w:hint="eastAsia" w:ascii="楷体_GB2312" w:hAnsi="楷体_GB2312" w:eastAsia="楷体_GB2312" w:cs="楷体_GB2312"/>
          <w:b/>
          <w:bCs/>
          <w:color w:val="auto"/>
          <w:sz w:val="32"/>
          <w:szCs w:val="32"/>
          <w:lang w:val="en-US" w:eastAsia="zh-CN"/>
        </w:rPr>
      </w:pPr>
      <w:r>
        <w:rPr>
          <w:rFonts w:hint="eastAsia" w:ascii="黑体" w:hAnsi="黑体" w:eastAsia="黑体" w:cs="黑体"/>
          <w:b/>
          <w:bCs/>
          <w:color w:val="auto"/>
          <w:sz w:val="32"/>
          <w:szCs w:val="32"/>
          <w:lang w:val="en-US" w:eastAsia="zh-CN"/>
        </w:rPr>
        <w:t>五、项目主要绩效情况分析</w:t>
      </w:r>
    </w:p>
    <w:p w14:paraId="288678D3">
      <w:pPr>
        <w:numPr>
          <w:ilvl w:val="0"/>
          <w:numId w:val="0"/>
        </w:numPr>
        <w:spacing w:before="5" w:line="330" w:lineRule="auto"/>
        <w:ind w:right="313" w:rightChars="0" w:firstLine="644" w:firstLineChars="200"/>
        <w:rPr>
          <w:rFonts w:hint="eastAsia" w:ascii="CESI仿宋-GB2312" w:hAnsi="CESI仿宋-GB2312" w:eastAsia="CESI仿宋-GB2312" w:cs="CESI仿宋-GB2312"/>
          <w:spacing w:val="13"/>
          <w:sz w:val="31"/>
          <w:szCs w:val="31"/>
          <w:lang w:eastAsia="zh-CN"/>
        </w:rPr>
      </w:pPr>
      <w:r>
        <w:rPr>
          <w:rFonts w:hint="eastAsia" w:ascii="CESI仿宋-GB2312" w:hAnsi="CESI仿宋-GB2312" w:eastAsia="CESI仿宋-GB2312" w:cs="CESI仿宋-GB2312"/>
          <w:b w:val="0"/>
          <w:bCs w:val="0"/>
          <w:spacing w:val="6"/>
          <w:sz w:val="31"/>
          <w:szCs w:val="31"/>
          <w:lang w:val="en-US" w:eastAsia="zh-CN"/>
        </w:rPr>
        <w:t>1</w:t>
      </w:r>
      <w:r>
        <w:rPr>
          <w:rFonts w:hint="eastAsia" w:ascii="CESI仿宋-GB2312" w:hAnsi="CESI仿宋-GB2312" w:eastAsia="CESI仿宋-GB2312" w:cs="CESI仿宋-GB2312"/>
          <w:b w:val="0"/>
          <w:bCs w:val="0"/>
          <w:spacing w:val="6"/>
          <w:sz w:val="31"/>
          <w:szCs w:val="31"/>
          <w:lang w:eastAsia="zh-CN"/>
        </w:rPr>
        <w:t>、</w:t>
      </w:r>
      <w:r>
        <w:rPr>
          <w:rFonts w:hint="eastAsia" w:ascii="CESI仿宋-GB2312" w:hAnsi="CESI仿宋-GB2312" w:eastAsia="CESI仿宋-GB2312" w:cs="CESI仿宋-GB2312"/>
          <w:b w:val="0"/>
          <w:bCs w:val="0"/>
          <w:spacing w:val="6"/>
          <w:sz w:val="31"/>
          <w:szCs w:val="31"/>
        </w:rPr>
        <w:t>常态履职稳运行，处置质效双提升。</w:t>
      </w:r>
      <w:r>
        <w:rPr>
          <w:rFonts w:hint="eastAsia" w:ascii="CESI仿宋-GB2312" w:hAnsi="CESI仿宋-GB2312" w:eastAsia="CESI仿宋-GB2312" w:cs="CESI仿宋-GB2312"/>
          <w:spacing w:val="6"/>
          <w:sz w:val="31"/>
          <w:szCs w:val="31"/>
        </w:rPr>
        <w:t>中心支部牵</w:t>
      </w:r>
      <w:r>
        <w:rPr>
          <w:rFonts w:hint="eastAsia" w:ascii="CESI仿宋-GB2312" w:hAnsi="CESI仿宋-GB2312" w:eastAsia="CESI仿宋-GB2312" w:cs="CESI仿宋-GB2312"/>
          <w:spacing w:val="3"/>
          <w:sz w:val="31"/>
          <w:szCs w:val="31"/>
        </w:rPr>
        <w:t>头优化城市管理问题处置流程，构建“网格 +信</w:t>
      </w:r>
      <w:r>
        <w:rPr>
          <w:rFonts w:hint="eastAsia" w:ascii="CESI仿宋-GB2312" w:hAnsi="CESI仿宋-GB2312" w:eastAsia="CESI仿宋-GB2312" w:cs="CESI仿宋-GB2312"/>
          <w:spacing w:val="2"/>
          <w:sz w:val="31"/>
          <w:szCs w:val="31"/>
        </w:rPr>
        <w:t>息采集员+</w:t>
      </w:r>
      <w:r>
        <w:rPr>
          <w:rFonts w:hint="eastAsia" w:ascii="CESI仿宋-GB2312" w:hAnsi="CESI仿宋-GB2312" w:eastAsia="CESI仿宋-GB2312" w:cs="CESI仿宋-GB2312"/>
          <w:sz w:val="31"/>
          <w:szCs w:val="31"/>
        </w:rPr>
        <w:t>AI</w:t>
      </w:r>
      <w:r>
        <w:rPr>
          <w:rFonts w:hint="eastAsia" w:ascii="CESI仿宋-GB2312" w:hAnsi="CESI仿宋-GB2312" w:eastAsia="CESI仿宋-GB2312" w:cs="CESI仿宋-GB2312"/>
          <w:spacing w:val="9"/>
          <w:sz w:val="31"/>
          <w:szCs w:val="31"/>
        </w:rPr>
        <w:t>智能采集”三位一体问题发现体系，依托智慧城管</w:t>
      </w:r>
      <w:r>
        <w:rPr>
          <w:rFonts w:hint="eastAsia" w:ascii="CESI仿宋-GB2312" w:hAnsi="CESI仿宋-GB2312" w:eastAsia="CESI仿宋-GB2312" w:cs="CESI仿宋-GB2312"/>
          <w:spacing w:val="8"/>
          <w:sz w:val="31"/>
          <w:szCs w:val="31"/>
        </w:rPr>
        <w:t>平台实现</w:t>
      </w:r>
      <w:r>
        <w:rPr>
          <w:rFonts w:hint="eastAsia" w:ascii="CESI仿宋-GB2312" w:hAnsi="CESI仿宋-GB2312" w:eastAsia="CESI仿宋-GB2312" w:cs="CESI仿宋-GB2312"/>
          <w:spacing w:val="5"/>
          <w:sz w:val="31"/>
          <w:szCs w:val="31"/>
        </w:rPr>
        <w:t>“一图汇数据、一网通互联、一屏观全局”。2</w:t>
      </w:r>
      <w:r>
        <w:rPr>
          <w:rFonts w:hint="eastAsia" w:ascii="CESI仿宋-GB2312" w:hAnsi="CESI仿宋-GB2312" w:eastAsia="CESI仿宋-GB2312" w:cs="CESI仿宋-GB2312"/>
          <w:spacing w:val="4"/>
          <w:sz w:val="31"/>
          <w:szCs w:val="31"/>
        </w:rPr>
        <w:t>025</w:t>
      </w:r>
      <w:r>
        <w:rPr>
          <w:rFonts w:hint="eastAsia" w:ascii="CESI仿宋-GB2312" w:hAnsi="CESI仿宋-GB2312" w:eastAsia="CESI仿宋-GB2312" w:cs="CESI仿宋-GB2312"/>
          <w:spacing w:val="-58"/>
          <w:sz w:val="31"/>
          <w:szCs w:val="31"/>
        </w:rPr>
        <w:t xml:space="preserve"> </w:t>
      </w:r>
      <w:r>
        <w:rPr>
          <w:rFonts w:hint="eastAsia" w:ascii="CESI仿宋-GB2312" w:hAnsi="CESI仿宋-GB2312" w:eastAsia="CESI仿宋-GB2312" w:cs="CESI仿宋-GB2312"/>
          <w:spacing w:val="4"/>
          <w:sz w:val="31"/>
          <w:szCs w:val="31"/>
        </w:rPr>
        <w:t>年全年受</w:t>
      </w:r>
      <w:r>
        <w:rPr>
          <w:rFonts w:hint="eastAsia" w:ascii="CESI仿宋-GB2312" w:hAnsi="CESI仿宋-GB2312" w:eastAsia="CESI仿宋-GB2312" w:cs="CESI仿宋-GB2312"/>
          <w:spacing w:val="13"/>
          <w:sz w:val="31"/>
          <w:szCs w:val="31"/>
        </w:rPr>
        <w:t>理城市管理问题 300019</w:t>
      </w:r>
      <w:r>
        <w:rPr>
          <w:rFonts w:hint="eastAsia" w:ascii="CESI仿宋-GB2312" w:hAnsi="CESI仿宋-GB2312" w:eastAsia="CESI仿宋-GB2312" w:cs="CESI仿宋-GB2312"/>
          <w:spacing w:val="-24"/>
          <w:sz w:val="31"/>
          <w:szCs w:val="31"/>
        </w:rPr>
        <w:t xml:space="preserve"> </w:t>
      </w:r>
      <w:r>
        <w:rPr>
          <w:rFonts w:hint="eastAsia" w:ascii="CESI仿宋-GB2312" w:hAnsi="CESI仿宋-GB2312" w:eastAsia="CESI仿宋-GB2312" w:cs="CESI仿宋-GB2312"/>
          <w:spacing w:val="13"/>
          <w:sz w:val="31"/>
          <w:szCs w:val="31"/>
        </w:rPr>
        <w:t>件、处置</w:t>
      </w:r>
      <w:r>
        <w:rPr>
          <w:rFonts w:hint="eastAsia" w:ascii="CESI仿宋-GB2312" w:hAnsi="CESI仿宋-GB2312" w:eastAsia="CESI仿宋-GB2312" w:cs="CESI仿宋-GB2312"/>
          <w:spacing w:val="76"/>
          <w:sz w:val="31"/>
          <w:szCs w:val="31"/>
        </w:rPr>
        <w:t xml:space="preserve"> </w:t>
      </w:r>
      <w:r>
        <w:rPr>
          <w:rFonts w:hint="eastAsia" w:ascii="CESI仿宋-GB2312" w:hAnsi="CESI仿宋-GB2312" w:eastAsia="CESI仿宋-GB2312" w:cs="CESI仿宋-GB2312"/>
          <w:spacing w:val="13"/>
          <w:sz w:val="31"/>
          <w:szCs w:val="31"/>
        </w:rPr>
        <w:t>216180 件，</w:t>
      </w:r>
      <w:r>
        <w:rPr>
          <w:rFonts w:hint="eastAsia" w:ascii="CESI仿宋-GB2312" w:hAnsi="CESI仿宋-GB2312" w:eastAsia="CESI仿宋-GB2312" w:cs="CESI仿宋-GB2312"/>
          <w:spacing w:val="-70"/>
          <w:sz w:val="31"/>
          <w:szCs w:val="31"/>
        </w:rPr>
        <w:t xml:space="preserve"> </w:t>
      </w:r>
      <w:r>
        <w:rPr>
          <w:rFonts w:hint="eastAsia" w:ascii="CESI仿宋-GB2312" w:hAnsi="CESI仿宋-GB2312" w:eastAsia="CESI仿宋-GB2312" w:cs="CESI仿宋-GB2312"/>
          <w:spacing w:val="13"/>
          <w:sz w:val="31"/>
          <w:szCs w:val="31"/>
        </w:rPr>
        <w:t>处置</w:t>
      </w:r>
      <w:r>
        <w:rPr>
          <w:rFonts w:hint="eastAsia" w:ascii="CESI仿宋-GB2312" w:hAnsi="CESI仿宋-GB2312" w:eastAsia="CESI仿宋-GB2312" w:cs="CESI仿宋-GB2312"/>
          <w:spacing w:val="13"/>
          <w:sz w:val="31"/>
          <w:szCs w:val="31"/>
          <w:lang w:eastAsia="zh-CN"/>
        </w:rPr>
        <w:t>率达</w:t>
      </w:r>
      <w:r>
        <w:rPr>
          <w:rFonts w:hint="eastAsia" w:ascii="CESI仿宋-GB2312" w:hAnsi="CESI仿宋-GB2312" w:eastAsia="CESI仿宋-GB2312" w:cs="CESI仿宋-GB2312"/>
          <w:spacing w:val="3"/>
          <w:sz w:val="31"/>
          <w:szCs w:val="31"/>
        </w:rPr>
        <w:t>85.50%；受理转办</w:t>
      </w:r>
      <w:r>
        <w:rPr>
          <w:rFonts w:hint="eastAsia" w:ascii="CESI仿宋-GB2312" w:hAnsi="CESI仿宋-GB2312" w:eastAsia="CESI仿宋-GB2312" w:cs="CESI仿宋-GB2312"/>
          <w:spacing w:val="-40"/>
          <w:sz w:val="31"/>
          <w:szCs w:val="31"/>
        </w:rPr>
        <w:t xml:space="preserve"> </w:t>
      </w:r>
      <w:r>
        <w:rPr>
          <w:rFonts w:hint="eastAsia" w:ascii="CESI仿宋-GB2312" w:hAnsi="CESI仿宋-GB2312" w:eastAsia="CESI仿宋-GB2312" w:cs="CESI仿宋-GB2312"/>
          <w:spacing w:val="3"/>
          <w:sz w:val="31"/>
          <w:szCs w:val="31"/>
        </w:rPr>
        <w:t>12345</w:t>
      </w:r>
      <w:r>
        <w:rPr>
          <w:rFonts w:hint="eastAsia" w:ascii="CESI仿宋-GB2312" w:hAnsi="CESI仿宋-GB2312" w:eastAsia="CESI仿宋-GB2312" w:cs="CESI仿宋-GB2312"/>
          <w:spacing w:val="-56"/>
          <w:sz w:val="31"/>
          <w:szCs w:val="31"/>
        </w:rPr>
        <w:t xml:space="preserve"> </w:t>
      </w:r>
      <w:r>
        <w:rPr>
          <w:rFonts w:hint="eastAsia" w:ascii="CESI仿宋-GB2312" w:hAnsi="CESI仿宋-GB2312" w:eastAsia="CESI仿宋-GB2312" w:cs="CESI仿宋-GB2312"/>
          <w:spacing w:val="3"/>
          <w:sz w:val="31"/>
          <w:szCs w:val="31"/>
        </w:rPr>
        <w:t>政府热线问题</w:t>
      </w:r>
      <w:r>
        <w:rPr>
          <w:rFonts w:hint="eastAsia" w:ascii="CESI仿宋-GB2312" w:hAnsi="CESI仿宋-GB2312" w:eastAsia="CESI仿宋-GB2312" w:cs="CESI仿宋-GB2312"/>
          <w:spacing w:val="-48"/>
          <w:sz w:val="31"/>
          <w:szCs w:val="31"/>
        </w:rPr>
        <w:t xml:space="preserve"> </w:t>
      </w:r>
      <w:r>
        <w:rPr>
          <w:rFonts w:hint="eastAsia" w:ascii="CESI仿宋-GB2312" w:hAnsi="CESI仿宋-GB2312" w:eastAsia="CESI仿宋-GB2312" w:cs="CESI仿宋-GB2312"/>
          <w:spacing w:val="3"/>
          <w:sz w:val="31"/>
          <w:szCs w:val="31"/>
        </w:rPr>
        <w:t>8671</w:t>
      </w:r>
      <w:r>
        <w:rPr>
          <w:rFonts w:hint="eastAsia" w:ascii="CESI仿宋-GB2312" w:hAnsi="CESI仿宋-GB2312" w:eastAsia="CESI仿宋-GB2312" w:cs="CESI仿宋-GB2312"/>
          <w:spacing w:val="-66"/>
          <w:sz w:val="31"/>
          <w:szCs w:val="31"/>
        </w:rPr>
        <w:t xml:space="preserve"> </w:t>
      </w:r>
      <w:r>
        <w:rPr>
          <w:rFonts w:hint="eastAsia" w:ascii="CESI仿宋-GB2312" w:hAnsi="CESI仿宋-GB2312" w:eastAsia="CESI仿宋-GB2312" w:cs="CESI仿宋-GB2312"/>
          <w:spacing w:val="3"/>
          <w:sz w:val="31"/>
          <w:szCs w:val="31"/>
        </w:rPr>
        <w:t>件、结</w:t>
      </w:r>
      <w:r>
        <w:rPr>
          <w:rFonts w:hint="eastAsia" w:ascii="CESI仿宋-GB2312" w:hAnsi="CESI仿宋-GB2312" w:eastAsia="CESI仿宋-GB2312" w:cs="CESI仿宋-GB2312"/>
          <w:spacing w:val="2"/>
          <w:sz w:val="31"/>
          <w:szCs w:val="31"/>
        </w:rPr>
        <w:t>案</w:t>
      </w:r>
      <w:r>
        <w:rPr>
          <w:rFonts w:hint="eastAsia" w:ascii="CESI仿宋-GB2312" w:hAnsi="CESI仿宋-GB2312" w:eastAsia="CESI仿宋-GB2312" w:cs="CESI仿宋-GB2312"/>
          <w:spacing w:val="-46"/>
          <w:sz w:val="31"/>
          <w:szCs w:val="31"/>
        </w:rPr>
        <w:t xml:space="preserve"> </w:t>
      </w:r>
      <w:r>
        <w:rPr>
          <w:rFonts w:hint="eastAsia" w:ascii="CESI仿宋-GB2312" w:hAnsi="CESI仿宋-GB2312" w:eastAsia="CESI仿宋-GB2312" w:cs="CESI仿宋-GB2312"/>
          <w:spacing w:val="2"/>
          <w:sz w:val="31"/>
          <w:szCs w:val="31"/>
        </w:rPr>
        <w:t>8508</w:t>
      </w:r>
      <w:r>
        <w:rPr>
          <w:rFonts w:hint="eastAsia" w:ascii="CESI仿宋-GB2312" w:hAnsi="CESI仿宋-GB2312" w:eastAsia="CESI仿宋-GB2312" w:cs="CESI仿宋-GB2312"/>
          <w:sz w:val="31"/>
          <w:szCs w:val="31"/>
        </w:rPr>
        <w:t xml:space="preserve"> </w:t>
      </w:r>
      <w:r>
        <w:rPr>
          <w:rFonts w:hint="eastAsia" w:ascii="CESI仿宋-GB2312" w:hAnsi="CESI仿宋-GB2312" w:eastAsia="CESI仿宋-GB2312" w:cs="CESI仿宋-GB2312"/>
          <w:spacing w:val="10"/>
          <w:sz w:val="31"/>
          <w:szCs w:val="31"/>
        </w:rPr>
        <w:t>件，结案率</w:t>
      </w:r>
      <w:r>
        <w:rPr>
          <w:rFonts w:hint="eastAsia" w:ascii="CESI仿宋-GB2312" w:hAnsi="CESI仿宋-GB2312" w:eastAsia="CESI仿宋-GB2312" w:cs="CESI仿宋-GB2312"/>
          <w:spacing w:val="-34"/>
          <w:sz w:val="31"/>
          <w:szCs w:val="31"/>
        </w:rPr>
        <w:t xml:space="preserve"> </w:t>
      </w:r>
      <w:r>
        <w:rPr>
          <w:rFonts w:hint="eastAsia" w:ascii="CESI仿宋-GB2312" w:hAnsi="CESI仿宋-GB2312" w:eastAsia="CESI仿宋-GB2312" w:cs="CESI仿宋-GB2312"/>
          <w:spacing w:val="10"/>
          <w:sz w:val="31"/>
          <w:szCs w:val="31"/>
        </w:rPr>
        <w:t>98%，案件处置时间较往年进一步压缩，按期处</w:t>
      </w:r>
      <w:r>
        <w:rPr>
          <w:rFonts w:hint="eastAsia" w:ascii="CESI仿宋-GB2312" w:hAnsi="CESI仿宋-GB2312" w:eastAsia="CESI仿宋-GB2312" w:cs="CESI仿宋-GB2312"/>
          <w:sz w:val="31"/>
          <w:szCs w:val="31"/>
        </w:rPr>
        <w:t xml:space="preserve"> </w:t>
      </w:r>
      <w:r>
        <w:rPr>
          <w:rFonts w:hint="eastAsia" w:ascii="CESI仿宋-GB2312" w:hAnsi="CESI仿宋-GB2312" w:eastAsia="CESI仿宋-GB2312" w:cs="CESI仿宋-GB2312"/>
          <w:spacing w:val="4"/>
          <w:sz w:val="31"/>
          <w:szCs w:val="31"/>
        </w:rPr>
        <w:t>置率稳步提升。连续</w:t>
      </w:r>
      <w:r>
        <w:rPr>
          <w:rFonts w:hint="eastAsia" w:ascii="CESI仿宋-GB2312" w:hAnsi="CESI仿宋-GB2312" w:eastAsia="CESI仿宋-GB2312" w:cs="CESI仿宋-GB2312"/>
          <w:spacing w:val="-30"/>
          <w:sz w:val="31"/>
          <w:szCs w:val="31"/>
        </w:rPr>
        <w:t xml:space="preserve"> </w:t>
      </w:r>
      <w:r>
        <w:rPr>
          <w:rFonts w:hint="eastAsia" w:ascii="CESI仿宋-GB2312" w:hAnsi="CESI仿宋-GB2312" w:eastAsia="CESI仿宋-GB2312" w:cs="CESI仿宋-GB2312"/>
          <w:spacing w:val="4"/>
          <w:sz w:val="31"/>
          <w:szCs w:val="31"/>
        </w:rPr>
        <w:t>3</w:t>
      </w:r>
      <w:r>
        <w:rPr>
          <w:rFonts w:hint="eastAsia" w:ascii="CESI仿宋-GB2312" w:hAnsi="CESI仿宋-GB2312" w:eastAsia="CESI仿宋-GB2312" w:cs="CESI仿宋-GB2312"/>
          <w:spacing w:val="-58"/>
          <w:sz w:val="31"/>
          <w:szCs w:val="31"/>
        </w:rPr>
        <w:t xml:space="preserve"> </w:t>
      </w:r>
      <w:r>
        <w:rPr>
          <w:rFonts w:hint="eastAsia" w:ascii="CESI仿宋-GB2312" w:hAnsi="CESI仿宋-GB2312" w:eastAsia="CESI仿宋-GB2312" w:cs="CESI仿宋-GB2312"/>
          <w:spacing w:val="4"/>
          <w:sz w:val="31"/>
          <w:szCs w:val="31"/>
        </w:rPr>
        <w:t>年参与</w:t>
      </w:r>
      <w:r>
        <w:rPr>
          <w:rFonts w:hint="eastAsia" w:ascii="CESI仿宋-GB2312" w:hAnsi="CESI仿宋-GB2312" w:eastAsia="CESI仿宋-GB2312" w:cs="CESI仿宋-GB2312"/>
          <w:spacing w:val="-43"/>
          <w:sz w:val="31"/>
          <w:szCs w:val="31"/>
        </w:rPr>
        <w:t xml:space="preserve"> </w:t>
      </w:r>
      <w:r>
        <w:rPr>
          <w:rFonts w:hint="eastAsia" w:ascii="CESI仿宋-GB2312" w:hAnsi="CESI仿宋-GB2312" w:eastAsia="CESI仿宋-GB2312" w:cs="CESI仿宋-GB2312"/>
          <w:spacing w:val="4"/>
          <w:sz w:val="31"/>
          <w:szCs w:val="31"/>
        </w:rPr>
        <w:t>12345</w:t>
      </w:r>
      <w:r>
        <w:rPr>
          <w:rFonts w:hint="eastAsia" w:ascii="CESI仿宋-GB2312" w:hAnsi="CESI仿宋-GB2312" w:eastAsia="CESI仿宋-GB2312" w:cs="CESI仿宋-GB2312"/>
          <w:spacing w:val="-56"/>
          <w:sz w:val="31"/>
          <w:szCs w:val="31"/>
        </w:rPr>
        <w:t xml:space="preserve"> </w:t>
      </w:r>
      <w:r>
        <w:rPr>
          <w:rFonts w:hint="eastAsia" w:ascii="CESI仿宋-GB2312" w:hAnsi="CESI仿宋-GB2312" w:eastAsia="CESI仿宋-GB2312" w:cs="CESI仿宋-GB2312"/>
          <w:spacing w:val="4"/>
          <w:sz w:val="31"/>
          <w:szCs w:val="31"/>
        </w:rPr>
        <w:t>政府热线“领导接听日”</w:t>
      </w:r>
      <w:r>
        <w:rPr>
          <w:rFonts w:hint="eastAsia" w:ascii="CESI仿宋-GB2312" w:hAnsi="CESI仿宋-GB2312" w:eastAsia="CESI仿宋-GB2312" w:cs="CESI仿宋-GB2312"/>
          <w:spacing w:val="9"/>
          <w:sz w:val="31"/>
          <w:szCs w:val="31"/>
        </w:rPr>
        <w:t>活动，获多方肯定，市民满意度持续攀升。</w:t>
      </w:r>
    </w:p>
    <w:p w14:paraId="0A65C10E">
      <w:pPr>
        <w:numPr>
          <w:ilvl w:val="0"/>
          <w:numId w:val="0"/>
        </w:numPr>
        <w:spacing w:before="5" w:line="330" w:lineRule="auto"/>
        <w:ind w:right="313" w:rightChars="0" w:firstLine="664" w:firstLineChars="200"/>
        <w:rPr>
          <w:rFonts w:hint="eastAsia" w:ascii="CESI仿宋-GB2312" w:hAnsi="CESI仿宋-GB2312" w:eastAsia="CESI仿宋-GB2312" w:cs="CESI仿宋-GB2312"/>
          <w:spacing w:val="6"/>
          <w:kern w:val="0"/>
          <w:sz w:val="32"/>
          <w:szCs w:val="32"/>
          <w:lang w:val="en-US" w:eastAsia="zh-CN" w:bidi="ar-SA"/>
        </w:rPr>
      </w:pPr>
      <w:r>
        <w:rPr>
          <w:rFonts w:hint="eastAsia" w:ascii="CESI仿宋-GB2312" w:hAnsi="CESI仿宋-GB2312" w:eastAsia="CESI仿宋-GB2312" w:cs="CESI仿宋-GB2312"/>
          <w:spacing w:val="6"/>
          <w:kern w:val="0"/>
          <w:sz w:val="32"/>
          <w:szCs w:val="32"/>
          <w:lang w:val="en-US" w:eastAsia="zh-CN" w:bidi="ar-SA"/>
        </w:rPr>
        <w:t>2、精准破题解难题，协同共治见实效。针对城市管理中的推诿争议难点问题，班子成员牵头协调，组织市政维护管理中心、区住建局等责任单位，对竹荫街井盖异响、岳阳大道与枣子山路交叉口停车场围栏倒伏等 6 个问题开展现场确权，破除处置壁垒。聚焦全国文明城市创建工作，召开专题部署会 3 次，细化任务分工，启动视频监控点位专项巡查行动，调整信息采集重点区域，为创文迎检提供坚实数据支撑。</w:t>
      </w:r>
    </w:p>
    <w:p w14:paraId="3DAE863D">
      <w:pPr>
        <w:spacing w:before="213" w:line="324" w:lineRule="auto"/>
        <w:ind w:left="25" w:right="315" w:firstLine="634"/>
        <w:rPr>
          <w:rFonts w:hint="eastAsia" w:ascii="CESI仿宋-GB2312" w:hAnsi="CESI仿宋-GB2312" w:eastAsia="CESI仿宋-GB2312" w:cs="CESI仿宋-GB2312"/>
          <w:sz w:val="31"/>
          <w:szCs w:val="31"/>
        </w:rPr>
      </w:pPr>
      <w:r>
        <w:rPr>
          <w:rFonts w:hint="eastAsia" w:ascii="CESI仿宋-GB2312" w:hAnsi="CESI仿宋-GB2312" w:eastAsia="CESI仿宋-GB2312" w:cs="CESI仿宋-GB2312"/>
          <w:b w:val="0"/>
          <w:bCs w:val="0"/>
          <w:spacing w:val="6"/>
          <w:sz w:val="31"/>
          <w:szCs w:val="31"/>
          <w:lang w:val="en-US" w:eastAsia="zh-CN"/>
        </w:rPr>
        <w:t>3、</w:t>
      </w:r>
      <w:r>
        <w:rPr>
          <w:rFonts w:hint="eastAsia" w:ascii="CESI仿宋-GB2312" w:hAnsi="CESI仿宋-GB2312" w:eastAsia="CESI仿宋-GB2312" w:cs="CESI仿宋-GB2312"/>
          <w:b w:val="0"/>
          <w:bCs w:val="0"/>
          <w:spacing w:val="6"/>
          <w:sz w:val="31"/>
          <w:szCs w:val="31"/>
        </w:rPr>
        <w:t>创新驱动强支撑，智慧治理谱新篇。</w:t>
      </w:r>
      <w:r>
        <w:rPr>
          <w:rFonts w:hint="eastAsia" w:ascii="CESI仿宋-GB2312" w:hAnsi="CESI仿宋-GB2312" w:eastAsia="CESI仿宋-GB2312" w:cs="CESI仿宋-GB2312"/>
          <w:spacing w:val="6"/>
          <w:sz w:val="31"/>
          <w:szCs w:val="31"/>
        </w:rPr>
        <w:t>筑牢防涝安</w:t>
      </w:r>
      <w:r>
        <w:rPr>
          <w:rFonts w:hint="eastAsia" w:ascii="CESI仿宋-GB2312" w:hAnsi="CESI仿宋-GB2312" w:eastAsia="CESI仿宋-GB2312" w:cs="CESI仿宋-GB2312"/>
          <w:spacing w:val="8"/>
          <w:sz w:val="31"/>
          <w:szCs w:val="31"/>
        </w:rPr>
        <w:t>全屏障。持续优化智能防涝指挥系统，整合 22 个积水点监</w:t>
      </w:r>
      <w:r>
        <w:rPr>
          <w:rFonts w:hint="eastAsia" w:ascii="CESI仿宋-GB2312" w:hAnsi="CESI仿宋-GB2312" w:eastAsia="CESI仿宋-GB2312" w:cs="CESI仿宋-GB2312"/>
          <w:spacing w:val="9"/>
          <w:sz w:val="31"/>
          <w:szCs w:val="31"/>
        </w:rPr>
        <w:t>测、220 余个智能井盖、5</w:t>
      </w:r>
      <w:r>
        <w:rPr>
          <w:rFonts w:hint="eastAsia" w:ascii="CESI仿宋-GB2312" w:hAnsi="CESI仿宋-GB2312" w:eastAsia="CESI仿宋-GB2312" w:cs="CESI仿宋-GB2312"/>
          <w:spacing w:val="-33"/>
          <w:sz w:val="31"/>
          <w:szCs w:val="31"/>
        </w:rPr>
        <w:t xml:space="preserve"> </w:t>
      </w:r>
      <w:r>
        <w:rPr>
          <w:rFonts w:hint="eastAsia" w:ascii="CESI仿宋-GB2312" w:hAnsi="CESI仿宋-GB2312" w:eastAsia="CESI仿宋-GB2312" w:cs="CESI仿宋-GB2312"/>
          <w:spacing w:val="9"/>
          <w:sz w:val="31"/>
          <w:szCs w:val="31"/>
        </w:rPr>
        <w:t>大湖水位视频及鹰眼监控资源，完成</w:t>
      </w:r>
      <w:r>
        <w:rPr>
          <w:rFonts w:hint="eastAsia" w:ascii="CESI仿宋-GB2312" w:hAnsi="CESI仿宋-GB2312" w:eastAsia="CESI仿宋-GB2312" w:cs="CESI仿宋-GB2312"/>
          <w:spacing w:val="-36"/>
          <w:sz w:val="31"/>
          <w:szCs w:val="31"/>
        </w:rPr>
        <w:t xml:space="preserve"> </w:t>
      </w:r>
      <w:r>
        <w:rPr>
          <w:rFonts w:hint="eastAsia" w:ascii="CESI仿宋-GB2312" w:hAnsi="CESI仿宋-GB2312" w:eastAsia="CESI仿宋-GB2312" w:cs="CESI仿宋-GB2312"/>
          <w:spacing w:val="9"/>
          <w:sz w:val="31"/>
          <w:szCs w:val="31"/>
        </w:rPr>
        <w:t>10</w:t>
      </w:r>
      <w:r>
        <w:rPr>
          <w:rFonts w:hint="eastAsia" w:ascii="CESI仿宋-GB2312" w:hAnsi="CESI仿宋-GB2312" w:eastAsia="CESI仿宋-GB2312" w:cs="CESI仿宋-GB2312"/>
          <w:spacing w:val="-41"/>
          <w:sz w:val="31"/>
          <w:szCs w:val="31"/>
        </w:rPr>
        <w:t xml:space="preserve"> </w:t>
      </w:r>
      <w:r>
        <w:rPr>
          <w:rFonts w:hint="eastAsia" w:ascii="CESI仿宋-GB2312" w:hAnsi="CESI仿宋-GB2312" w:eastAsia="CESI仿宋-GB2312" w:cs="CESI仿宋-GB2312"/>
          <w:spacing w:val="9"/>
          <w:sz w:val="31"/>
          <w:szCs w:val="31"/>
        </w:rPr>
        <w:t>类城管要素数据对接。汛期来临之际，</w:t>
      </w:r>
      <w:r>
        <w:rPr>
          <w:rFonts w:hint="eastAsia" w:ascii="CESI仿宋-GB2312" w:hAnsi="CESI仿宋-GB2312" w:eastAsia="CESI仿宋-GB2312" w:cs="CESI仿宋-GB2312"/>
          <w:spacing w:val="-81"/>
          <w:sz w:val="31"/>
          <w:szCs w:val="31"/>
        </w:rPr>
        <w:t xml:space="preserve"> </w:t>
      </w:r>
      <w:r>
        <w:rPr>
          <w:rFonts w:hint="eastAsia" w:ascii="CESI仿宋-GB2312" w:hAnsi="CESI仿宋-GB2312" w:eastAsia="CESI仿宋-GB2312" w:cs="CESI仿宋-GB2312"/>
          <w:spacing w:val="9"/>
          <w:sz w:val="31"/>
          <w:szCs w:val="31"/>
        </w:rPr>
        <w:t>中心支部带头坚守岗位，组织干部职工通宵驻守指挥平台，精准</w:t>
      </w:r>
      <w:r>
        <w:rPr>
          <w:rFonts w:hint="eastAsia" w:ascii="CESI仿宋-GB2312" w:hAnsi="CESI仿宋-GB2312" w:eastAsia="CESI仿宋-GB2312" w:cs="CESI仿宋-GB2312"/>
          <w:spacing w:val="8"/>
          <w:sz w:val="31"/>
          <w:szCs w:val="31"/>
        </w:rPr>
        <w:t>调度排</w:t>
      </w:r>
      <w:r>
        <w:rPr>
          <w:rFonts w:hint="eastAsia" w:ascii="CESI仿宋-GB2312" w:hAnsi="CESI仿宋-GB2312" w:eastAsia="CESI仿宋-GB2312" w:cs="CESI仿宋-GB2312"/>
          <w:spacing w:val="9"/>
          <w:sz w:val="31"/>
          <w:szCs w:val="31"/>
        </w:rPr>
        <w:t>涝力量，发布预警信息数十次，全力保障市民出行安全。</w:t>
      </w:r>
    </w:p>
    <w:p w14:paraId="2CC9F1D5">
      <w:pPr>
        <w:spacing w:before="198" w:line="344" w:lineRule="auto"/>
        <w:ind w:left="26" w:firstLine="648"/>
        <w:jc w:val="both"/>
        <w:rPr>
          <w:rFonts w:ascii="FangSong_GB2312" w:hAnsi="FangSong_GB2312" w:eastAsia="FangSong_GB2312" w:cs="FangSong_GB2312"/>
          <w:sz w:val="31"/>
          <w:szCs w:val="31"/>
        </w:rPr>
      </w:pPr>
      <w:r>
        <w:rPr>
          <w:rFonts w:hint="eastAsia" w:ascii="CESI仿宋-GB2312" w:hAnsi="CESI仿宋-GB2312" w:eastAsia="CESI仿宋-GB2312" w:cs="CESI仿宋-GB2312"/>
          <w:spacing w:val="12"/>
          <w:sz w:val="31"/>
          <w:szCs w:val="31"/>
        </w:rPr>
        <w:t>推进生命线工程建设。在</w:t>
      </w:r>
      <w:r>
        <w:rPr>
          <w:rFonts w:hint="eastAsia" w:ascii="CESI仿宋-GB2312" w:hAnsi="CESI仿宋-GB2312" w:eastAsia="CESI仿宋-GB2312" w:cs="CESI仿宋-GB2312"/>
          <w:spacing w:val="-40"/>
          <w:sz w:val="31"/>
          <w:szCs w:val="31"/>
        </w:rPr>
        <w:t xml:space="preserve"> </w:t>
      </w:r>
      <w:r>
        <w:rPr>
          <w:rFonts w:hint="eastAsia" w:ascii="CESI仿宋-GB2312" w:hAnsi="CESI仿宋-GB2312" w:eastAsia="CESI仿宋-GB2312" w:cs="CESI仿宋-GB2312"/>
          <w:spacing w:val="12"/>
          <w:sz w:val="31"/>
          <w:szCs w:val="31"/>
        </w:rPr>
        <w:t>2024</w:t>
      </w:r>
      <w:r>
        <w:rPr>
          <w:rFonts w:hint="eastAsia" w:ascii="CESI仿宋-GB2312" w:hAnsi="CESI仿宋-GB2312" w:eastAsia="CESI仿宋-GB2312" w:cs="CESI仿宋-GB2312"/>
          <w:spacing w:val="-51"/>
          <w:sz w:val="31"/>
          <w:szCs w:val="31"/>
        </w:rPr>
        <w:t xml:space="preserve"> </w:t>
      </w:r>
      <w:r>
        <w:rPr>
          <w:rFonts w:hint="eastAsia" w:ascii="CESI仿宋-GB2312" w:hAnsi="CESI仿宋-GB2312" w:eastAsia="CESI仿宋-GB2312" w:cs="CESI仿宋-GB2312"/>
          <w:spacing w:val="12"/>
          <w:sz w:val="31"/>
          <w:szCs w:val="31"/>
        </w:rPr>
        <w:t>年成功申报全省城市基</w:t>
      </w:r>
      <w:r>
        <w:rPr>
          <w:rFonts w:hint="eastAsia" w:ascii="CESI仿宋-GB2312" w:hAnsi="CESI仿宋-GB2312" w:eastAsia="CESI仿宋-GB2312" w:cs="CESI仿宋-GB2312"/>
          <w:spacing w:val="5"/>
          <w:sz w:val="31"/>
          <w:szCs w:val="31"/>
        </w:rPr>
        <w:t>础设施生命线安全工程试点的基础上，2025</w:t>
      </w:r>
      <w:r>
        <w:rPr>
          <w:rFonts w:hint="eastAsia" w:ascii="CESI仿宋-GB2312" w:hAnsi="CESI仿宋-GB2312" w:eastAsia="CESI仿宋-GB2312" w:cs="CESI仿宋-GB2312"/>
          <w:spacing w:val="-58"/>
          <w:sz w:val="31"/>
          <w:szCs w:val="31"/>
        </w:rPr>
        <w:t xml:space="preserve"> </w:t>
      </w:r>
      <w:r>
        <w:rPr>
          <w:rFonts w:hint="eastAsia" w:ascii="CESI仿宋-GB2312" w:hAnsi="CESI仿宋-GB2312" w:eastAsia="CESI仿宋-GB2312" w:cs="CESI仿宋-GB2312"/>
          <w:spacing w:val="5"/>
          <w:sz w:val="31"/>
          <w:szCs w:val="31"/>
        </w:rPr>
        <w:t>年</w:t>
      </w:r>
      <w:r>
        <w:rPr>
          <w:rFonts w:hint="eastAsia" w:ascii="CESI仿宋-GB2312" w:hAnsi="CESI仿宋-GB2312" w:eastAsia="CESI仿宋-GB2312" w:cs="CESI仿宋-GB2312"/>
          <w:spacing w:val="4"/>
          <w:sz w:val="31"/>
          <w:szCs w:val="31"/>
        </w:rPr>
        <w:t>牵头推进城陵</w:t>
      </w:r>
      <w:r>
        <w:rPr>
          <w:rFonts w:hint="eastAsia" w:ascii="CESI仿宋-GB2312" w:hAnsi="CESI仿宋-GB2312" w:eastAsia="CESI仿宋-GB2312" w:cs="CESI仿宋-GB2312"/>
          <w:spacing w:val="2"/>
          <w:sz w:val="31"/>
          <w:szCs w:val="31"/>
        </w:rPr>
        <w:t>矶新港区</w:t>
      </w:r>
      <w:r>
        <w:rPr>
          <w:rFonts w:hint="eastAsia" w:ascii="CESI仿宋-GB2312" w:hAnsi="CESI仿宋-GB2312" w:eastAsia="CESI仿宋-GB2312" w:cs="CESI仿宋-GB2312"/>
          <w:spacing w:val="-26"/>
          <w:sz w:val="31"/>
          <w:szCs w:val="31"/>
        </w:rPr>
        <w:t xml:space="preserve"> </w:t>
      </w:r>
      <w:r>
        <w:rPr>
          <w:rFonts w:hint="eastAsia" w:ascii="CESI仿宋-GB2312" w:hAnsi="CESI仿宋-GB2312" w:eastAsia="CESI仿宋-GB2312" w:cs="CESI仿宋-GB2312"/>
          <w:spacing w:val="2"/>
          <w:sz w:val="31"/>
          <w:szCs w:val="31"/>
        </w:rPr>
        <w:t>100</w:t>
      </w:r>
      <w:r>
        <w:rPr>
          <w:rFonts w:hint="eastAsia" w:ascii="CESI仿宋-GB2312" w:hAnsi="CESI仿宋-GB2312" w:eastAsia="CESI仿宋-GB2312" w:cs="CESI仿宋-GB2312"/>
          <w:spacing w:val="-57"/>
          <w:sz w:val="31"/>
          <w:szCs w:val="31"/>
        </w:rPr>
        <w:t xml:space="preserve"> </w:t>
      </w:r>
      <w:r>
        <w:rPr>
          <w:rFonts w:hint="eastAsia" w:ascii="CESI仿宋-GB2312" w:hAnsi="CESI仿宋-GB2312" w:eastAsia="CESI仿宋-GB2312" w:cs="CESI仿宋-GB2312"/>
          <w:spacing w:val="2"/>
          <w:sz w:val="31"/>
          <w:szCs w:val="31"/>
        </w:rPr>
        <w:t>平方公里示范区建设，覆盖</w:t>
      </w:r>
      <w:r>
        <w:rPr>
          <w:rFonts w:hint="eastAsia" w:ascii="CESI仿宋-GB2312" w:hAnsi="CESI仿宋-GB2312" w:eastAsia="CESI仿宋-GB2312" w:cs="CESI仿宋-GB2312"/>
          <w:spacing w:val="-46"/>
          <w:sz w:val="31"/>
          <w:szCs w:val="31"/>
        </w:rPr>
        <w:t xml:space="preserve"> </w:t>
      </w:r>
      <w:r>
        <w:rPr>
          <w:rFonts w:hint="eastAsia" w:ascii="CESI仿宋-GB2312" w:hAnsi="CESI仿宋-GB2312" w:eastAsia="CESI仿宋-GB2312" w:cs="CESI仿宋-GB2312"/>
          <w:spacing w:val="2"/>
          <w:sz w:val="31"/>
          <w:szCs w:val="31"/>
        </w:rPr>
        <w:t>62</w:t>
      </w:r>
      <w:r>
        <w:rPr>
          <w:rFonts w:hint="eastAsia" w:ascii="CESI仿宋-GB2312" w:hAnsi="CESI仿宋-GB2312" w:eastAsia="CESI仿宋-GB2312" w:cs="CESI仿宋-GB2312"/>
          <w:spacing w:val="-63"/>
          <w:sz w:val="31"/>
          <w:szCs w:val="31"/>
        </w:rPr>
        <w:t xml:space="preserve"> </w:t>
      </w:r>
      <w:r>
        <w:rPr>
          <w:rFonts w:hint="eastAsia" w:ascii="CESI仿宋-GB2312" w:hAnsi="CESI仿宋-GB2312" w:eastAsia="CESI仿宋-GB2312" w:cs="CESI仿宋-GB2312"/>
          <w:spacing w:val="2"/>
          <w:sz w:val="31"/>
          <w:szCs w:val="31"/>
        </w:rPr>
        <w:t>公里燃气管网、</w:t>
      </w:r>
      <w:r>
        <w:rPr>
          <w:rFonts w:hint="eastAsia" w:ascii="CESI仿宋-GB2312" w:hAnsi="CESI仿宋-GB2312" w:eastAsia="CESI仿宋-GB2312" w:cs="CESI仿宋-GB2312"/>
          <w:sz w:val="31"/>
          <w:szCs w:val="31"/>
        </w:rPr>
        <w:t xml:space="preserve"> </w:t>
      </w:r>
      <w:r>
        <w:rPr>
          <w:rFonts w:hint="eastAsia" w:ascii="CESI仿宋-GB2312" w:hAnsi="CESI仿宋-GB2312" w:eastAsia="CESI仿宋-GB2312" w:cs="CESI仿宋-GB2312"/>
          <w:spacing w:val="7"/>
          <w:sz w:val="31"/>
          <w:szCs w:val="31"/>
        </w:rPr>
        <w:t>264</w:t>
      </w:r>
      <w:r>
        <w:rPr>
          <w:rFonts w:hint="eastAsia" w:ascii="CESI仿宋-GB2312" w:hAnsi="CESI仿宋-GB2312" w:eastAsia="CESI仿宋-GB2312" w:cs="CESI仿宋-GB2312"/>
          <w:spacing w:val="-54"/>
          <w:sz w:val="31"/>
          <w:szCs w:val="31"/>
        </w:rPr>
        <w:t xml:space="preserve"> </w:t>
      </w:r>
      <w:r>
        <w:rPr>
          <w:rFonts w:hint="eastAsia" w:ascii="CESI仿宋-GB2312" w:hAnsi="CESI仿宋-GB2312" w:eastAsia="CESI仿宋-GB2312" w:cs="CESI仿宋-GB2312"/>
          <w:spacing w:val="7"/>
          <w:sz w:val="31"/>
          <w:szCs w:val="31"/>
        </w:rPr>
        <w:t>公里排水管网、83</w:t>
      </w:r>
      <w:r>
        <w:rPr>
          <w:rFonts w:hint="eastAsia" w:ascii="CESI仿宋-GB2312" w:hAnsi="CESI仿宋-GB2312" w:eastAsia="CESI仿宋-GB2312" w:cs="CESI仿宋-GB2312"/>
          <w:spacing w:val="-66"/>
          <w:sz w:val="31"/>
          <w:szCs w:val="31"/>
        </w:rPr>
        <w:t xml:space="preserve"> </w:t>
      </w:r>
      <w:r>
        <w:rPr>
          <w:rFonts w:hint="eastAsia" w:ascii="CESI仿宋-GB2312" w:hAnsi="CESI仿宋-GB2312" w:eastAsia="CESI仿宋-GB2312" w:cs="CESI仿宋-GB2312"/>
          <w:spacing w:val="7"/>
          <w:sz w:val="31"/>
          <w:szCs w:val="31"/>
        </w:rPr>
        <w:t>公里供水主干管网，有力支撑城市安</w:t>
      </w:r>
      <w:r>
        <w:rPr>
          <w:rFonts w:hint="eastAsia" w:ascii="CESI仿宋-GB2312" w:hAnsi="CESI仿宋-GB2312" w:eastAsia="CESI仿宋-GB2312" w:cs="CESI仿宋-GB2312"/>
          <w:spacing w:val="6"/>
          <w:sz w:val="31"/>
          <w:szCs w:val="31"/>
        </w:rPr>
        <w:t>全运行监测。指导平江县争取专项资金</w:t>
      </w:r>
      <w:r>
        <w:rPr>
          <w:rFonts w:hint="eastAsia" w:ascii="CESI仿宋-GB2312" w:hAnsi="CESI仿宋-GB2312" w:eastAsia="CESI仿宋-GB2312" w:cs="CESI仿宋-GB2312"/>
          <w:spacing w:val="-36"/>
          <w:sz w:val="31"/>
          <w:szCs w:val="31"/>
        </w:rPr>
        <w:t xml:space="preserve"> </w:t>
      </w:r>
      <w:r>
        <w:rPr>
          <w:rFonts w:hint="eastAsia" w:ascii="CESI仿宋-GB2312" w:hAnsi="CESI仿宋-GB2312" w:eastAsia="CESI仿宋-GB2312" w:cs="CESI仿宋-GB2312"/>
          <w:spacing w:val="6"/>
          <w:sz w:val="31"/>
          <w:szCs w:val="31"/>
        </w:rPr>
        <w:t>330</w:t>
      </w:r>
      <w:r>
        <w:rPr>
          <w:rFonts w:hint="eastAsia" w:ascii="CESI仿宋-GB2312" w:hAnsi="CESI仿宋-GB2312" w:eastAsia="CESI仿宋-GB2312" w:cs="CESI仿宋-GB2312"/>
          <w:spacing w:val="-47"/>
          <w:sz w:val="31"/>
          <w:szCs w:val="31"/>
        </w:rPr>
        <w:t xml:space="preserve"> </w:t>
      </w:r>
      <w:r>
        <w:rPr>
          <w:rFonts w:hint="eastAsia" w:ascii="CESI仿宋-GB2312" w:hAnsi="CESI仿宋-GB2312" w:eastAsia="CESI仿宋-GB2312" w:cs="CESI仿宋-GB2312"/>
          <w:spacing w:val="6"/>
          <w:sz w:val="31"/>
          <w:szCs w:val="31"/>
        </w:rPr>
        <w:t>万元，超</w:t>
      </w:r>
      <w:r>
        <w:rPr>
          <w:rFonts w:hint="eastAsia" w:ascii="CESI仿宋-GB2312" w:hAnsi="CESI仿宋-GB2312" w:eastAsia="CESI仿宋-GB2312" w:cs="CESI仿宋-GB2312"/>
          <w:spacing w:val="5"/>
          <w:sz w:val="31"/>
          <w:szCs w:val="31"/>
        </w:rPr>
        <w:t>额完成</w:t>
      </w:r>
      <w:r>
        <w:rPr>
          <w:rFonts w:hint="eastAsia" w:ascii="CESI仿宋-GB2312" w:hAnsi="CESI仿宋-GB2312" w:eastAsia="CESI仿宋-GB2312" w:cs="CESI仿宋-GB2312"/>
          <w:spacing w:val="6"/>
          <w:sz w:val="31"/>
          <w:szCs w:val="31"/>
        </w:rPr>
        <w:t>争资争项目</w:t>
      </w:r>
      <w:r>
        <w:rPr>
          <w:rFonts w:ascii="FangSong_GB2312" w:hAnsi="FangSong_GB2312" w:eastAsia="FangSong_GB2312" w:cs="FangSong_GB2312"/>
          <w:spacing w:val="17"/>
          <w:sz w:val="31"/>
          <w:szCs w:val="31"/>
        </w:rPr>
        <w:t>斩获数据创新佳绩。精心组织团队参与“数据要素</w:t>
      </w:r>
      <w:r>
        <w:rPr>
          <w:rFonts w:ascii="FangSong_GB2312" w:hAnsi="FangSong_GB2312" w:eastAsia="FangSong_GB2312" w:cs="FangSong_GB2312"/>
          <w:spacing w:val="-52"/>
          <w:sz w:val="31"/>
          <w:szCs w:val="31"/>
        </w:rPr>
        <w:t xml:space="preserve"> </w:t>
      </w:r>
      <w:r>
        <w:rPr>
          <w:rFonts w:ascii="FangSong_GB2312" w:hAnsi="FangSong_GB2312" w:eastAsia="FangSong_GB2312" w:cs="FangSong_GB2312"/>
          <w:spacing w:val="17"/>
          <w:sz w:val="31"/>
          <w:szCs w:val="31"/>
        </w:rPr>
        <w:t>X”</w:t>
      </w:r>
      <w:r>
        <w:rPr>
          <w:rFonts w:ascii="FangSong_GB2312" w:hAnsi="FangSong_GB2312" w:eastAsia="FangSong_GB2312" w:cs="FangSong_GB2312"/>
          <w:spacing w:val="9"/>
          <w:sz w:val="31"/>
          <w:szCs w:val="31"/>
        </w:rPr>
        <w:t>专业比赛，凭借高质量参赛作品荣获市级三等奖，</w:t>
      </w:r>
      <w:r>
        <w:rPr>
          <w:rFonts w:ascii="FangSong_GB2312" w:hAnsi="FangSong_GB2312" w:eastAsia="FangSong_GB2312" w:cs="FangSong_GB2312"/>
          <w:spacing w:val="8"/>
          <w:sz w:val="31"/>
          <w:szCs w:val="31"/>
        </w:rPr>
        <w:t>充分展现智慧城管创新实力与专业素养。</w:t>
      </w:r>
    </w:p>
    <w:p w14:paraId="4461FB18">
      <w:pPr>
        <w:keepNext w:val="0"/>
        <w:keepLines w:val="0"/>
        <w:pageBreakBefore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六、存在的问题和改进措施</w:t>
      </w:r>
    </w:p>
    <w:p w14:paraId="3A454DD7">
      <w:pPr>
        <w:ind w:firstLine="648" w:firstLineChars="200"/>
      </w:pPr>
      <w:r>
        <w:rPr>
          <w:rFonts w:ascii="KaiTi_GB2312" w:hAnsi="KaiTi_GB2312" w:eastAsia="KaiTi_GB2312" w:cs="KaiTi_GB2312"/>
          <w:b w:val="0"/>
          <w:bCs w:val="0"/>
          <w:spacing w:val="7"/>
          <w:sz w:val="31"/>
          <w:szCs w:val="31"/>
        </w:rPr>
        <w:t>（一）经费保障压力凸显。</w:t>
      </w:r>
      <w:r>
        <w:rPr>
          <w:rFonts w:ascii="FangSong_GB2312" w:hAnsi="FangSong_GB2312" w:eastAsia="FangSong_GB2312" w:cs="FangSong_GB2312"/>
          <w:spacing w:val="7"/>
          <w:sz w:val="31"/>
          <w:szCs w:val="31"/>
        </w:rPr>
        <w:t>市财政实行零基预算后，信</w:t>
      </w:r>
      <w:r>
        <w:rPr>
          <w:rFonts w:ascii="FangSong_GB2312" w:hAnsi="FangSong_GB2312" w:eastAsia="FangSong_GB2312" w:cs="FangSong_GB2312"/>
          <w:spacing w:val="9"/>
          <w:sz w:val="31"/>
          <w:szCs w:val="31"/>
        </w:rPr>
        <w:t>息采集劳务外包项目经费未纳入民生保障重点范畴，</w:t>
      </w:r>
      <w:r>
        <w:rPr>
          <w:rFonts w:ascii="FangSong_GB2312" w:hAnsi="FangSong_GB2312" w:eastAsia="FangSong_GB2312" w:cs="FangSong_GB2312"/>
          <w:spacing w:val="8"/>
          <w:sz w:val="31"/>
          <w:szCs w:val="31"/>
        </w:rPr>
        <w:t>面临大</w:t>
      </w:r>
      <w:r>
        <w:rPr>
          <w:rFonts w:ascii="FangSong_GB2312" w:hAnsi="FangSong_GB2312" w:eastAsia="FangSong_GB2312" w:cs="FangSong_GB2312"/>
          <w:spacing w:val="9"/>
          <w:sz w:val="31"/>
          <w:szCs w:val="31"/>
        </w:rPr>
        <w:t>幅压减或取消风险，影响问题发现源头效能；智慧城</w:t>
      </w:r>
      <w:r>
        <w:rPr>
          <w:rFonts w:ascii="FangSong_GB2312" w:hAnsi="FangSong_GB2312" w:eastAsia="FangSong_GB2312" w:cs="FangSong_GB2312"/>
          <w:spacing w:val="8"/>
          <w:sz w:val="31"/>
          <w:szCs w:val="31"/>
        </w:rPr>
        <w:t>管平台</w:t>
      </w:r>
      <w:r>
        <w:rPr>
          <w:rFonts w:ascii="FangSong_GB2312" w:hAnsi="FangSong_GB2312" w:eastAsia="FangSong_GB2312" w:cs="FangSong_GB2312"/>
          <w:spacing w:val="10"/>
          <w:sz w:val="31"/>
          <w:szCs w:val="31"/>
        </w:rPr>
        <w:t>运行经费缩减，导致坐席员人数减少</w:t>
      </w:r>
      <w:r>
        <w:rPr>
          <w:rFonts w:ascii="FangSong_GB2312" w:hAnsi="FangSong_GB2312" w:eastAsia="FangSong_GB2312" w:cs="FangSong_GB2312"/>
          <w:spacing w:val="-41"/>
          <w:sz w:val="31"/>
          <w:szCs w:val="31"/>
        </w:rPr>
        <w:t xml:space="preserve"> </w:t>
      </w:r>
      <w:r>
        <w:rPr>
          <w:rFonts w:ascii="FangSong_GB2312" w:hAnsi="FangSong_GB2312" w:eastAsia="FangSong_GB2312" w:cs="FangSong_GB2312"/>
          <w:spacing w:val="10"/>
          <w:sz w:val="31"/>
          <w:szCs w:val="31"/>
        </w:rPr>
        <w:t>25%，工作人员长期超</w:t>
      </w:r>
      <w:r>
        <w:rPr>
          <w:rFonts w:ascii="FangSong_GB2312" w:hAnsi="FangSong_GB2312" w:eastAsia="FangSong_GB2312" w:cs="FangSong_GB2312"/>
          <w:spacing w:val="9"/>
          <w:sz w:val="31"/>
          <w:szCs w:val="31"/>
        </w:rPr>
        <w:t>负荷工作，制约人工研判效率与队伍稳定。</w:t>
      </w:r>
      <w:r>
        <w:rPr>
          <w:rFonts w:ascii="FangSong_GB2312" w:hAnsi="FangSong_GB2312" w:eastAsia="FangSong_GB2312" w:cs="FangSong_GB2312"/>
          <w:spacing w:val="8"/>
          <w:sz w:val="31"/>
          <w:szCs w:val="31"/>
        </w:rPr>
        <w:t>通过内部统筹、力量调配、流程优化，在降低经费支出的同时，保障问题发现与处置质效。</w:t>
      </w:r>
    </w:p>
    <w:p w14:paraId="00D7645B">
      <w:pPr>
        <w:ind w:firstLine="648" w:firstLineChars="200"/>
      </w:pPr>
      <w:r>
        <w:rPr>
          <w:rFonts w:ascii="KaiTi_GB2312" w:hAnsi="KaiTi_GB2312" w:eastAsia="KaiTi_GB2312" w:cs="KaiTi_GB2312"/>
          <w:b w:val="0"/>
          <w:bCs w:val="0"/>
          <w:spacing w:val="7"/>
          <w:sz w:val="31"/>
          <w:szCs w:val="31"/>
        </w:rPr>
        <w:t>（二）项目建设有待完善。</w:t>
      </w:r>
      <w:r>
        <w:rPr>
          <w:rFonts w:ascii="FangSong_GB2312" w:hAnsi="FangSong_GB2312" w:eastAsia="FangSong_GB2312" w:cs="FangSong_GB2312"/>
          <w:spacing w:val="7"/>
          <w:sz w:val="31"/>
          <w:szCs w:val="31"/>
        </w:rPr>
        <w:t>对照省级建设指南及外地先</w:t>
      </w:r>
      <w:r>
        <w:rPr>
          <w:rFonts w:ascii="FangSong_GB2312" w:hAnsi="FangSong_GB2312" w:eastAsia="FangSong_GB2312" w:cs="FangSong_GB2312"/>
          <w:spacing w:val="9"/>
          <w:sz w:val="31"/>
          <w:szCs w:val="31"/>
        </w:rPr>
        <w:t>进经验，城市基础设施生命线安全工程尚未涵盖全</w:t>
      </w:r>
      <w:r>
        <w:rPr>
          <w:rFonts w:ascii="FangSong_GB2312" w:hAnsi="FangSong_GB2312" w:eastAsia="FangSong_GB2312" w:cs="FangSong_GB2312"/>
          <w:spacing w:val="8"/>
          <w:sz w:val="31"/>
          <w:szCs w:val="31"/>
        </w:rPr>
        <w:t>部软件建</w:t>
      </w:r>
      <w:r>
        <w:rPr>
          <w:rFonts w:ascii="FangSong_GB2312" w:hAnsi="FangSong_GB2312" w:eastAsia="FangSong_GB2312" w:cs="FangSong_GB2312"/>
          <w:spacing w:val="9"/>
          <w:sz w:val="31"/>
          <w:szCs w:val="31"/>
        </w:rPr>
        <w:t>设内容，难以满足全市推广需求，精细化管理与监</w:t>
      </w:r>
      <w:r>
        <w:rPr>
          <w:rFonts w:ascii="FangSong_GB2312" w:hAnsi="FangSong_GB2312" w:eastAsia="FangSong_GB2312" w:cs="FangSong_GB2312"/>
          <w:spacing w:val="8"/>
          <w:sz w:val="31"/>
          <w:szCs w:val="31"/>
        </w:rPr>
        <w:t>测预警能</w:t>
      </w:r>
      <w:r>
        <w:rPr>
          <w:rFonts w:ascii="FangSong_GB2312" w:hAnsi="FangSong_GB2312" w:eastAsia="FangSong_GB2312" w:cs="FangSong_GB2312"/>
          <w:spacing w:val="5"/>
          <w:sz w:val="31"/>
          <w:szCs w:val="31"/>
        </w:rPr>
        <w:t>力仍需提升。</w:t>
      </w:r>
      <w:r>
        <w:rPr>
          <w:rFonts w:ascii="KaiTi_GB2312" w:hAnsi="KaiTi_GB2312" w:eastAsia="KaiTi_GB2312" w:cs="KaiTi_GB2312"/>
          <w:b w:val="0"/>
          <w:bCs w:val="0"/>
          <w:spacing w:val="6"/>
          <w:sz w:val="31"/>
          <w:szCs w:val="31"/>
        </w:rPr>
        <w:t>深化智慧建设，提升治理效能。</w:t>
      </w:r>
      <w:r>
        <w:rPr>
          <w:rFonts w:ascii="FangSong_GB2312" w:hAnsi="FangSong_GB2312" w:eastAsia="FangSong_GB2312" w:cs="FangSong_GB2312"/>
          <w:spacing w:val="6"/>
          <w:sz w:val="31"/>
          <w:szCs w:val="31"/>
        </w:rPr>
        <w:t>对标《湖南省城</w:t>
      </w:r>
      <w:r>
        <w:rPr>
          <w:rFonts w:ascii="FangSong_GB2312" w:hAnsi="FangSong_GB2312" w:eastAsia="FangSong_GB2312" w:cs="FangSong_GB2312"/>
          <w:spacing w:val="9"/>
          <w:sz w:val="31"/>
          <w:szCs w:val="31"/>
        </w:rPr>
        <w:t>市基础设施生命线安全工程建设指南（试行）》，重</w:t>
      </w:r>
      <w:r>
        <w:rPr>
          <w:rFonts w:ascii="FangSong_GB2312" w:hAnsi="FangSong_GB2312" w:eastAsia="FangSong_GB2312" w:cs="FangSong_GB2312"/>
          <w:spacing w:val="8"/>
          <w:sz w:val="31"/>
          <w:szCs w:val="31"/>
        </w:rPr>
        <w:t>点推进</w:t>
      </w:r>
      <w:r>
        <w:rPr>
          <w:rFonts w:ascii="FangSong_GB2312" w:hAnsi="FangSong_GB2312" w:eastAsia="FangSong_GB2312" w:cs="FangSong_GB2312"/>
          <w:spacing w:val="9"/>
          <w:sz w:val="31"/>
          <w:szCs w:val="31"/>
        </w:rPr>
        <w:t>移动领导驾驶舱、监测设备闭环管理系统等建设，实</w:t>
      </w:r>
      <w:r>
        <w:rPr>
          <w:rFonts w:ascii="FangSong_GB2312" w:hAnsi="FangSong_GB2312" w:eastAsia="FangSong_GB2312" w:cs="FangSong_GB2312"/>
          <w:spacing w:val="8"/>
          <w:sz w:val="31"/>
          <w:szCs w:val="31"/>
        </w:rPr>
        <w:t>现物联</w:t>
      </w:r>
      <w:r>
        <w:rPr>
          <w:rFonts w:ascii="FangSong_GB2312" w:hAnsi="FangSong_GB2312" w:eastAsia="FangSong_GB2312" w:cs="FangSong_GB2312"/>
          <w:spacing w:val="9"/>
          <w:sz w:val="31"/>
          <w:szCs w:val="31"/>
        </w:rPr>
        <w:t>设备、基础设施及风险数据全面覆盖与动态监管，为</w:t>
      </w:r>
      <w:r>
        <w:rPr>
          <w:rFonts w:ascii="FangSong_GB2312" w:hAnsi="FangSong_GB2312" w:eastAsia="FangSong_GB2312" w:cs="FangSong_GB2312"/>
          <w:spacing w:val="8"/>
          <w:sz w:val="31"/>
          <w:szCs w:val="31"/>
        </w:rPr>
        <w:t>全市推</w:t>
      </w:r>
      <w:r>
        <w:rPr>
          <w:rFonts w:ascii="FangSong_GB2312" w:hAnsi="FangSong_GB2312" w:eastAsia="FangSong_GB2312" w:cs="FangSong_GB2312"/>
          <w:spacing w:val="14"/>
          <w:sz w:val="31"/>
          <w:szCs w:val="31"/>
        </w:rPr>
        <w:t>广奠定基础。</w:t>
      </w:r>
    </w:p>
    <w:p w14:paraId="0E4C78B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14:paraId="307242DC">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年度</w:t>
      </w:r>
      <w:r>
        <w:rPr>
          <w:rFonts w:hint="eastAsia" w:ascii="仿宋_GB2312" w:hAnsi="仿宋_GB2312" w:eastAsia="仿宋_GB2312" w:cs="仿宋_GB2312"/>
          <w:sz w:val="32"/>
          <w:szCs w:val="32"/>
        </w:rPr>
        <w:t>项目支出绩效自评表（</w:t>
      </w:r>
      <w:r>
        <w:rPr>
          <w:rFonts w:hint="eastAsia" w:ascii="仿宋_GB2312" w:hAnsi="仿宋_GB2312" w:eastAsia="仿宋_GB2312" w:cs="仿宋_GB2312"/>
          <w:sz w:val="32"/>
          <w:szCs w:val="32"/>
          <w:lang w:val="en-US" w:eastAsia="zh-CN"/>
        </w:rPr>
        <w:t>1-1至1-6</w:t>
      </w:r>
      <w:r>
        <w:rPr>
          <w:rFonts w:hint="eastAsia" w:ascii="仿宋_GB2312" w:hAnsi="仿宋_GB2312" w:eastAsia="仿宋_GB2312" w:cs="仿宋_GB2312"/>
          <w:sz w:val="32"/>
          <w:szCs w:val="32"/>
        </w:rPr>
        <w:t>表）</w:t>
      </w:r>
    </w:p>
    <w:p w14:paraId="1176E35F">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rPr>
      </w:pPr>
    </w:p>
    <w:p w14:paraId="6E705FBA">
      <w:pPr>
        <w:keepNext w:val="0"/>
        <w:keepLines w:val="0"/>
        <w:pageBreakBefore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000000"/>
          <w:sz w:val="32"/>
          <w:szCs w:val="32"/>
        </w:rPr>
        <w:t>岳阳市智慧城管指挥中心</w:t>
      </w:r>
    </w:p>
    <w:p w14:paraId="63114B59">
      <w:pPr>
        <w:pStyle w:val="4"/>
        <w:keepNext w:val="0"/>
        <w:keepLines w:val="0"/>
        <w:pageBreakBefore w:val="0"/>
        <w:kinsoku/>
        <w:wordWrap/>
        <w:overflowPunct/>
        <w:topLinePunct w:val="0"/>
        <w:autoSpaceDE/>
        <w:autoSpaceDN/>
        <w:bidi w:val="0"/>
        <w:adjustRightInd/>
        <w:snapToGrid/>
        <w:spacing w:line="600" w:lineRule="exact"/>
        <w:textAlignment w:val="auto"/>
        <w:rPr>
          <w:rFonts w:hint="default" w:eastAsia="仿宋_GB2312"/>
          <w:sz w:val="32"/>
          <w:szCs w:val="32"/>
          <w:lang w:val="en-US" w:eastAsia="zh-CN"/>
        </w:rPr>
      </w:pPr>
      <w:r>
        <w:rPr>
          <w:rFonts w:hint="eastAsia" w:ascii="仿宋_GB2312" w:hAnsi="仿宋_GB2312" w:eastAsia="仿宋_GB2312" w:cs="仿宋_GB2312"/>
          <w:color w:val="000000"/>
          <w:sz w:val="32"/>
          <w:szCs w:val="32"/>
          <w:lang w:val="en-US" w:eastAsia="zh-CN"/>
        </w:rPr>
        <w:t xml:space="preserve">                                 2026年6月23日</w:t>
      </w:r>
    </w:p>
    <w:p w14:paraId="46B8E33F">
      <w:pPr>
        <w:widowControl/>
        <w:spacing w:line="600" w:lineRule="exact"/>
        <w:jc w:val="left"/>
        <w:rPr>
          <w:rFonts w:hint="eastAsia" w:ascii="黑体" w:hAnsi="黑体" w:eastAsia="黑体" w:cs="黑体"/>
          <w:sz w:val="32"/>
          <w:szCs w:val="32"/>
          <w:highlight w:val="none"/>
        </w:rPr>
      </w:pPr>
    </w:p>
    <w:p w14:paraId="7CDFD336">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w:t>
      </w:r>
      <w:r>
        <w:rPr>
          <w:rFonts w:hint="default" w:ascii="黑体" w:hAnsi="黑体" w:eastAsia="黑体" w:cs="黑体"/>
          <w:sz w:val="32"/>
          <w:szCs w:val="32"/>
          <w:highlight w:val="none"/>
          <w:lang w:val="en-US" w:eastAsia="zh-CN"/>
        </w:rPr>
        <w:t>1</w:t>
      </w:r>
    </w:p>
    <w:p w14:paraId="2D3516EF">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535C842D">
      <w:pPr>
        <w:pStyle w:val="4"/>
        <w:rPr>
          <w:rFonts w:hint="eastAsia"/>
        </w:rPr>
      </w:pPr>
    </w:p>
    <w:tbl>
      <w:tblPr>
        <w:tblStyle w:val="10"/>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4CD059FD">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3F238E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7C98D12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single" w:color="auto" w:sz="4" w:space="0"/>
              <w:bottom w:val="single" w:color="auto" w:sz="4" w:space="0"/>
              <w:right w:val="single" w:color="auto" w:sz="4" w:space="0"/>
            </w:tcBorders>
            <w:noWrap w:val="0"/>
            <w:vAlign w:val="center"/>
          </w:tcPr>
          <w:p w14:paraId="493D2BB0">
            <w:pPr>
              <w:keepNext w:val="0"/>
              <w:keepLines w:val="0"/>
              <w:pageBreakBefore w:val="0"/>
              <w:widowControl/>
              <w:kinsoku/>
              <w:wordWrap/>
              <w:overflowPunct/>
              <w:topLinePunct w:val="0"/>
              <w:autoSpaceDE/>
              <w:autoSpaceDN/>
              <w:bidi w:val="0"/>
              <w:adjustRightInd/>
              <w:snapToGrid/>
              <w:spacing w:line="360" w:lineRule="exact"/>
              <w:ind w:firstLine="1800" w:firstLineChars="900"/>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sz w:val="20"/>
                <w:szCs w:val="20"/>
                <w:lang w:val="en-US" w:eastAsia="zh-CN"/>
              </w:rPr>
              <w:t>2025</w:t>
            </w:r>
            <w:r>
              <w:rPr>
                <w:rFonts w:hint="eastAsia" w:ascii="仿宋_GB2312" w:hAnsi="仿宋_GB2312" w:eastAsia="仿宋_GB2312" w:cs="仿宋_GB2312"/>
                <w:sz w:val="20"/>
                <w:szCs w:val="20"/>
              </w:rPr>
              <w:t>年城市事件和部件采集服务</w:t>
            </w:r>
            <w:r>
              <w:rPr>
                <w:rFonts w:hint="eastAsia" w:ascii="仿宋_GB2312" w:hAnsi="仿宋_GB2312" w:eastAsia="仿宋_GB2312" w:cs="仿宋_GB2312"/>
                <w:sz w:val="20"/>
                <w:szCs w:val="20"/>
                <w:lang w:eastAsia="zh-CN"/>
              </w:rPr>
              <w:t>费</w:t>
            </w:r>
          </w:p>
        </w:tc>
      </w:tr>
      <w:tr w14:paraId="4124E77C">
        <w:tblPrEx>
          <w:tblCellMar>
            <w:top w:w="0" w:type="dxa"/>
            <w:left w:w="108" w:type="dxa"/>
            <w:bottom w:w="0" w:type="dxa"/>
            <w:right w:w="108" w:type="dxa"/>
          </w:tblCellMar>
        </w:tblPrEx>
        <w:trPr>
          <w:trHeight w:val="504"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4330280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single" w:color="auto" w:sz="4" w:space="0"/>
              <w:bottom w:val="single" w:color="auto" w:sz="4" w:space="0"/>
              <w:right w:val="single" w:color="auto" w:sz="4" w:space="0"/>
            </w:tcBorders>
            <w:noWrap w:val="0"/>
            <w:vAlign w:val="center"/>
          </w:tcPr>
          <w:p w14:paraId="7A4EF56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lang w:val="en-US" w:eastAsia="zh-CN"/>
              </w:rPr>
              <w:t>岳阳市城市管理和综合执法局</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2BCCC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实施单位</w:t>
            </w:r>
          </w:p>
        </w:tc>
        <w:tc>
          <w:tcPr>
            <w:tcW w:w="3119" w:type="dxa"/>
            <w:gridSpan w:val="3"/>
            <w:tcBorders>
              <w:top w:val="single" w:color="auto" w:sz="4" w:space="0"/>
              <w:left w:val="single" w:color="auto" w:sz="4" w:space="0"/>
              <w:bottom w:val="single" w:color="auto" w:sz="4" w:space="0"/>
              <w:right w:val="single" w:color="auto" w:sz="4" w:space="0"/>
            </w:tcBorders>
            <w:noWrap w:val="0"/>
            <w:vAlign w:val="center"/>
          </w:tcPr>
          <w:p w14:paraId="684D3F4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　岳阳市智慧城管指挥中心</w:t>
            </w:r>
          </w:p>
        </w:tc>
      </w:tr>
      <w:tr w14:paraId="021BC4A8">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F6BAAE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64EAD1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FF3D26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30610DD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277C2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6A29D09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B94440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55A9449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AF1419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D9D257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B3B5C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4A1FF5F3">
        <w:tblPrEx>
          <w:tblCellMar>
            <w:top w:w="0" w:type="dxa"/>
            <w:left w:w="108" w:type="dxa"/>
            <w:bottom w:w="0" w:type="dxa"/>
            <w:right w:w="108" w:type="dxa"/>
          </w:tblCellMar>
        </w:tblPrEx>
        <w:trPr>
          <w:trHeight w:val="463"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7A9717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268477E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14B43A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502286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42A7AF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298.45</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D53B77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005E7C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99.48%</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D8E27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r>
              <w:rPr>
                <w:rFonts w:hint="default" w:ascii="仿宋_GB2312" w:hAnsi="仿宋_GB2312" w:eastAsia="仿宋_GB2312" w:cs="仿宋_GB2312"/>
                <w:color w:val="000000"/>
                <w:sz w:val="20"/>
                <w:szCs w:val="20"/>
                <w:highlight w:val="none"/>
                <w:lang w:val="en-US" w:eastAsia="zh-CN"/>
              </w:rPr>
              <w:t>5</w:t>
            </w:r>
          </w:p>
        </w:tc>
      </w:tr>
      <w:tr w14:paraId="0D7F5907">
        <w:tblPrEx>
          <w:tblCellMar>
            <w:top w:w="0" w:type="dxa"/>
            <w:left w:w="108" w:type="dxa"/>
            <w:bottom w:w="0" w:type="dxa"/>
            <w:right w:w="108" w:type="dxa"/>
          </w:tblCellMar>
        </w:tblPrEx>
        <w:trPr>
          <w:trHeight w:val="40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C5A754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56E2A2E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69D037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C9EF2A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C3BDC57">
            <w:pPr>
              <w:keepNext w:val="0"/>
              <w:keepLines w:val="0"/>
              <w:pageBreakBefore w:val="0"/>
              <w:widowControl/>
              <w:kinsoku/>
              <w:wordWrap/>
              <w:overflowPunct/>
              <w:topLinePunct w:val="0"/>
              <w:autoSpaceDE/>
              <w:autoSpaceDN/>
              <w:bidi w:val="0"/>
              <w:adjustRightInd/>
              <w:snapToGrid/>
              <w:spacing w:line="360" w:lineRule="exact"/>
              <w:ind w:firstLine="200" w:firstLineChars="100"/>
              <w:jc w:val="center"/>
              <w:textAlignment w:val="auto"/>
              <w:rPr>
                <w:rFonts w:hint="default" w:ascii="仿宋_GB2312" w:hAnsi="仿宋_GB2312" w:eastAsia="仿宋_GB2312" w:cs="仿宋_GB2312"/>
                <w:color w:val="000000"/>
                <w:sz w:val="20"/>
                <w:szCs w:val="20"/>
                <w:highlight w:val="none"/>
                <w:lang w:val="en-US" w:eastAsia="zh-CN"/>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5886A30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2D6A193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2A0DD7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r>
      <w:tr w14:paraId="6C29CD4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607E4A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0CD6422">
            <w:pPr>
              <w:keepNext w:val="0"/>
              <w:keepLines w:val="0"/>
              <w:pageBreakBefore w:val="0"/>
              <w:widowControl/>
              <w:kinsoku/>
              <w:wordWrap/>
              <w:overflowPunct/>
              <w:topLinePunct w:val="0"/>
              <w:autoSpaceDE/>
              <w:autoSpaceDN/>
              <w:bidi w:val="0"/>
              <w:adjustRightInd/>
              <w:snapToGrid/>
              <w:spacing w:line="3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3F9AD3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F81438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E696A1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828" w:type="dxa"/>
            <w:tcBorders>
              <w:top w:val="single" w:color="auto" w:sz="4" w:space="0"/>
              <w:left w:val="single" w:color="auto" w:sz="4" w:space="0"/>
              <w:bottom w:val="single" w:color="auto" w:sz="4" w:space="0"/>
              <w:right w:val="single" w:color="auto" w:sz="4" w:space="0"/>
            </w:tcBorders>
            <w:noWrap w:val="0"/>
            <w:vAlign w:val="center"/>
          </w:tcPr>
          <w:p w14:paraId="275BD75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192DD76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078D68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r>
      <w:tr w14:paraId="613177D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5EDDFC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073A7EC">
            <w:pPr>
              <w:keepNext w:val="0"/>
              <w:keepLines w:val="0"/>
              <w:pageBreakBefore w:val="0"/>
              <w:widowControl/>
              <w:kinsoku/>
              <w:wordWrap/>
              <w:overflowPunct/>
              <w:topLinePunct w:val="0"/>
              <w:autoSpaceDE/>
              <w:autoSpaceDN/>
              <w:bidi w:val="0"/>
              <w:adjustRightInd/>
              <w:snapToGrid/>
              <w:spacing w:line="3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681C8F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2FCA93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57A368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A8FBF6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742061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EF4DB4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4D42744">
        <w:tblPrEx>
          <w:tblCellMar>
            <w:top w:w="0" w:type="dxa"/>
            <w:left w:w="108" w:type="dxa"/>
            <w:bottom w:w="0" w:type="dxa"/>
            <w:right w:w="108" w:type="dxa"/>
          </w:tblCellMar>
        </w:tblPrEx>
        <w:trPr>
          <w:trHeight w:val="446" w:hRule="atLeast"/>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68622E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single" w:color="auto" w:sz="4" w:space="0"/>
              <w:bottom w:val="single" w:color="auto" w:sz="4" w:space="0"/>
              <w:right w:val="single" w:color="auto" w:sz="4" w:space="0"/>
            </w:tcBorders>
            <w:noWrap w:val="0"/>
            <w:vAlign w:val="center"/>
          </w:tcPr>
          <w:p w14:paraId="3CC7D12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single" w:color="auto" w:sz="4" w:space="0"/>
              <w:bottom w:val="single" w:color="auto" w:sz="4" w:space="0"/>
              <w:right w:val="single" w:color="auto" w:sz="4" w:space="0"/>
            </w:tcBorders>
            <w:noWrap w:val="0"/>
            <w:vAlign w:val="center"/>
          </w:tcPr>
          <w:p w14:paraId="6B96923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1B2879A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740EE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single" w:color="auto" w:sz="4" w:space="0"/>
              <w:bottom w:val="single" w:color="auto" w:sz="4" w:space="0"/>
              <w:right w:val="single" w:color="auto" w:sz="4" w:space="0"/>
            </w:tcBorders>
            <w:noWrap w:val="0"/>
            <w:vAlign w:val="center"/>
          </w:tcPr>
          <w:p w14:paraId="0D4F95CA">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城市管理事部件信息的采集要确保信息采集数量、信息采集有效率、信息核查及时率等主要指标值达到规定要求；</w:t>
            </w:r>
          </w:p>
          <w:p w14:paraId="4CD34294">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2、城市管理事部件信息的分析、统计主动、及时、为各级领导、各部门提供科学的城市管理决策依据。　　</w:t>
            </w:r>
          </w:p>
        </w:tc>
        <w:tc>
          <w:tcPr>
            <w:tcW w:w="4253" w:type="dxa"/>
            <w:gridSpan w:val="4"/>
            <w:tcBorders>
              <w:top w:val="single" w:color="auto" w:sz="4" w:space="0"/>
              <w:left w:val="single" w:color="auto" w:sz="4" w:space="0"/>
              <w:bottom w:val="single" w:color="auto" w:sz="4" w:space="0"/>
              <w:right w:val="single" w:color="auto" w:sz="4" w:space="0"/>
            </w:tcBorders>
            <w:noWrap w:val="0"/>
            <w:vAlign w:val="center"/>
          </w:tcPr>
          <w:p w14:paraId="2023CFC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1、城市管理事部件信息的信息采集数量、信息采集有效率、信息核查及时率等主要指标值</w:t>
            </w:r>
            <w:r>
              <w:rPr>
                <w:rFonts w:hint="eastAsia" w:ascii="仿宋_GB2312" w:hAnsi="仿宋_GB2312" w:eastAsia="仿宋_GB2312" w:cs="仿宋_GB2312"/>
                <w:color w:val="000000"/>
                <w:sz w:val="20"/>
                <w:szCs w:val="20"/>
                <w:highlight w:val="none"/>
                <w:lang w:eastAsia="zh-CN"/>
              </w:rPr>
              <w:t>均</w:t>
            </w:r>
            <w:r>
              <w:rPr>
                <w:rFonts w:hint="eastAsia" w:ascii="仿宋_GB2312" w:hAnsi="仿宋_GB2312" w:eastAsia="仿宋_GB2312" w:cs="仿宋_GB2312"/>
                <w:color w:val="000000"/>
                <w:sz w:val="20"/>
                <w:szCs w:val="20"/>
                <w:highlight w:val="none"/>
              </w:rPr>
              <w:t>达到规定要求；</w:t>
            </w:r>
          </w:p>
          <w:p w14:paraId="10274A85">
            <w:pPr>
              <w:keepNext w:val="0"/>
              <w:keepLines w:val="0"/>
              <w:pageBreakBefore w:val="0"/>
              <w:widowControl/>
              <w:kinsoku/>
              <w:wordWrap/>
              <w:overflowPunct/>
              <w:topLinePunct w:val="0"/>
              <w:autoSpaceDE/>
              <w:autoSpaceDN/>
              <w:bidi w:val="0"/>
              <w:adjustRightInd/>
              <w:snapToGrid/>
              <w:spacing w:line="360" w:lineRule="exact"/>
              <w:ind w:firstLine="200" w:firstLineChars="1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2、城市管理事部件信息的分析、统计主动、及时</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为各级领导、各部门提供</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科学的城市管理决策依据。</w:t>
            </w:r>
          </w:p>
        </w:tc>
      </w:tr>
      <w:tr w14:paraId="051049F1">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1E790B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22A8F83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3B58BD3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30CD5D8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753259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261327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B8F551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E0978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4F4AB23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A2EC22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02DC5D9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A2546C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360904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BEEA1C">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0DE5FF8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7E093D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441A7D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18E1D24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p w14:paraId="2B69CB4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EDB0B5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892EFA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信息采集数量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14D68A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不低于900条/天</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310506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平均1010条/天</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0919FE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B3DB90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3A2E56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r>
      <w:tr w14:paraId="2DEFA8FB">
        <w:tblPrEx>
          <w:tblCellMar>
            <w:top w:w="0" w:type="dxa"/>
            <w:left w:w="108" w:type="dxa"/>
            <w:bottom w:w="0" w:type="dxa"/>
            <w:right w:w="108" w:type="dxa"/>
          </w:tblCellMar>
        </w:tblPrEx>
        <w:trPr>
          <w:trHeight w:val="568"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769D12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BE842A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0B8DD9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4860C8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采集时间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79009D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365</w:t>
            </w:r>
            <w:r>
              <w:rPr>
                <w:rFonts w:hint="eastAsia" w:ascii="仿宋_GB2312" w:hAnsi="仿宋_GB2312" w:eastAsia="仿宋_GB2312" w:cs="仿宋_GB2312"/>
                <w:color w:val="auto"/>
                <w:sz w:val="20"/>
                <w:szCs w:val="20"/>
                <w:highlight w:val="none"/>
                <w:lang w:eastAsia="zh-CN"/>
              </w:rPr>
              <w:t>天</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253001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365</w:t>
            </w:r>
            <w:r>
              <w:rPr>
                <w:rFonts w:hint="eastAsia" w:ascii="仿宋_GB2312" w:hAnsi="仿宋_GB2312" w:eastAsia="仿宋_GB2312" w:cs="仿宋_GB2312"/>
                <w:color w:val="auto"/>
                <w:sz w:val="20"/>
                <w:szCs w:val="20"/>
                <w:highlight w:val="none"/>
                <w:lang w:eastAsia="zh-CN"/>
              </w:rPr>
              <w:t>天</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99A054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DF3CEF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A85C84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6F241DA">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0D1F93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D94FC9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6C8362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5912BC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信息采集有效率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AA042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98%</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B60DE4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98.4%</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09CCAC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CA2845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A886A9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80B4BCD">
        <w:tblPrEx>
          <w:tblCellMar>
            <w:top w:w="0" w:type="dxa"/>
            <w:left w:w="108" w:type="dxa"/>
            <w:bottom w:w="0" w:type="dxa"/>
            <w:right w:w="108" w:type="dxa"/>
          </w:tblCellMar>
        </w:tblPrEx>
        <w:trPr>
          <w:trHeight w:val="46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E94A42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2346BE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42C110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103D69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覆盖率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7F1041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达到100</w:t>
            </w:r>
            <w:r>
              <w:rPr>
                <w:rFonts w:hint="eastAsia" w:ascii="仿宋_GB2312" w:hAnsi="仿宋_GB2312" w:eastAsia="仿宋_GB2312" w:cs="仿宋_GB2312"/>
                <w:color w:val="auto"/>
                <w:sz w:val="20"/>
                <w:szCs w:val="20"/>
                <w:highlight w:val="none"/>
                <w:lang w:val="en-US" w:eastAsia="zh-CN"/>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82993A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58D123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89A85C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C25261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37999C0">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62D731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5B7115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2B829D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D21F71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信息核查及时率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BE4F9B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98%</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5E2D1F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4930E6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DD76457">
            <w:pPr>
              <w:keepNext w:val="0"/>
              <w:keepLines w:val="0"/>
              <w:pageBreakBefore w:val="0"/>
              <w:widowControl/>
              <w:kinsoku/>
              <w:wordWrap/>
              <w:overflowPunct/>
              <w:topLinePunct w:val="0"/>
              <w:autoSpaceDE/>
              <w:autoSpaceDN/>
              <w:bidi w:val="0"/>
              <w:adjustRightInd/>
              <w:snapToGrid/>
              <w:spacing w:line="30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0D5B72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rPr>
            </w:pPr>
          </w:p>
        </w:tc>
      </w:tr>
      <w:tr w14:paraId="2470A6EA">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630A7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2919F9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4A9578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8BF9CD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采集时间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77AA96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及时完成辖区信息采集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846E4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均及时完成</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4F83BC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F2DC62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016491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A113729">
        <w:tblPrEx>
          <w:tblCellMar>
            <w:top w:w="0" w:type="dxa"/>
            <w:left w:w="108" w:type="dxa"/>
            <w:bottom w:w="0" w:type="dxa"/>
            <w:right w:w="108" w:type="dxa"/>
          </w:tblCellMar>
        </w:tblPrEx>
        <w:trPr>
          <w:trHeight w:val="1202"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18F124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D5CF1D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0E834C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DBCF76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信息采集费用</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5090A0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300万元/年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27504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2025年服务费300万元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10AD03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25808D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0DE34B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E922923">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13852B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0153CA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AEA679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7B6900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对社会发展可能造成的负面影响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28D57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8C3FD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无负面影响</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C065A8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F409A4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0F038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56B4CCC">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95840A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0F543F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A1E72C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2806CB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对自然生态环境造成的负面影响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26085F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D2D73F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无负面影响</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ADB8B5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97AD12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381F8A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1C1966E">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B8E0EA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968F51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1C7EDE7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p w14:paraId="58DF1A1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1460E7B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080855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7CEAFFD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6564FE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产生一定的间接经济效益</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D4690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提升城市管理工作效率，降低城市管理成本</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422767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助力了城市管理相关单位有效管控</w:t>
            </w:r>
            <w:r>
              <w:rPr>
                <w:rFonts w:hint="eastAsia" w:ascii="仿宋_GB2312" w:hAnsi="仿宋_GB2312" w:eastAsia="仿宋_GB2312" w:cs="仿宋_GB2312"/>
                <w:color w:val="000000"/>
                <w:sz w:val="20"/>
                <w:szCs w:val="20"/>
                <w:highlight w:val="none"/>
                <w:lang w:val="en-US" w:eastAsia="zh-CN"/>
              </w:rPr>
              <w:t>成本</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625462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22EE90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56553C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4CA4FAF">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36C930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EF2D28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DC8971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5EC163B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614149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助力提升城市公共服务质量，提升市民对城市管理工作的满意度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40036A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通过各类城市管理问题及时有效处置，提升市民对城市管理工作的满意度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54B3E3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随着城市公共服务质量的不断提升，城市人居环境明显改善</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CE75BE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7E27DD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6F2A16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FD3BD7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92C777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EDDE4E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6626F5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6D87082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92E256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eastAsia="zh-CN"/>
              </w:rPr>
              <w:t>加强城市道路污染、扬尘污染、噪音污染等管控</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20C508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助力城市生态环境改善</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0CBC1E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有效改善</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6A4B99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91D716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417CAA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3CB85B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B349B1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74387E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33943C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CA12AE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持续提供城市管理问题采集、上报及核查</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F3D3D3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提高城市管理水平，</w:t>
            </w:r>
            <w:r>
              <w:rPr>
                <w:rFonts w:hint="eastAsia" w:ascii="仿宋_GB2312" w:hAnsi="仿宋_GB2312" w:eastAsia="仿宋_GB2312" w:cs="仿宋_GB2312"/>
                <w:color w:val="000000"/>
                <w:sz w:val="20"/>
                <w:szCs w:val="20"/>
                <w:lang w:eastAsia="zh-CN"/>
              </w:rPr>
              <w:t>持续推进</w:t>
            </w:r>
            <w:r>
              <w:rPr>
                <w:rFonts w:hint="eastAsia" w:ascii="仿宋_GB2312" w:hAnsi="仿宋_GB2312" w:eastAsia="仿宋_GB2312" w:cs="仿宋_GB2312"/>
                <w:color w:val="000000"/>
                <w:sz w:val="20"/>
                <w:szCs w:val="20"/>
              </w:rPr>
              <w:t>智能化、数字化</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324D77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城市管理水平</w:t>
            </w:r>
            <w:r>
              <w:rPr>
                <w:rFonts w:hint="eastAsia" w:ascii="仿宋_GB2312" w:hAnsi="仿宋_GB2312" w:eastAsia="仿宋_GB2312" w:cs="仿宋_GB2312"/>
                <w:color w:val="000000"/>
                <w:sz w:val="20"/>
                <w:szCs w:val="20"/>
                <w:lang w:val="en-US" w:eastAsia="zh-CN"/>
              </w:rPr>
              <w:t>不断提升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F13D7D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1C6336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50AF0D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ascii="仿宋_GB2312" w:hAnsi="仿宋_GB2312" w:eastAsia="仿宋_GB2312" w:cs="仿宋_GB2312"/>
                <w:color w:val="000000"/>
                <w:kern w:val="0"/>
                <w:sz w:val="20"/>
                <w:szCs w:val="20"/>
                <w:lang w:bidi="ar-SA"/>
              </w:rPr>
              <w:t>采集范围应及时调整，涵盖城乡结合部管理。及时调整采集范围，以进一步优化管理。</w:t>
            </w:r>
          </w:p>
        </w:tc>
      </w:tr>
      <w:tr w14:paraId="2D818C3E">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87D372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D6ABE9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386D63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86EA56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城市管理信息共享共用</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DB3A7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实现城市管理单位间信息共享</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64FE5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实现了城市管理单位间信息共享</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DBF701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6C948A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3815C9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50410E4">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1F3F68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995D43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3D92C2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057860E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C9CEB5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287D20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群众</w:t>
            </w:r>
            <w:r>
              <w:rPr>
                <w:rFonts w:hint="eastAsia" w:ascii="仿宋_GB2312" w:hAnsi="仿宋_GB2312" w:eastAsia="仿宋_GB2312" w:cs="仿宋_GB2312"/>
                <w:color w:val="000000"/>
                <w:sz w:val="20"/>
                <w:szCs w:val="20"/>
                <w:highlight w:val="none"/>
              </w:rPr>
              <w:t>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9D618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97CD4C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98.7%</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B8AC7F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0F8E25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C2BF13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B759A35">
        <w:tblPrEx>
          <w:tblCellMar>
            <w:top w:w="0" w:type="dxa"/>
            <w:left w:w="108" w:type="dxa"/>
            <w:bottom w:w="0" w:type="dxa"/>
            <w:right w:w="108" w:type="dxa"/>
          </w:tblCellMar>
        </w:tblPrEx>
        <w:trPr>
          <w:trHeight w:val="622" w:hRule="atLeast"/>
          <w:jc w:val="center"/>
        </w:trPr>
        <w:tc>
          <w:tcPr>
            <w:tcW w:w="6732" w:type="dxa"/>
            <w:gridSpan w:val="6"/>
            <w:tcBorders>
              <w:top w:val="single" w:color="auto" w:sz="4" w:space="0"/>
              <w:left w:val="single" w:color="auto" w:sz="4" w:space="0"/>
              <w:bottom w:val="single" w:color="auto" w:sz="4" w:space="0"/>
              <w:right w:val="single" w:color="auto" w:sz="4" w:space="0"/>
            </w:tcBorders>
            <w:noWrap w:val="0"/>
            <w:vAlign w:val="center"/>
          </w:tcPr>
          <w:p w14:paraId="0019652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1FD6B1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6F89EE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eastAsia="zh-CN"/>
              </w:rPr>
              <w:t>98.95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F1187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12506C1C">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eastAsia="仿宋_GB2312" w:cs="Times New Roman"/>
          <w:sz w:val="18"/>
          <w:szCs w:val="18"/>
          <w:highlight w:val="none"/>
        </w:rPr>
      </w:pPr>
    </w:p>
    <w:p w14:paraId="7CFB2061">
      <w:pPr>
        <w:keepNext w:val="0"/>
        <w:keepLines w:val="0"/>
        <w:pageBreakBefore w:val="0"/>
        <w:kinsoku/>
        <w:wordWrap/>
        <w:overflowPunct/>
        <w:topLinePunct w:val="0"/>
        <w:autoSpaceDE/>
        <w:autoSpaceDN/>
        <w:bidi w:val="0"/>
        <w:adjustRightInd/>
        <w:snapToGrid/>
        <w:spacing w:line="520" w:lineRule="exact"/>
        <w:textAlignment w:val="auto"/>
      </w:pPr>
      <w:r>
        <w:rPr>
          <w:rFonts w:hint="eastAsia" w:ascii="仿宋_GB2312" w:hAnsi="仿宋_GB2312" w:eastAsia="仿宋_GB2312" w:cs="仿宋_GB2312"/>
          <w:sz w:val="22"/>
          <w:szCs w:val="22"/>
        </w:rPr>
        <w:t>填表人：</w:t>
      </w:r>
      <w:r>
        <w:rPr>
          <w:rFonts w:hint="eastAsia" w:ascii="仿宋_GB2312" w:hAnsi="仿宋_GB2312" w:eastAsia="仿宋_GB2312" w:cs="仿宋_GB2312"/>
          <w:sz w:val="22"/>
          <w:szCs w:val="22"/>
          <w:lang w:eastAsia="zh-CN"/>
        </w:rPr>
        <w:t>禹荣</w:t>
      </w:r>
      <w:r>
        <w:rPr>
          <w:rFonts w:hint="eastAsia" w:ascii="仿宋_GB2312" w:hAnsi="仿宋_GB2312" w:eastAsia="仿宋_GB2312" w:cs="仿宋_GB2312"/>
          <w:sz w:val="22"/>
          <w:szCs w:val="22"/>
          <w:lang w:val="en"/>
        </w:rPr>
        <w:t xml:space="preserve"> </w:t>
      </w:r>
      <w:r>
        <w:rPr>
          <w:rFonts w:hint="eastAsia" w:ascii="仿宋_GB2312" w:hAnsi="仿宋_GB2312" w:eastAsia="仿宋_GB2312" w:cs="仿宋_GB2312"/>
          <w:sz w:val="22"/>
          <w:szCs w:val="22"/>
        </w:rPr>
        <w:t xml:space="preserve"> 填报日期：</w:t>
      </w:r>
      <w:r>
        <w:rPr>
          <w:rFonts w:hint="eastAsia" w:ascii="仿宋_GB2312" w:hAnsi="仿宋_GB2312" w:eastAsia="仿宋_GB2312" w:cs="仿宋_GB2312"/>
          <w:sz w:val="22"/>
          <w:szCs w:val="22"/>
          <w:lang w:val="en-US" w:eastAsia="zh-CN"/>
        </w:rPr>
        <w:t>2026.6.23</w:t>
      </w:r>
      <w:r>
        <w:rPr>
          <w:rFonts w:hint="eastAsia" w:ascii="仿宋_GB2312" w:hAnsi="仿宋_GB2312" w:eastAsia="仿宋_GB2312" w:cs="仿宋_GB2312"/>
          <w:sz w:val="22"/>
          <w:szCs w:val="22"/>
        </w:rPr>
        <w:t xml:space="preserve"> 联系电话：</w:t>
      </w:r>
      <w:r>
        <w:rPr>
          <w:rFonts w:hint="eastAsia" w:ascii="仿宋_GB2312" w:hAnsi="仿宋_GB2312" w:eastAsia="仿宋_GB2312" w:cs="仿宋_GB2312"/>
          <w:sz w:val="22"/>
          <w:szCs w:val="22"/>
          <w:lang w:val="en-US" w:eastAsia="zh-CN"/>
        </w:rPr>
        <w:t>0730-8690022</w:t>
      </w:r>
      <w:r>
        <w:rPr>
          <w:rFonts w:hint="eastAsia" w:ascii="仿宋_GB2312" w:hAnsi="仿宋_GB2312" w:eastAsia="仿宋_GB2312" w:cs="仿宋_GB2312"/>
          <w:sz w:val="22"/>
          <w:szCs w:val="22"/>
        </w:rPr>
        <w:t xml:space="preserve">  单位负责人</w:t>
      </w:r>
      <w:r>
        <w:rPr>
          <w:rFonts w:hint="eastAsia" w:ascii="仿宋_GB2312" w:hAnsi="仿宋_GB2312" w:eastAsia="仿宋_GB2312" w:cs="仿宋_GB2312"/>
          <w:sz w:val="22"/>
          <w:szCs w:val="22"/>
          <w:lang w:eastAsia="zh-CN"/>
        </w:rPr>
        <w:t>：</w:t>
      </w:r>
    </w:p>
    <w:p w14:paraId="5B493D8A">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w:t>
      </w:r>
      <w:r>
        <w:rPr>
          <w:rFonts w:hint="default" w:ascii="黑体" w:hAnsi="黑体" w:eastAsia="黑体" w:cs="黑体"/>
          <w:sz w:val="32"/>
          <w:szCs w:val="32"/>
          <w:highlight w:val="none"/>
          <w:lang w:val="en-US" w:eastAsia="zh-CN"/>
        </w:rPr>
        <w:t>2</w:t>
      </w:r>
    </w:p>
    <w:p w14:paraId="6D66EC52">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5506AFAC">
      <w:pPr>
        <w:pStyle w:val="4"/>
        <w:rPr>
          <w:rFonts w:hint="eastAsia"/>
        </w:rPr>
      </w:pPr>
    </w:p>
    <w:tbl>
      <w:tblPr>
        <w:tblStyle w:val="10"/>
        <w:tblW w:w="10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308"/>
        <w:gridCol w:w="1140"/>
        <w:gridCol w:w="1083"/>
        <w:gridCol w:w="789"/>
        <w:gridCol w:w="873"/>
        <w:gridCol w:w="1638"/>
      </w:tblGrid>
      <w:tr w14:paraId="074C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32F9B7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1CCC248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991" w:type="dxa"/>
            <w:gridSpan w:val="8"/>
            <w:noWrap w:val="0"/>
            <w:vAlign w:val="center"/>
          </w:tcPr>
          <w:p w14:paraId="50E7686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lang w:eastAsia="zh-CN"/>
              </w:rPr>
              <w:t>中心</w:t>
            </w:r>
            <w:r>
              <w:rPr>
                <w:rFonts w:hint="eastAsia" w:ascii="仿宋_GB2312" w:hAnsi="仿宋_GB2312" w:eastAsia="仿宋_GB2312" w:cs="仿宋_GB2312"/>
                <w:sz w:val="20"/>
                <w:szCs w:val="20"/>
              </w:rPr>
              <w:t>平台坐席员劳务派遣服务费</w:t>
            </w:r>
            <w:r>
              <w:rPr>
                <w:rFonts w:hint="eastAsia" w:ascii="仿宋_GB2312" w:hAnsi="仿宋_GB2312" w:eastAsia="仿宋_GB2312" w:cs="仿宋_GB2312"/>
                <w:color w:val="000000"/>
                <w:sz w:val="20"/>
                <w:szCs w:val="20"/>
                <w:highlight w:val="none"/>
              </w:rPr>
              <w:t>　</w:t>
            </w:r>
          </w:p>
        </w:tc>
      </w:tr>
      <w:tr w14:paraId="2206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FD3CC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608" w:type="dxa"/>
            <w:gridSpan w:val="4"/>
            <w:noWrap w:val="0"/>
            <w:vAlign w:val="center"/>
          </w:tcPr>
          <w:p w14:paraId="75100BA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lang w:val="en-US" w:eastAsia="zh-CN"/>
              </w:rPr>
              <w:t>岳阳市城市管理和综合执法局</w:t>
            </w:r>
          </w:p>
        </w:tc>
        <w:tc>
          <w:tcPr>
            <w:tcW w:w="1083" w:type="dxa"/>
            <w:noWrap w:val="0"/>
            <w:vAlign w:val="center"/>
          </w:tcPr>
          <w:p w14:paraId="4F5D354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实施单位</w:t>
            </w:r>
          </w:p>
        </w:tc>
        <w:tc>
          <w:tcPr>
            <w:tcW w:w="3300" w:type="dxa"/>
            <w:gridSpan w:val="3"/>
            <w:noWrap w:val="0"/>
            <w:vAlign w:val="center"/>
          </w:tcPr>
          <w:p w14:paraId="00C8414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　岳阳市智慧城管指挥中心</w:t>
            </w:r>
          </w:p>
        </w:tc>
      </w:tr>
      <w:tr w14:paraId="679A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80" w:type="dxa"/>
            <w:vMerge w:val="restart"/>
            <w:noWrap w:val="0"/>
            <w:vAlign w:val="center"/>
          </w:tcPr>
          <w:p w14:paraId="064718F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noWrap w:val="0"/>
            <w:vAlign w:val="center"/>
          </w:tcPr>
          <w:p w14:paraId="5BB54B2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308" w:type="dxa"/>
            <w:noWrap w:val="0"/>
            <w:vAlign w:val="center"/>
          </w:tcPr>
          <w:p w14:paraId="12FA1A1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0DC761A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40" w:type="dxa"/>
            <w:noWrap w:val="0"/>
            <w:vAlign w:val="center"/>
          </w:tcPr>
          <w:p w14:paraId="37EAD91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4B51E8C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083" w:type="dxa"/>
            <w:noWrap w:val="0"/>
            <w:vAlign w:val="center"/>
          </w:tcPr>
          <w:p w14:paraId="75C48DA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684D634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789" w:type="dxa"/>
            <w:noWrap w:val="0"/>
            <w:vAlign w:val="center"/>
          </w:tcPr>
          <w:p w14:paraId="3DCE0C2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noWrap w:val="0"/>
            <w:vAlign w:val="center"/>
          </w:tcPr>
          <w:p w14:paraId="168C018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638" w:type="dxa"/>
            <w:noWrap w:val="0"/>
            <w:vAlign w:val="center"/>
          </w:tcPr>
          <w:p w14:paraId="5882B7E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09AC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41415A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4866044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308" w:type="dxa"/>
            <w:noWrap w:val="0"/>
            <w:vAlign w:val="center"/>
          </w:tcPr>
          <w:p w14:paraId="1B06D9D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80</w:t>
            </w:r>
          </w:p>
        </w:tc>
        <w:tc>
          <w:tcPr>
            <w:tcW w:w="1140" w:type="dxa"/>
            <w:noWrap w:val="0"/>
            <w:vAlign w:val="center"/>
          </w:tcPr>
          <w:p w14:paraId="0D208C5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80</w:t>
            </w:r>
          </w:p>
        </w:tc>
        <w:tc>
          <w:tcPr>
            <w:tcW w:w="1083" w:type="dxa"/>
            <w:noWrap w:val="0"/>
            <w:vAlign w:val="center"/>
          </w:tcPr>
          <w:p w14:paraId="5261A0E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95.45</w:t>
            </w:r>
          </w:p>
        </w:tc>
        <w:tc>
          <w:tcPr>
            <w:tcW w:w="789" w:type="dxa"/>
            <w:noWrap w:val="0"/>
            <w:vAlign w:val="center"/>
          </w:tcPr>
          <w:p w14:paraId="00CAA265">
            <w:pPr>
              <w:keepNext w:val="0"/>
              <w:keepLines w:val="0"/>
              <w:pageBreakBefore w:val="0"/>
              <w:widowControl/>
              <w:kinsoku/>
              <w:wordWrap/>
              <w:overflowPunct/>
              <w:topLinePunct w:val="0"/>
              <w:autoSpaceDE/>
              <w:autoSpaceDN/>
              <w:bidi w:val="0"/>
              <w:adjustRightInd/>
              <w:snapToGrid/>
              <w:spacing w:line="320" w:lineRule="exact"/>
              <w:ind w:firstLine="200" w:firstLineChars="100"/>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noWrap w:val="0"/>
            <w:vAlign w:val="center"/>
          </w:tcPr>
          <w:p w14:paraId="5A16CB8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119.3%</w:t>
            </w:r>
          </w:p>
        </w:tc>
        <w:tc>
          <w:tcPr>
            <w:tcW w:w="1638" w:type="dxa"/>
            <w:noWrap w:val="0"/>
            <w:vAlign w:val="center"/>
          </w:tcPr>
          <w:p w14:paraId="560CA92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10</w:t>
            </w:r>
          </w:p>
        </w:tc>
      </w:tr>
      <w:tr w14:paraId="7B05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7D2331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3F950E0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308" w:type="dxa"/>
            <w:noWrap w:val="0"/>
            <w:vAlign w:val="center"/>
          </w:tcPr>
          <w:p w14:paraId="1746426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80</w:t>
            </w:r>
          </w:p>
        </w:tc>
        <w:tc>
          <w:tcPr>
            <w:tcW w:w="1140" w:type="dxa"/>
            <w:noWrap w:val="0"/>
            <w:vAlign w:val="center"/>
          </w:tcPr>
          <w:p w14:paraId="2BF76CC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80</w:t>
            </w:r>
          </w:p>
        </w:tc>
        <w:tc>
          <w:tcPr>
            <w:tcW w:w="1083" w:type="dxa"/>
            <w:noWrap w:val="0"/>
            <w:vAlign w:val="center"/>
          </w:tcPr>
          <w:p w14:paraId="148FD3D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95.45</w:t>
            </w:r>
          </w:p>
        </w:tc>
        <w:tc>
          <w:tcPr>
            <w:tcW w:w="789" w:type="dxa"/>
            <w:noWrap w:val="0"/>
            <w:vAlign w:val="center"/>
          </w:tcPr>
          <w:p w14:paraId="7A5709A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873" w:type="dxa"/>
            <w:noWrap w:val="0"/>
            <w:vAlign w:val="center"/>
          </w:tcPr>
          <w:p w14:paraId="10ADC88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638" w:type="dxa"/>
            <w:noWrap w:val="0"/>
            <w:vAlign w:val="center"/>
          </w:tcPr>
          <w:p w14:paraId="0BFFAE0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r>
      <w:tr w14:paraId="240D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A4A62F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7637DA34">
            <w:pPr>
              <w:keepNext w:val="0"/>
              <w:keepLines w:val="0"/>
              <w:pageBreakBefore w:val="0"/>
              <w:widowControl/>
              <w:kinsoku/>
              <w:wordWrap/>
              <w:overflowPunct/>
              <w:topLinePunct w:val="0"/>
              <w:autoSpaceDE/>
              <w:autoSpaceDN/>
              <w:bidi w:val="0"/>
              <w:adjustRightInd/>
              <w:snapToGrid/>
              <w:spacing w:line="32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308" w:type="dxa"/>
            <w:noWrap w:val="0"/>
            <w:vAlign w:val="center"/>
          </w:tcPr>
          <w:p w14:paraId="3D3796F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140" w:type="dxa"/>
            <w:noWrap w:val="0"/>
            <w:vAlign w:val="center"/>
          </w:tcPr>
          <w:p w14:paraId="14D3634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083" w:type="dxa"/>
            <w:noWrap w:val="0"/>
            <w:vAlign w:val="center"/>
          </w:tcPr>
          <w:p w14:paraId="365E1B4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789" w:type="dxa"/>
            <w:noWrap w:val="0"/>
            <w:vAlign w:val="center"/>
          </w:tcPr>
          <w:p w14:paraId="6C244DD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873" w:type="dxa"/>
            <w:noWrap w:val="0"/>
            <w:vAlign w:val="center"/>
          </w:tcPr>
          <w:p w14:paraId="777E655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638" w:type="dxa"/>
            <w:noWrap w:val="0"/>
            <w:vAlign w:val="center"/>
          </w:tcPr>
          <w:p w14:paraId="0C28A8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r>
      <w:tr w14:paraId="72C2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289C96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728A2547">
            <w:pPr>
              <w:keepNext w:val="0"/>
              <w:keepLines w:val="0"/>
              <w:pageBreakBefore w:val="0"/>
              <w:widowControl/>
              <w:kinsoku/>
              <w:wordWrap/>
              <w:overflowPunct/>
              <w:topLinePunct w:val="0"/>
              <w:autoSpaceDE/>
              <w:autoSpaceDN/>
              <w:bidi w:val="0"/>
              <w:adjustRightInd/>
              <w:snapToGrid/>
              <w:spacing w:line="32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308" w:type="dxa"/>
            <w:noWrap w:val="0"/>
            <w:vAlign w:val="center"/>
          </w:tcPr>
          <w:p w14:paraId="6368BC2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40" w:type="dxa"/>
            <w:noWrap w:val="0"/>
            <w:vAlign w:val="center"/>
          </w:tcPr>
          <w:p w14:paraId="4FE0EC5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3" w:type="dxa"/>
            <w:noWrap w:val="0"/>
            <w:vAlign w:val="center"/>
          </w:tcPr>
          <w:p w14:paraId="71C55CC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89" w:type="dxa"/>
            <w:noWrap w:val="0"/>
            <w:vAlign w:val="center"/>
          </w:tcPr>
          <w:p w14:paraId="74D34FB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noWrap w:val="0"/>
            <w:vAlign w:val="center"/>
          </w:tcPr>
          <w:p w14:paraId="4A14C24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638" w:type="dxa"/>
            <w:noWrap w:val="0"/>
            <w:vAlign w:val="center"/>
          </w:tcPr>
          <w:p w14:paraId="4AC9280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683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48A3A25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08" w:type="dxa"/>
            <w:gridSpan w:val="4"/>
            <w:noWrap w:val="0"/>
            <w:vAlign w:val="center"/>
          </w:tcPr>
          <w:p w14:paraId="61E33C3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83" w:type="dxa"/>
            <w:gridSpan w:val="4"/>
            <w:noWrap w:val="0"/>
            <w:vAlign w:val="center"/>
          </w:tcPr>
          <w:p w14:paraId="1C08951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1ED8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080" w:type="dxa"/>
            <w:vMerge w:val="continue"/>
            <w:noWrap w:val="0"/>
            <w:vAlign w:val="center"/>
          </w:tcPr>
          <w:p w14:paraId="3297407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4608" w:type="dxa"/>
            <w:gridSpan w:val="4"/>
            <w:noWrap w:val="0"/>
            <w:vAlign w:val="center"/>
          </w:tcPr>
          <w:p w14:paraId="6600442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城市管理问题受理及时率、准确分派率、案件协调督办率等主要指标值达到规定要求　</w:t>
            </w:r>
          </w:p>
        </w:tc>
        <w:tc>
          <w:tcPr>
            <w:tcW w:w="4383" w:type="dxa"/>
            <w:gridSpan w:val="4"/>
            <w:noWrap w:val="0"/>
            <w:vAlign w:val="center"/>
          </w:tcPr>
          <w:p w14:paraId="711016E3">
            <w:pPr>
              <w:keepNext w:val="0"/>
              <w:keepLines w:val="0"/>
              <w:pageBreakBefore w:val="0"/>
              <w:widowControl/>
              <w:kinsoku/>
              <w:wordWrap/>
              <w:overflowPunct/>
              <w:topLinePunct w:val="0"/>
              <w:autoSpaceDE/>
              <w:autoSpaceDN/>
              <w:bidi w:val="0"/>
              <w:adjustRightInd/>
              <w:snapToGrid/>
              <w:spacing w:line="32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城市管理问题受理及时率、准确分派率、案件协调督办率等主要指标值</w:t>
            </w:r>
            <w:r>
              <w:rPr>
                <w:rFonts w:hint="eastAsia" w:ascii="仿宋_GB2312" w:hAnsi="仿宋_GB2312" w:eastAsia="仿宋_GB2312" w:cs="仿宋_GB2312"/>
                <w:color w:val="000000"/>
                <w:sz w:val="20"/>
                <w:szCs w:val="20"/>
                <w:highlight w:val="none"/>
                <w:lang w:eastAsia="zh-CN"/>
              </w:rPr>
              <w:t>均</w:t>
            </w:r>
            <w:r>
              <w:rPr>
                <w:rFonts w:hint="eastAsia" w:ascii="仿宋_GB2312" w:hAnsi="仿宋_GB2312" w:eastAsia="仿宋_GB2312" w:cs="仿宋_GB2312"/>
                <w:color w:val="000000"/>
                <w:sz w:val="20"/>
                <w:szCs w:val="20"/>
                <w:highlight w:val="none"/>
              </w:rPr>
              <w:t>达到</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规定要求</w:t>
            </w:r>
          </w:p>
        </w:tc>
      </w:tr>
      <w:tr w14:paraId="1B6A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0" w:type="dxa"/>
            <w:vMerge w:val="restart"/>
            <w:noWrap w:val="0"/>
            <w:vAlign w:val="center"/>
          </w:tcPr>
          <w:p w14:paraId="0BF7DD3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0593BD6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23A96C7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57F2429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noWrap w:val="0"/>
            <w:vAlign w:val="center"/>
          </w:tcPr>
          <w:p w14:paraId="676C263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noWrap w:val="0"/>
            <w:vAlign w:val="center"/>
          </w:tcPr>
          <w:p w14:paraId="19BFB2D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308" w:type="dxa"/>
            <w:noWrap w:val="0"/>
            <w:vAlign w:val="center"/>
          </w:tcPr>
          <w:p w14:paraId="633B71E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40" w:type="dxa"/>
            <w:noWrap w:val="0"/>
            <w:vAlign w:val="center"/>
          </w:tcPr>
          <w:p w14:paraId="762188B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759742A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083" w:type="dxa"/>
            <w:noWrap w:val="0"/>
            <w:vAlign w:val="center"/>
          </w:tcPr>
          <w:p w14:paraId="5949C77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5E367ED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789" w:type="dxa"/>
            <w:noWrap w:val="0"/>
            <w:vAlign w:val="center"/>
          </w:tcPr>
          <w:p w14:paraId="3FB27B1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noWrap w:val="0"/>
            <w:vAlign w:val="center"/>
          </w:tcPr>
          <w:p w14:paraId="2765037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638" w:type="dxa"/>
            <w:noWrap w:val="0"/>
            <w:vAlign w:val="center"/>
          </w:tcPr>
          <w:p w14:paraId="6F2D2A79">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0687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999AE28">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687B43E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6E94D7D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p w14:paraId="4E3043D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noWrap w:val="0"/>
            <w:vAlign w:val="center"/>
          </w:tcPr>
          <w:p w14:paraId="719EE1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308" w:type="dxa"/>
            <w:noWrap w:val="0"/>
            <w:vAlign w:val="center"/>
          </w:tcPr>
          <w:p w14:paraId="68E6C9E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案件办理数量</w:t>
            </w:r>
          </w:p>
        </w:tc>
        <w:tc>
          <w:tcPr>
            <w:tcW w:w="1140" w:type="dxa"/>
            <w:noWrap w:val="0"/>
            <w:vAlign w:val="center"/>
          </w:tcPr>
          <w:p w14:paraId="47FD410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平均</w:t>
            </w:r>
            <w:r>
              <w:rPr>
                <w:rFonts w:hint="eastAsia" w:ascii="仿宋_GB2312" w:hAnsi="仿宋_GB2312" w:eastAsia="仿宋_GB2312" w:cs="仿宋_GB2312"/>
                <w:color w:val="000000"/>
                <w:sz w:val="20"/>
                <w:szCs w:val="20"/>
                <w:highlight w:val="none"/>
                <w:lang w:val="en-US" w:eastAsia="zh-CN"/>
              </w:rPr>
              <w:t>700</w:t>
            </w:r>
            <w:r>
              <w:rPr>
                <w:rFonts w:hint="eastAsia" w:ascii="仿宋_GB2312" w:hAnsi="仿宋_GB2312" w:eastAsia="仿宋_GB2312" w:cs="仿宋_GB2312"/>
                <w:color w:val="000000"/>
                <w:sz w:val="20"/>
                <w:szCs w:val="20"/>
                <w:highlight w:val="none"/>
              </w:rPr>
              <w:t>件/天</w:t>
            </w:r>
          </w:p>
        </w:tc>
        <w:tc>
          <w:tcPr>
            <w:tcW w:w="1083" w:type="dxa"/>
            <w:noWrap w:val="0"/>
            <w:vAlign w:val="center"/>
          </w:tcPr>
          <w:p w14:paraId="26402AD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629件/天</w:t>
            </w:r>
          </w:p>
        </w:tc>
        <w:tc>
          <w:tcPr>
            <w:tcW w:w="789" w:type="dxa"/>
            <w:noWrap w:val="0"/>
            <w:vAlign w:val="center"/>
          </w:tcPr>
          <w:p w14:paraId="511DEEC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50AAEEE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638" w:type="dxa"/>
            <w:noWrap w:val="0"/>
            <w:vAlign w:val="center"/>
          </w:tcPr>
          <w:p w14:paraId="5ED915E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随着城市管理水平的不断提升，城市管理案件数量呈下降趋势。进一步加强信息采集的范围和及时性管理，提升管理水平。</w:t>
            </w:r>
          </w:p>
        </w:tc>
      </w:tr>
      <w:tr w14:paraId="086D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36DA705">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1D6E671">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EDC795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308" w:type="dxa"/>
            <w:noWrap w:val="0"/>
            <w:vAlign w:val="center"/>
          </w:tcPr>
          <w:p w14:paraId="4926B67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城市管理事部件问题全天候受理</w:t>
            </w:r>
          </w:p>
        </w:tc>
        <w:tc>
          <w:tcPr>
            <w:tcW w:w="1140" w:type="dxa"/>
            <w:noWrap w:val="0"/>
            <w:vAlign w:val="center"/>
          </w:tcPr>
          <w:p w14:paraId="507DAA5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全年365天</w:t>
            </w:r>
          </w:p>
        </w:tc>
        <w:tc>
          <w:tcPr>
            <w:tcW w:w="1083" w:type="dxa"/>
            <w:noWrap w:val="0"/>
            <w:vAlign w:val="center"/>
          </w:tcPr>
          <w:p w14:paraId="342408E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全年365天</w:t>
            </w:r>
          </w:p>
        </w:tc>
        <w:tc>
          <w:tcPr>
            <w:tcW w:w="789" w:type="dxa"/>
            <w:noWrap w:val="0"/>
            <w:vAlign w:val="center"/>
          </w:tcPr>
          <w:p w14:paraId="13A6606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15B8F2E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638" w:type="dxa"/>
            <w:noWrap w:val="0"/>
            <w:vAlign w:val="center"/>
          </w:tcPr>
          <w:p w14:paraId="36434A1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32A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FF28B54">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C17EE32">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5941500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308" w:type="dxa"/>
            <w:noWrap w:val="0"/>
            <w:vAlign w:val="center"/>
          </w:tcPr>
          <w:p w14:paraId="7B037B5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案件办理准确率</w:t>
            </w:r>
          </w:p>
        </w:tc>
        <w:tc>
          <w:tcPr>
            <w:tcW w:w="1140" w:type="dxa"/>
            <w:noWrap w:val="0"/>
            <w:vAlign w:val="center"/>
          </w:tcPr>
          <w:p w14:paraId="6F16BE8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不低于98%</w:t>
            </w:r>
          </w:p>
        </w:tc>
        <w:tc>
          <w:tcPr>
            <w:tcW w:w="1083" w:type="dxa"/>
            <w:noWrap w:val="0"/>
            <w:vAlign w:val="center"/>
          </w:tcPr>
          <w:p w14:paraId="351B257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99.49%</w:t>
            </w:r>
          </w:p>
        </w:tc>
        <w:tc>
          <w:tcPr>
            <w:tcW w:w="789" w:type="dxa"/>
            <w:noWrap w:val="0"/>
            <w:vAlign w:val="center"/>
          </w:tcPr>
          <w:p w14:paraId="6EE9ADE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34C65B2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638" w:type="dxa"/>
            <w:noWrap w:val="0"/>
            <w:vAlign w:val="center"/>
          </w:tcPr>
          <w:p w14:paraId="077F83E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AB7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DF313BC">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FAB4095">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0A6280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308" w:type="dxa"/>
            <w:noWrap w:val="0"/>
            <w:vAlign w:val="center"/>
          </w:tcPr>
          <w:p w14:paraId="5E60266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服务态度</w:t>
            </w:r>
            <w:r>
              <w:rPr>
                <w:rFonts w:hint="eastAsia" w:ascii="仿宋_GB2312" w:hAnsi="仿宋_GB2312" w:eastAsia="仿宋_GB2312" w:cs="仿宋_GB2312"/>
                <w:color w:val="000000"/>
                <w:sz w:val="20"/>
                <w:szCs w:val="20"/>
                <w:lang w:eastAsia="zh-CN"/>
              </w:rPr>
              <w:t>、服务</w:t>
            </w:r>
            <w:r>
              <w:rPr>
                <w:rFonts w:hint="eastAsia" w:ascii="仿宋_GB2312" w:hAnsi="仿宋_GB2312" w:eastAsia="仿宋_GB2312" w:cs="仿宋_GB2312"/>
                <w:color w:val="000000"/>
                <w:sz w:val="20"/>
                <w:szCs w:val="20"/>
                <w:lang w:val="en-US" w:eastAsia="zh-CN"/>
              </w:rPr>
              <w:t>质量</w:t>
            </w:r>
          </w:p>
        </w:tc>
        <w:tc>
          <w:tcPr>
            <w:tcW w:w="1140" w:type="dxa"/>
            <w:noWrap w:val="0"/>
            <w:vAlign w:val="center"/>
          </w:tcPr>
          <w:p w14:paraId="0D68196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服务态度</w:t>
            </w:r>
            <w:r>
              <w:rPr>
                <w:rFonts w:hint="eastAsia" w:ascii="仿宋_GB2312" w:hAnsi="仿宋_GB2312" w:eastAsia="仿宋_GB2312" w:cs="仿宋_GB2312"/>
                <w:color w:val="000000"/>
                <w:sz w:val="20"/>
                <w:szCs w:val="20"/>
                <w:lang w:eastAsia="zh-CN"/>
              </w:rPr>
              <w:t>、</w:t>
            </w:r>
            <w:r>
              <w:rPr>
                <w:rFonts w:hint="eastAsia" w:ascii="仿宋_GB2312" w:hAnsi="仿宋_GB2312" w:eastAsia="仿宋_GB2312" w:cs="仿宋_GB2312"/>
                <w:color w:val="000000"/>
                <w:sz w:val="20"/>
                <w:szCs w:val="20"/>
                <w:lang w:val="en-US" w:eastAsia="zh-CN"/>
              </w:rPr>
              <w:t>质量</w:t>
            </w:r>
            <w:r>
              <w:rPr>
                <w:rFonts w:hint="eastAsia" w:ascii="仿宋_GB2312" w:hAnsi="仿宋_GB2312" w:eastAsia="仿宋_GB2312" w:cs="仿宋_GB2312"/>
                <w:color w:val="000000"/>
                <w:sz w:val="20"/>
                <w:szCs w:val="20"/>
              </w:rPr>
              <w:t>好</w:t>
            </w:r>
          </w:p>
        </w:tc>
        <w:tc>
          <w:tcPr>
            <w:tcW w:w="1083" w:type="dxa"/>
            <w:noWrap w:val="0"/>
            <w:vAlign w:val="center"/>
          </w:tcPr>
          <w:p w14:paraId="307470C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全年</w:t>
            </w:r>
            <w:r>
              <w:rPr>
                <w:rFonts w:hint="eastAsia" w:ascii="仿宋_GB2312" w:hAnsi="仿宋_GB2312" w:eastAsia="仿宋_GB2312" w:cs="仿宋_GB2312"/>
                <w:color w:val="000000"/>
                <w:sz w:val="20"/>
                <w:szCs w:val="20"/>
              </w:rPr>
              <w:t>无投诉</w:t>
            </w:r>
          </w:p>
        </w:tc>
        <w:tc>
          <w:tcPr>
            <w:tcW w:w="789" w:type="dxa"/>
            <w:noWrap w:val="0"/>
            <w:vAlign w:val="center"/>
          </w:tcPr>
          <w:p w14:paraId="629DF89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1ED5D77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638" w:type="dxa"/>
            <w:noWrap w:val="0"/>
            <w:vAlign w:val="center"/>
          </w:tcPr>
          <w:p w14:paraId="09E0807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AE3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398370D">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345E9647">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54D4E7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308" w:type="dxa"/>
            <w:noWrap w:val="0"/>
            <w:vAlign w:val="center"/>
          </w:tcPr>
          <w:p w14:paraId="740620F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年度、季度考核符合规定</w:t>
            </w:r>
          </w:p>
        </w:tc>
        <w:tc>
          <w:tcPr>
            <w:tcW w:w="1140" w:type="dxa"/>
            <w:noWrap w:val="0"/>
            <w:vAlign w:val="center"/>
          </w:tcPr>
          <w:p w14:paraId="4A4837B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符合绩效考核标准</w:t>
            </w:r>
          </w:p>
        </w:tc>
        <w:tc>
          <w:tcPr>
            <w:tcW w:w="1083" w:type="dxa"/>
            <w:noWrap w:val="0"/>
            <w:vAlign w:val="center"/>
          </w:tcPr>
          <w:p w14:paraId="570D1EB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考核符合规定</w:t>
            </w:r>
          </w:p>
        </w:tc>
        <w:tc>
          <w:tcPr>
            <w:tcW w:w="789" w:type="dxa"/>
            <w:noWrap w:val="0"/>
            <w:vAlign w:val="center"/>
          </w:tcPr>
          <w:p w14:paraId="35ABC76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4454167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638" w:type="dxa"/>
            <w:noWrap w:val="0"/>
            <w:vAlign w:val="center"/>
          </w:tcPr>
          <w:p w14:paraId="2FA07E1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25D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28A4DF61">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6E8F5DEC">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0711E14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308" w:type="dxa"/>
            <w:noWrap w:val="0"/>
            <w:vAlign w:val="center"/>
          </w:tcPr>
          <w:p w14:paraId="04EF894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案件办理及时率</w:t>
            </w:r>
          </w:p>
        </w:tc>
        <w:tc>
          <w:tcPr>
            <w:tcW w:w="1140" w:type="dxa"/>
            <w:noWrap w:val="0"/>
            <w:vAlign w:val="center"/>
          </w:tcPr>
          <w:p w14:paraId="472D59E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不低于98%</w:t>
            </w:r>
          </w:p>
        </w:tc>
        <w:tc>
          <w:tcPr>
            <w:tcW w:w="1083" w:type="dxa"/>
            <w:noWrap w:val="0"/>
            <w:vAlign w:val="center"/>
          </w:tcPr>
          <w:p w14:paraId="2F8EF0F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98.5%</w:t>
            </w:r>
          </w:p>
        </w:tc>
        <w:tc>
          <w:tcPr>
            <w:tcW w:w="789" w:type="dxa"/>
            <w:noWrap w:val="0"/>
            <w:vAlign w:val="center"/>
          </w:tcPr>
          <w:p w14:paraId="1E91C33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4BDFDDF6">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 xml:space="preserve">  5</w:t>
            </w:r>
          </w:p>
        </w:tc>
        <w:tc>
          <w:tcPr>
            <w:tcW w:w="1638" w:type="dxa"/>
            <w:noWrap w:val="0"/>
            <w:vAlign w:val="center"/>
          </w:tcPr>
          <w:p w14:paraId="1233A02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481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D1D9546">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DB3850D">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73B2DA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308" w:type="dxa"/>
            <w:noWrap w:val="0"/>
            <w:vAlign w:val="center"/>
          </w:tcPr>
          <w:p w14:paraId="4300687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工作按计划实施</w:t>
            </w:r>
          </w:p>
        </w:tc>
        <w:tc>
          <w:tcPr>
            <w:tcW w:w="1140" w:type="dxa"/>
            <w:noWrap w:val="0"/>
            <w:vAlign w:val="center"/>
          </w:tcPr>
          <w:p w14:paraId="4F43207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2025年12月31日前</w:t>
            </w:r>
          </w:p>
        </w:tc>
        <w:tc>
          <w:tcPr>
            <w:tcW w:w="1083" w:type="dxa"/>
            <w:noWrap w:val="0"/>
            <w:vAlign w:val="center"/>
          </w:tcPr>
          <w:p w14:paraId="7C17074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2025年12月31日前完成</w:t>
            </w:r>
          </w:p>
        </w:tc>
        <w:tc>
          <w:tcPr>
            <w:tcW w:w="789" w:type="dxa"/>
            <w:noWrap w:val="0"/>
            <w:vAlign w:val="center"/>
          </w:tcPr>
          <w:p w14:paraId="78FC6BA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2960A37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638" w:type="dxa"/>
            <w:noWrap w:val="0"/>
            <w:vAlign w:val="center"/>
          </w:tcPr>
          <w:p w14:paraId="034C07B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87B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22331D53">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4DE7390">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52A4961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308" w:type="dxa"/>
            <w:noWrap w:val="0"/>
            <w:vAlign w:val="center"/>
          </w:tcPr>
          <w:p w14:paraId="4649B22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项目成本控制</w:t>
            </w:r>
          </w:p>
        </w:tc>
        <w:tc>
          <w:tcPr>
            <w:tcW w:w="1140" w:type="dxa"/>
            <w:noWrap w:val="0"/>
            <w:vAlign w:val="center"/>
          </w:tcPr>
          <w:p w14:paraId="57FC254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80</w:t>
            </w:r>
            <w:r>
              <w:rPr>
                <w:rFonts w:hint="eastAsia" w:ascii="仿宋_GB2312" w:hAnsi="仿宋_GB2312" w:eastAsia="仿宋_GB2312" w:cs="仿宋_GB2312"/>
                <w:color w:val="000000"/>
                <w:sz w:val="20"/>
                <w:szCs w:val="20"/>
                <w:highlight w:val="none"/>
                <w:lang w:val="en-US" w:eastAsia="zh-CN"/>
              </w:rPr>
              <w:t>万元</w:t>
            </w:r>
          </w:p>
        </w:tc>
        <w:tc>
          <w:tcPr>
            <w:tcW w:w="1083" w:type="dxa"/>
            <w:noWrap w:val="0"/>
            <w:vAlign w:val="center"/>
          </w:tcPr>
          <w:p w14:paraId="56C04CF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lang w:val="en-US" w:eastAsia="zh-CN"/>
              </w:rPr>
              <w:t>95.45</w:t>
            </w:r>
            <w:r>
              <w:rPr>
                <w:rFonts w:hint="eastAsia" w:ascii="仿宋_GB2312" w:hAnsi="仿宋_GB2312" w:eastAsia="仿宋_GB2312" w:cs="仿宋_GB2312"/>
                <w:color w:val="000000"/>
                <w:sz w:val="20"/>
                <w:szCs w:val="20"/>
                <w:highlight w:val="none"/>
                <w:lang w:val="en-US" w:eastAsia="zh-CN"/>
              </w:rPr>
              <w:t>万元</w:t>
            </w:r>
          </w:p>
        </w:tc>
        <w:tc>
          <w:tcPr>
            <w:tcW w:w="789" w:type="dxa"/>
            <w:noWrap w:val="0"/>
            <w:vAlign w:val="center"/>
          </w:tcPr>
          <w:p w14:paraId="55F7A17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1D608D3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eastAsia="zh-CN"/>
              </w:rPr>
              <w:t>4</w:t>
            </w:r>
          </w:p>
        </w:tc>
        <w:tc>
          <w:tcPr>
            <w:tcW w:w="1638" w:type="dxa"/>
            <w:noWrap w:val="0"/>
            <w:vAlign w:val="center"/>
          </w:tcPr>
          <w:p w14:paraId="5DA6147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因</w:t>
            </w:r>
            <w:r>
              <w:rPr>
                <w:rFonts w:hint="eastAsia" w:ascii="仿宋_GB2312" w:hAnsi="仿宋_GB2312" w:eastAsia="仿宋_GB2312" w:cs="仿宋_GB2312"/>
                <w:color w:val="000000"/>
                <w:sz w:val="20"/>
                <w:szCs w:val="20"/>
                <w:highlight w:val="none"/>
                <w:lang w:val="en-US" w:eastAsia="zh-CN"/>
              </w:rPr>
              <w:t>2025年预算缩减，裁减4名坐席员，产生经济补偿金。</w:t>
            </w:r>
          </w:p>
        </w:tc>
      </w:tr>
      <w:tr w14:paraId="40DD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F986773">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68ECF22E">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407C33BD">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308" w:type="dxa"/>
            <w:noWrap w:val="0"/>
            <w:vAlign w:val="center"/>
          </w:tcPr>
          <w:p w14:paraId="144693D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对自然生态环境造成的负面影响</w:t>
            </w:r>
          </w:p>
        </w:tc>
        <w:tc>
          <w:tcPr>
            <w:tcW w:w="1140" w:type="dxa"/>
            <w:noWrap w:val="0"/>
            <w:vAlign w:val="center"/>
          </w:tcPr>
          <w:p w14:paraId="5C9225A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1083" w:type="dxa"/>
            <w:noWrap w:val="0"/>
            <w:vAlign w:val="center"/>
          </w:tcPr>
          <w:p w14:paraId="0371AB8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789" w:type="dxa"/>
            <w:noWrap w:val="0"/>
            <w:vAlign w:val="center"/>
          </w:tcPr>
          <w:p w14:paraId="58EDF0B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142C67E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638" w:type="dxa"/>
            <w:noWrap w:val="0"/>
            <w:vAlign w:val="center"/>
          </w:tcPr>
          <w:p w14:paraId="683B5CC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906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254B2001">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3BC01F1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4898A0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308" w:type="dxa"/>
            <w:noWrap w:val="0"/>
            <w:vAlign w:val="center"/>
          </w:tcPr>
          <w:p w14:paraId="5DE527D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对社会发展可能造成的负面影响</w:t>
            </w:r>
          </w:p>
        </w:tc>
        <w:tc>
          <w:tcPr>
            <w:tcW w:w="1140" w:type="dxa"/>
            <w:noWrap w:val="0"/>
            <w:vAlign w:val="center"/>
          </w:tcPr>
          <w:p w14:paraId="5937990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无负面影响</w:t>
            </w:r>
          </w:p>
        </w:tc>
        <w:tc>
          <w:tcPr>
            <w:tcW w:w="1083" w:type="dxa"/>
            <w:noWrap w:val="0"/>
            <w:vAlign w:val="center"/>
          </w:tcPr>
          <w:p w14:paraId="51BC576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无负面影响</w:t>
            </w:r>
          </w:p>
        </w:tc>
        <w:tc>
          <w:tcPr>
            <w:tcW w:w="789" w:type="dxa"/>
            <w:noWrap w:val="0"/>
            <w:vAlign w:val="center"/>
          </w:tcPr>
          <w:p w14:paraId="088B98B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noWrap w:val="0"/>
            <w:vAlign w:val="center"/>
          </w:tcPr>
          <w:p w14:paraId="0F0CF84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638" w:type="dxa"/>
            <w:noWrap w:val="0"/>
            <w:vAlign w:val="center"/>
          </w:tcPr>
          <w:p w14:paraId="32890F3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303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82BCEC6">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1A34099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7291371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p w14:paraId="36BA12E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0481DBF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noWrap w:val="0"/>
            <w:vAlign w:val="center"/>
          </w:tcPr>
          <w:p w14:paraId="545AE9D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6AA4A1B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08" w:type="dxa"/>
            <w:noWrap w:val="0"/>
            <w:vAlign w:val="center"/>
          </w:tcPr>
          <w:p w14:paraId="77BAD8F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产生一定的间接经济效益</w:t>
            </w:r>
          </w:p>
        </w:tc>
        <w:tc>
          <w:tcPr>
            <w:tcW w:w="1140" w:type="dxa"/>
            <w:noWrap w:val="0"/>
            <w:vAlign w:val="center"/>
          </w:tcPr>
          <w:p w14:paraId="19B8165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提升城市管理工作效率，降低城市管理成本</w:t>
            </w:r>
          </w:p>
        </w:tc>
        <w:tc>
          <w:tcPr>
            <w:tcW w:w="1083" w:type="dxa"/>
            <w:noWrap w:val="0"/>
            <w:vAlign w:val="center"/>
          </w:tcPr>
          <w:p w14:paraId="5FE3334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lang w:val="en" w:eastAsia="zh-CN"/>
              </w:rPr>
              <w:t>有效助力了城市管理相关单位成本管控</w:t>
            </w:r>
          </w:p>
        </w:tc>
        <w:tc>
          <w:tcPr>
            <w:tcW w:w="789" w:type="dxa"/>
            <w:noWrap w:val="0"/>
            <w:vAlign w:val="center"/>
          </w:tcPr>
          <w:p w14:paraId="20A1E66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630CD73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638" w:type="dxa"/>
            <w:noWrap w:val="0"/>
            <w:vAlign w:val="center"/>
          </w:tcPr>
          <w:p w14:paraId="2BCB5ED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41F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DA6942F">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953650F">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317641D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4FDF135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08" w:type="dxa"/>
            <w:noWrap w:val="0"/>
            <w:vAlign w:val="center"/>
          </w:tcPr>
          <w:p w14:paraId="6C52552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改善城市</w:t>
            </w:r>
            <w:r>
              <w:rPr>
                <w:rFonts w:hint="eastAsia" w:ascii="仿宋_GB2312" w:hAnsi="仿宋_GB2312" w:eastAsia="仿宋_GB2312" w:cs="仿宋_GB2312"/>
                <w:color w:val="000000"/>
                <w:sz w:val="20"/>
                <w:szCs w:val="20"/>
                <w:highlight w:val="none"/>
              </w:rPr>
              <w:t>辖区居民舒适感</w:t>
            </w:r>
          </w:p>
        </w:tc>
        <w:tc>
          <w:tcPr>
            <w:tcW w:w="1140" w:type="dxa"/>
            <w:noWrap w:val="0"/>
            <w:vAlign w:val="center"/>
          </w:tcPr>
          <w:p w14:paraId="426A6EB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通过指挥各类城市管理问及时有效处置，提升市民满意度</w:t>
            </w:r>
          </w:p>
        </w:tc>
        <w:tc>
          <w:tcPr>
            <w:tcW w:w="1083" w:type="dxa"/>
            <w:noWrap w:val="0"/>
            <w:vAlign w:val="center"/>
          </w:tcPr>
          <w:p w14:paraId="3F80432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城市管理公共服务水平不断提升，市民满意度不断提高</w:t>
            </w:r>
          </w:p>
        </w:tc>
        <w:tc>
          <w:tcPr>
            <w:tcW w:w="789" w:type="dxa"/>
            <w:noWrap w:val="0"/>
            <w:vAlign w:val="center"/>
          </w:tcPr>
          <w:p w14:paraId="203E13D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2D07C79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638" w:type="dxa"/>
            <w:noWrap w:val="0"/>
            <w:vAlign w:val="center"/>
          </w:tcPr>
          <w:p w14:paraId="669ECC6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48F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CC97D27">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42DA5E23">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0B1B7A5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2EA0C8F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308" w:type="dxa"/>
            <w:noWrap w:val="0"/>
            <w:vAlign w:val="center"/>
          </w:tcPr>
          <w:p w14:paraId="4BA9060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及时受理</w:t>
            </w:r>
            <w:r>
              <w:rPr>
                <w:rFonts w:hint="eastAsia" w:ascii="仿宋_GB2312" w:hAnsi="仿宋_GB2312" w:eastAsia="仿宋_GB2312" w:cs="仿宋_GB2312"/>
                <w:color w:val="000000"/>
                <w:sz w:val="20"/>
                <w:szCs w:val="20"/>
                <w:highlight w:val="none"/>
              </w:rPr>
              <w:t>城区道路污染，扬尘污染，商业噪音污染等问题，为市民提供良好居住环境</w:t>
            </w:r>
          </w:p>
        </w:tc>
        <w:tc>
          <w:tcPr>
            <w:tcW w:w="1140" w:type="dxa"/>
            <w:noWrap w:val="0"/>
            <w:vAlign w:val="center"/>
          </w:tcPr>
          <w:p w14:paraId="6C1DB11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改善城市居住环境</w:t>
            </w:r>
          </w:p>
        </w:tc>
        <w:tc>
          <w:tcPr>
            <w:tcW w:w="1083" w:type="dxa"/>
            <w:noWrap w:val="0"/>
            <w:vAlign w:val="center"/>
          </w:tcPr>
          <w:p w14:paraId="17B338F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有效改善</w:t>
            </w:r>
          </w:p>
        </w:tc>
        <w:tc>
          <w:tcPr>
            <w:tcW w:w="789" w:type="dxa"/>
            <w:noWrap w:val="0"/>
            <w:vAlign w:val="center"/>
          </w:tcPr>
          <w:p w14:paraId="7E692C9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50F1349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638" w:type="dxa"/>
            <w:noWrap w:val="0"/>
            <w:vAlign w:val="center"/>
          </w:tcPr>
          <w:p w14:paraId="7E5CE03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商业噪音偶有发生</w:t>
            </w:r>
            <w:r>
              <w:rPr>
                <w:rFonts w:hint="eastAsia" w:ascii="仿宋_GB2312" w:hAnsi="仿宋_GB2312" w:eastAsia="仿宋_GB2312" w:cs="仿宋_GB2312"/>
                <w:color w:val="000000"/>
                <w:sz w:val="20"/>
                <w:szCs w:val="20"/>
                <w:highlight w:val="none"/>
                <w:lang w:val="en-US" w:eastAsia="zh-CN"/>
              </w:rPr>
              <w:t>,下一步加强管理。</w:t>
            </w:r>
          </w:p>
        </w:tc>
      </w:tr>
      <w:tr w14:paraId="2F2B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2186CA9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6870530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0824BA2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308" w:type="dxa"/>
            <w:noWrap w:val="0"/>
            <w:vAlign w:val="center"/>
          </w:tcPr>
          <w:p w14:paraId="4EE20A7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eastAsia="zh-CN"/>
              </w:rPr>
              <w:t>及时</w:t>
            </w:r>
            <w:r>
              <w:rPr>
                <w:rFonts w:hint="eastAsia" w:ascii="仿宋_GB2312" w:hAnsi="仿宋_GB2312" w:eastAsia="仿宋_GB2312" w:cs="仿宋_GB2312"/>
                <w:color w:val="000000"/>
                <w:sz w:val="20"/>
                <w:szCs w:val="20"/>
              </w:rPr>
              <w:t>受理、分派、督办以信息采集上报为主要渠道的城市管理事部件问题</w:t>
            </w:r>
          </w:p>
        </w:tc>
        <w:tc>
          <w:tcPr>
            <w:tcW w:w="1140" w:type="dxa"/>
            <w:noWrap w:val="0"/>
            <w:vAlign w:val="center"/>
          </w:tcPr>
          <w:p w14:paraId="31E1C43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进一步提升城市管理水平，提高市民对城市管理工作满意度。</w:t>
            </w:r>
          </w:p>
        </w:tc>
        <w:tc>
          <w:tcPr>
            <w:tcW w:w="1083" w:type="dxa"/>
            <w:noWrap w:val="0"/>
            <w:vAlign w:val="center"/>
          </w:tcPr>
          <w:p w14:paraId="5CC9A65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城市管理信息得到及时反映、督办。</w:t>
            </w:r>
          </w:p>
        </w:tc>
        <w:tc>
          <w:tcPr>
            <w:tcW w:w="789" w:type="dxa"/>
            <w:noWrap w:val="0"/>
            <w:vAlign w:val="center"/>
          </w:tcPr>
          <w:p w14:paraId="3A8D2D3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1B8D198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638" w:type="dxa"/>
            <w:noWrap w:val="0"/>
            <w:vAlign w:val="center"/>
          </w:tcPr>
          <w:p w14:paraId="64AA707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CF6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1080" w:type="dxa"/>
            <w:vMerge w:val="continue"/>
            <w:noWrap w:val="0"/>
            <w:vAlign w:val="center"/>
          </w:tcPr>
          <w:p w14:paraId="643C5329">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A6D5F88">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C9B5B53">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308" w:type="dxa"/>
            <w:noWrap w:val="0"/>
            <w:vAlign w:val="center"/>
          </w:tcPr>
          <w:p w14:paraId="19A270E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城市管理信息共享共用</w:t>
            </w:r>
          </w:p>
        </w:tc>
        <w:tc>
          <w:tcPr>
            <w:tcW w:w="1140" w:type="dxa"/>
            <w:noWrap w:val="0"/>
            <w:vAlign w:val="center"/>
          </w:tcPr>
          <w:p w14:paraId="522651C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实现城市管理单位间信息共享</w:t>
            </w:r>
          </w:p>
        </w:tc>
        <w:tc>
          <w:tcPr>
            <w:tcW w:w="1083" w:type="dxa"/>
            <w:noWrap w:val="0"/>
            <w:vAlign w:val="center"/>
          </w:tcPr>
          <w:p w14:paraId="5AB429C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实现了城市管理单位间信息共享</w:t>
            </w:r>
          </w:p>
        </w:tc>
        <w:tc>
          <w:tcPr>
            <w:tcW w:w="789" w:type="dxa"/>
            <w:noWrap w:val="0"/>
            <w:vAlign w:val="center"/>
          </w:tcPr>
          <w:p w14:paraId="3A15E01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41BB69A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638" w:type="dxa"/>
            <w:noWrap w:val="0"/>
            <w:vAlign w:val="center"/>
          </w:tcPr>
          <w:p w14:paraId="1F190DD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4CA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FE67AE3">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0300BD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6D1EFA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43E0D8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noWrap w:val="0"/>
            <w:vAlign w:val="center"/>
          </w:tcPr>
          <w:p w14:paraId="73F5F7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308" w:type="dxa"/>
            <w:noWrap w:val="0"/>
            <w:vAlign w:val="center"/>
          </w:tcPr>
          <w:p w14:paraId="436D042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群众满意度</w:t>
            </w:r>
          </w:p>
        </w:tc>
        <w:tc>
          <w:tcPr>
            <w:tcW w:w="1140" w:type="dxa"/>
            <w:noWrap w:val="0"/>
            <w:vAlign w:val="center"/>
          </w:tcPr>
          <w:p w14:paraId="33288772">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≥98%</w:t>
            </w:r>
          </w:p>
        </w:tc>
        <w:tc>
          <w:tcPr>
            <w:tcW w:w="1083" w:type="dxa"/>
            <w:noWrap w:val="0"/>
            <w:vAlign w:val="center"/>
          </w:tcPr>
          <w:p w14:paraId="56F9BDA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w:t>
            </w:r>
          </w:p>
        </w:tc>
        <w:tc>
          <w:tcPr>
            <w:tcW w:w="789" w:type="dxa"/>
            <w:noWrap w:val="0"/>
            <w:vAlign w:val="center"/>
          </w:tcPr>
          <w:p w14:paraId="232416D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noWrap w:val="0"/>
            <w:vAlign w:val="center"/>
          </w:tcPr>
          <w:p w14:paraId="6AF06C2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638" w:type="dxa"/>
            <w:noWrap w:val="0"/>
            <w:vAlign w:val="center"/>
          </w:tcPr>
          <w:p w14:paraId="6C48EDD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A5F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1" w:type="dxa"/>
            <w:gridSpan w:val="6"/>
            <w:noWrap w:val="0"/>
            <w:vAlign w:val="center"/>
          </w:tcPr>
          <w:p w14:paraId="5A8AB9D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89" w:type="dxa"/>
            <w:noWrap w:val="0"/>
            <w:vAlign w:val="center"/>
          </w:tcPr>
          <w:p w14:paraId="229882A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noWrap w:val="0"/>
            <w:vAlign w:val="center"/>
          </w:tcPr>
          <w:p w14:paraId="688A0A8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w:t>
            </w:r>
          </w:p>
        </w:tc>
        <w:tc>
          <w:tcPr>
            <w:tcW w:w="1638" w:type="dxa"/>
            <w:noWrap w:val="0"/>
            <w:vAlign w:val="center"/>
          </w:tcPr>
          <w:p w14:paraId="0C171CA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6BA43CA3">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rPr>
        <w:t>填表人：</w:t>
      </w:r>
      <w:r>
        <w:rPr>
          <w:rFonts w:hint="eastAsia" w:ascii="仿宋_GB2312" w:hAnsi="仿宋_GB2312" w:eastAsia="仿宋_GB2312" w:cs="仿宋_GB2312"/>
          <w:sz w:val="22"/>
          <w:szCs w:val="22"/>
          <w:lang w:eastAsia="zh-CN"/>
        </w:rPr>
        <w:t>禹荣</w:t>
      </w:r>
      <w:r>
        <w:rPr>
          <w:rFonts w:hint="eastAsia" w:ascii="仿宋_GB2312" w:hAnsi="仿宋_GB2312" w:eastAsia="仿宋_GB2312" w:cs="仿宋_GB2312"/>
          <w:sz w:val="22"/>
          <w:szCs w:val="22"/>
          <w:lang w:val="en"/>
        </w:rPr>
        <w:t xml:space="preserve">  </w:t>
      </w:r>
      <w:r>
        <w:rPr>
          <w:rFonts w:hint="eastAsia" w:ascii="仿宋_GB2312" w:hAnsi="仿宋_GB2312" w:eastAsia="仿宋_GB2312" w:cs="仿宋_GB2312"/>
          <w:sz w:val="22"/>
          <w:szCs w:val="22"/>
        </w:rPr>
        <w:t>填报日期：</w:t>
      </w:r>
      <w:r>
        <w:rPr>
          <w:rFonts w:hint="eastAsia" w:ascii="仿宋_GB2312" w:hAnsi="仿宋_GB2312" w:eastAsia="仿宋_GB2312" w:cs="仿宋_GB2312"/>
          <w:sz w:val="22"/>
          <w:szCs w:val="22"/>
          <w:lang w:val="en-US" w:eastAsia="zh-CN"/>
        </w:rPr>
        <w:t>2026.6.23</w:t>
      </w:r>
      <w:r>
        <w:rPr>
          <w:rFonts w:hint="eastAsia" w:ascii="仿宋_GB2312" w:hAnsi="仿宋_GB2312" w:eastAsia="仿宋_GB2312" w:cs="仿宋_GB2312"/>
          <w:sz w:val="22"/>
          <w:szCs w:val="22"/>
        </w:rPr>
        <w:t xml:space="preserve"> 联系电话：</w:t>
      </w:r>
      <w:r>
        <w:rPr>
          <w:rFonts w:hint="eastAsia" w:ascii="仿宋_GB2312" w:hAnsi="仿宋_GB2312" w:eastAsia="仿宋_GB2312" w:cs="仿宋_GB2312"/>
          <w:sz w:val="22"/>
          <w:szCs w:val="22"/>
          <w:lang w:val="en-US" w:eastAsia="zh-CN"/>
        </w:rPr>
        <w:t>0730-8690022</w:t>
      </w:r>
      <w:r>
        <w:rPr>
          <w:rFonts w:hint="eastAsia" w:ascii="仿宋_GB2312" w:hAnsi="仿宋_GB2312" w:eastAsia="仿宋_GB2312" w:cs="仿宋_GB2312"/>
          <w:sz w:val="22"/>
          <w:szCs w:val="22"/>
        </w:rPr>
        <w:t xml:space="preserve">  单位负责人</w:t>
      </w:r>
      <w:r>
        <w:rPr>
          <w:rFonts w:hint="eastAsia" w:ascii="仿宋_GB2312" w:hAnsi="仿宋_GB2312" w:eastAsia="仿宋_GB2312" w:cs="仿宋_GB2312"/>
          <w:sz w:val="22"/>
          <w:szCs w:val="22"/>
          <w:lang w:eastAsia="zh-CN"/>
        </w:rPr>
        <w:t>：</w:t>
      </w:r>
    </w:p>
    <w:p w14:paraId="2BD5F880"/>
    <w:p w14:paraId="7EF5B945">
      <w:pPr>
        <w:widowControl/>
        <w:spacing w:line="600" w:lineRule="exact"/>
        <w:jc w:val="left"/>
        <w:rPr>
          <w:rFonts w:hint="eastAsia" w:ascii="黑体" w:hAnsi="黑体" w:eastAsia="黑体" w:cs="黑体"/>
          <w:sz w:val="32"/>
          <w:szCs w:val="32"/>
        </w:rPr>
      </w:pPr>
    </w:p>
    <w:p w14:paraId="726DE3C5">
      <w:pPr>
        <w:widowControl/>
        <w:spacing w:line="600" w:lineRule="exact"/>
        <w:jc w:val="left"/>
        <w:rPr>
          <w:rFonts w:hint="default" w:ascii="Times New Roman" w:hAnsi="Times New Roman" w:eastAsia="黑体"/>
          <w:sz w:val="32"/>
          <w:szCs w:val="32"/>
          <w:lang w:val="en-US"/>
        </w:rPr>
      </w:pPr>
      <w:r>
        <w:rPr>
          <w:rFonts w:hint="eastAsia" w:ascii="黑体" w:hAnsi="黑体" w:eastAsia="黑体" w:cs="黑体"/>
          <w:sz w:val="32"/>
          <w:szCs w:val="32"/>
        </w:rPr>
        <w:t>附件1-</w:t>
      </w:r>
      <w:r>
        <w:rPr>
          <w:rFonts w:hint="default" w:ascii="黑体" w:hAnsi="黑体" w:eastAsia="黑体" w:cs="黑体"/>
          <w:sz w:val="32"/>
          <w:szCs w:val="32"/>
          <w:lang w:val="en-US"/>
        </w:rPr>
        <w:t>3</w:t>
      </w:r>
    </w:p>
    <w:p w14:paraId="37156941">
      <w:pPr>
        <w:widowControl/>
        <w:spacing w:line="60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2025年度项目支出绩效自评表</w:t>
      </w:r>
    </w:p>
    <w:p w14:paraId="2713B463">
      <w:pPr>
        <w:pStyle w:val="4"/>
        <w:rPr>
          <w:rFonts w:hint="eastAsia"/>
          <w:lang w:eastAsia="zh-CN"/>
        </w:rPr>
      </w:pP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356"/>
        <w:gridCol w:w="1104"/>
        <w:gridCol w:w="1140"/>
        <w:gridCol w:w="720"/>
        <w:gridCol w:w="873"/>
        <w:gridCol w:w="1418"/>
      </w:tblGrid>
      <w:tr w14:paraId="3C03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7AFE19B">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项目支</w:t>
            </w:r>
          </w:p>
          <w:p w14:paraId="73C9CD80">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出名称</w:t>
            </w:r>
          </w:p>
        </w:tc>
        <w:tc>
          <w:tcPr>
            <w:tcW w:w="8771" w:type="dxa"/>
            <w:gridSpan w:val="8"/>
            <w:noWrap w:val="0"/>
            <w:vAlign w:val="center"/>
          </w:tcPr>
          <w:p w14:paraId="513DC4F4">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sz w:val="20"/>
                <w:szCs w:val="20"/>
              </w:rPr>
              <w:t>一期通讯运营租赁服务　</w:t>
            </w:r>
          </w:p>
        </w:tc>
      </w:tr>
      <w:tr w14:paraId="7A36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080" w:type="dxa"/>
            <w:noWrap w:val="0"/>
            <w:vAlign w:val="center"/>
          </w:tcPr>
          <w:p w14:paraId="3E952391">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主管部门</w:t>
            </w:r>
          </w:p>
        </w:tc>
        <w:tc>
          <w:tcPr>
            <w:tcW w:w="4620" w:type="dxa"/>
            <w:gridSpan w:val="4"/>
            <w:noWrap w:val="0"/>
            <w:vAlign w:val="center"/>
          </w:tcPr>
          <w:p w14:paraId="799AD99D">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岳阳市城市管理和综合执法局</w:t>
            </w:r>
          </w:p>
        </w:tc>
        <w:tc>
          <w:tcPr>
            <w:tcW w:w="1140" w:type="dxa"/>
            <w:noWrap w:val="0"/>
            <w:vAlign w:val="center"/>
          </w:tcPr>
          <w:p w14:paraId="69838C9A">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实施单位</w:t>
            </w:r>
          </w:p>
        </w:tc>
        <w:tc>
          <w:tcPr>
            <w:tcW w:w="3011" w:type="dxa"/>
            <w:gridSpan w:val="3"/>
            <w:noWrap w:val="0"/>
            <w:vAlign w:val="center"/>
          </w:tcPr>
          <w:p w14:paraId="2A0C2E7B">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岳阳市智慧城管指挥中心</w:t>
            </w:r>
          </w:p>
        </w:tc>
      </w:tr>
      <w:tr w14:paraId="2555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57F3688A">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项目资金</w:t>
            </w:r>
            <w:r>
              <w:rPr>
                <w:rFonts w:hint="eastAsia" w:ascii="仿宋_GB2312" w:hAnsi="仿宋_GB2312" w:eastAsia="仿宋_GB2312" w:cs="仿宋_GB2312"/>
                <w:color w:val="000000"/>
                <w:sz w:val="20"/>
                <w:szCs w:val="20"/>
              </w:rPr>
              <w:br w:type="textWrapping"/>
            </w:r>
            <w:r>
              <w:rPr>
                <w:rFonts w:hint="eastAsia" w:ascii="仿宋_GB2312" w:hAnsi="仿宋_GB2312" w:eastAsia="仿宋_GB2312" w:cs="仿宋_GB2312"/>
                <w:color w:val="000000"/>
                <w:sz w:val="20"/>
                <w:szCs w:val="20"/>
              </w:rPr>
              <w:t>（万元）</w:t>
            </w:r>
          </w:p>
        </w:tc>
        <w:tc>
          <w:tcPr>
            <w:tcW w:w="2160" w:type="dxa"/>
            <w:gridSpan w:val="2"/>
            <w:noWrap w:val="0"/>
            <w:vAlign w:val="center"/>
          </w:tcPr>
          <w:p w14:paraId="719C7CFE">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356" w:type="dxa"/>
            <w:noWrap w:val="0"/>
            <w:vAlign w:val="center"/>
          </w:tcPr>
          <w:p w14:paraId="23FE23A1">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年初</w:t>
            </w:r>
          </w:p>
          <w:p w14:paraId="4294C4CB">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预算数</w:t>
            </w:r>
          </w:p>
        </w:tc>
        <w:tc>
          <w:tcPr>
            <w:tcW w:w="1104" w:type="dxa"/>
            <w:noWrap w:val="0"/>
            <w:vAlign w:val="center"/>
          </w:tcPr>
          <w:p w14:paraId="6BA22AA2">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全年</w:t>
            </w:r>
          </w:p>
          <w:p w14:paraId="64B17C68">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预算数</w:t>
            </w:r>
          </w:p>
        </w:tc>
        <w:tc>
          <w:tcPr>
            <w:tcW w:w="1140" w:type="dxa"/>
            <w:noWrap w:val="0"/>
            <w:vAlign w:val="center"/>
          </w:tcPr>
          <w:p w14:paraId="09CE260F">
            <w:pPr>
              <w:spacing w:line="32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w:t>
            </w:r>
          </w:p>
          <w:p w14:paraId="39E5A954">
            <w:pPr>
              <w:spacing w:line="32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执行数</w:t>
            </w:r>
          </w:p>
        </w:tc>
        <w:tc>
          <w:tcPr>
            <w:tcW w:w="720" w:type="dxa"/>
            <w:noWrap w:val="0"/>
            <w:vAlign w:val="center"/>
          </w:tcPr>
          <w:p w14:paraId="05E93054">
            <w:pPr>
              <w:spacing w:line="32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分值</w:t>
            </w:r>
          </w:p>
        </w:tc>
        <w:tc>
          <w:tcPr>
            <w:tcW w:w="873" w:type="dxa"/>
            <w:noWrap w:val="0"/>
            <w:vAlign w:val="center"/>
          </w:tcPr>
          <w:p w14:paraId="64BBF8CF">
            <w:pPr>
              <w:spacing w:line="32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执行率</w:t>
            </w:r>
          </w:p>
        </w:tc>
        <w:tc>
          <w:tcPr>
            <w:tcW w:w="1418" w:type="dxa"/>
            <w:noWrap w:val="0"/>
            <w:vAlign w:val="center"/>
          </w:tcPr>
          <w:p w14:paraId="0F926439">
            <w:pPr>
              <w:spacing w:line="32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得分</w:t>
            </w:r>
          </w:p>
        </w:tc>
      </w:tr>
      <w:tr w14:paraId="4AB2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jc w:val="center"/>
        </w:trPr>
        <w:tc>
          <w:tcPr>
            <w:tcW w:w="1080" w:type="dxa"/>
            <w:vMerge w:val="continue"/>
            <w:noWrap w:val="0"/>
            <w:vAlign w:val="center"/>
          </w:tcPr>
          <w:p w14:paraId="0FD37BA1">
            <w:pPr>
              <w:widowControl/>
              <w:spacing w:line="320" w:lineRule="exact"/>
              <w:jc w:val="left"/>
              <w:rPr>
                <w:rFonts w:hint="eastAsia" w:ascii="仿宋_GB2312" w:hAnsi="仿宋_GB2312" w:eastAsia="仿宋_GB2312" w:cs="仿宋_GB2312"/>
                <w:color w:val="000000"/>
                <w:sz w:val="20"/>
                <w:szCs w:val="20"/>
              </w:rPr>
            </w:pPr>
          </w:p>
        </w:tc>
        <w:tc>
          <w:tcPr>
            <w:tcW w:w="2160" w:type="dxa"/>
            <w:gridSpan w:val="2"/>
            <w:noWrap w:val="0"/>
            <w:vAlign w:val="center"/>
          </w:tcPr>
          <w:p w14:paraId="589DA7AA">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年度资金总额　</w:t>
            </w:r>
          </w:p>
        </w:tc>
        <w:tc>
          <w:tcPr>
            <w:tcW w:w="1356" w:type="dxa"/>
            <w:noWrap w:val="0"/>
            <w:vAlign w:val="center"/>
          </w:tcPr>
          <w:p w14:paraId="79EA52D6">
            <w:pPr>
              <w:widowControl/>
              <w:spacing w:line="320" w:lineRule="exact"/>
              <w:ind w:firstLine="200" w:firstLineChars="100"/>
              <w:jc w:val="left"/>
              <w:rPr>
                <w:rFonts w:ascii="仿宋_GB2312" w:hAnsi="仿宋_GB2312" w:eastAsia="仿宋_GB2312" w:cs="仿宋_GB2312"/>
                <w:color w:val="000000"/>
                <w:sz w:val="20"/>
                <w:szCs w:val="20"/>
              </w:rPr>
            </w:pPr>
          </w:p>
        </w:tc>
        <w:tc>
          <w:tcPr>
            <w:tcW w:w="1104" w:type="dxa"/>
            <w:noWrap w:val="0"/>
            <w:vAlign w:val="center"/>
          </w:tcPr>
          <w:p w14:paraId="3F13A277">
            <w:pPr>
              <w:widowControl/>
              <w:spacing w:line="32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31</w:t>
            </w:r>
          </w:p>
        </w:tc>
        <w:tc>
          <w:tcPr>
            <w:tcW w:w="1140" w:type="dxa"/>
            <w:noWrap w:val="0"/>
            <w:vAlign w:val="center"/>
          </w:tcPr>
          <w:p w14:paraId="081B64DE">
            <w:pPr>
              <w:widowControl/>
              <w:spacing w:line="32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31</w:t>
            </w:r>
          </w:p>
        </w:tc>
        <w:tc>
          <w:tcPr>
            <w:tcW w:w="720" w:type="dxa"/>
            <w:noWrap w:val="0"/>
            <w:vAlign w:val="center"/>
          </w:tcPr>
          <w:p w14:paraId="1F44F03E">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w:t>
            </w:r>
          </w:p>
        </w:tc>
        <w:tc>
          <w:tcPr>
            <w:tcW w:w="873" w:type="dxa"/>
            <w:noWrap w:val="0"/>
            <w:vAlign w:val="center"/>
          </w:tcPr>
          <w:p w14:paraId="544E3761">
            <w:pPr>
              <w:widowControl/>
              <w:spacing w:line="320" w:lineRule="exact"/>
              <w:ind w:firstLine="100" w:firstLineChars="50"/>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1418" w:type="dxa"/>
            <w:noWrap w:val="0"/>
            <w:vAlign w:val="center"/>
          </w:tcPr>
          <w:p w14:paraId="0256A03D">
            <w:pPr>
              <w:widowControl/>
              <w:spacing w:line="320" w:lineRule="exact"/>
              <w:jc w:val="left"/>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lang w:val="en-US" w:eastAsia="zh-CN"/>
              </w:rPr>
              <w:t>10</w:t>
            </w:r>
          </w:p>
        </w:tc>
      </w:tr>
      <w:tr w14:paraId="3527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0" w:type="dxa"/>
            <w:vMerge w:val="continue"/>
            <w:noWrap w:val="0"/>
            <w:vAlign w:val="center"/>
          </w:tcPr>
          <w:p w14:paraId="067B33D0">
            <w:pPr>
              <w:widowControl/>
              <w:spacing w:line="320" w:lineRule="exact"/>
              <w:jc w:val="left"/>
              <w:rPr>
                <w:rFonts w:hint="eastAsia" w:ascii="仿宋_GB2312" w:hAnsi="仿宋_GB2312" w:eastAsia="仿宋_GB2312" w:cs="仿宋_GB2312"/>
                <w:color w:val="000000"/>
                <w:sz w:val="20"/>
                <w:szCs w:val="20"/>
              </w:rPr>
            </w:pPr>
          </w:p>
        </w:tc>
        <w:tc>
          <w:tcPr>
            <w:tcW w:w="2160" w:type="dxa"/>
            <w:gridSpan w:val="2"/>
            <w:noWrap w:val="0"/>
            <w:vAlign w:val="center"/>
          </w:tcPr>
          <w:p w14:paraId="2354776C">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其中：当年财政拨款　</w:t>
            </w:r>
          </w:p>
        </w:tc>
        <w:tc>
          <w:tcPr>
            <w:tcW w:w="1356" w:type="dxa"/>
            <w:noWrap w:val="0"/>
            <w:vAlign w:val="center"/>
          </w:tcPr>
          <w:p w14:paraId="0B0E8A92">
            <w:pPr>
              <w:widowControl/>
              <w:spacing w:line="320" w:lineRule="exact"/>
              <w:jc w:val="left"/>
              <w:rPr>
                <w:rFonts w:ascii="仿宋_GB2312" w:hAnsi="仿宋_GB2312" w:eastAsia="仿宋_GB2312" w:cs="仿宋_GB2312"/>
                <w:color w:val="000000"/>
                <w:sz w:val="20"/>
                <w:szCs w:val="20"/>
              </w:rPr>
            </w:pPr>
          </w:p>
        </w:tc>
        <w:tc>
          <w:tcPr>
            <w:tcW w:w="1104" w:type="dxa"/>
            <w:noWrap w:val="0"/>
            <w:vAlign w:val="center"/>
          </w:tcPr>
          <w:p w14:paraId="6E1F3040">
            <w:pPr>
              <w:widowControl/>
              <w:spacing w:line="32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31</w:t>
            </w:r>
          </w:p>
        </w:tc>
        <w:tc>
          <w:tcPr>
            <w:tcW w:w="1140" w:type="dxa"/>
            <w:noWrap w:val="0"/>
            <w:vAlign w:val="center"/>
          </w:tcPr>
          <w:p w14:paraId="08476D42">
            <w:pPr>
              <w:widowControl/>
              <w:spacing w:line="32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31</w:t>
            </w:r>
          </w:p>
        </w:tc>
        <w:tc>
          <w:tcPr>
            <w:tcW w:w="720" w:type="dxa"/>
            <w:noWrap w:val="0"/>
            <w:vAlign w:val="center"/>
          </w:tcPr>
          <w:p w14:paraId="19B068A7">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noWrap w:val="0"/>
            <w:vAlign w:val="center"/>
          </w:tcPr>
          <w:p w14:paraId="3F748913">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18" w:type="dxa"/>
            <w:noWrap w:val="0"/>
            <w:vAlign w:val="center"/>
          </w:tcPr>
          <w:p w14:paraId="2C39C0E4">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79A6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080" w:type="dxa"/>
            <w:vMerge w:val="continue"/>
            <w:noWrap w:val="0"/>
            <w:vAlign w:val="center"/>
          </w:tcPr>
          <w:p w14:paraId="0F7E4798">
            <w:pPr>
              <w:widowControl/>
              <w:spacing w:line="320" w:lineRule="exact"/>
              <w:jc w:val="left"/>
              <w:rPr>
                <w:rFonts w:hint="eastAsia" w:ascii="仿宋_GB2312" w:hAnsi="仿宋_GB2312" w:eastAsia="仿宋_GB2312" w:cs="仿宋_GB2312"/>
                <w:color w:val="000000"/>
                <w:sz w:val="20"/>
                <w:szCs w:val="20"/>
              </w:rPr>
            </w:pPr>
          </w:p>
        </w:tc>
        <w:tc>
          <w:tcPr>
            <w:tcW w:w="2160" w:type="dxa"/>
            <w:gridSpan w:val="2"/>
            <w:noWrap w:val="0"/>
            <w:vAlign w:val="center"/>
          </w:tcPr>
          <w:p w14:paraId="624800A9">
            <w:pPr>
              <w:widowControl/>
              <w:spacing w:line="320" w:lineRule="exact"/>
              <w:ind w:firstLine="600" w:firstLineChars="3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上年结转资金　</w:t>
            </w:r>
          </w:p>
        </w:tc>
        <w:tc>
          <w:tcPr>
            <w:tcW w:w="1356" w:type="dxa"/>
            <w:noWrap w:val="0"/>
            <w:vAlign w:val="center"/>
          </w:tcPr>
          <w:p w14:paraId="73DD8F1F">
            <w:pPr>
              <w:widowControl/>
              <w:spacing w:line="320" w:lineRule="exact"/>
              <w:jc w:val="left"/>
              <w:rPr>
                <w:rFonts w:ascii="仿宋_GB2312" w:hAnsi="仿宋_GB2312" w:eastAsia="仿宋_GB2312" w:cs="仿宋_GB2312"/>
                <w:color w:val="000000"/>
                <w:sz w:val="20"/>
                <w:szCs w:val="20"/>
              </w:rPr>
            </w:pPr>
          </w:p>
        </w:tc>
        <w:tc>
          <w:tcPr>
            <w:tcW w:w="1104" w:type="dxa"/>
            <w:noWrap w:val="0"/>
            <w:vAlign w:val="center"/>
          </w:tcPr>
          <w:p w14:paraId="0FC46ECC">
            <w:pPr>
              <w:widowControl/>
              <w:spacing w:line="320" w:lineRule="exact"/>
              <w:jc w:val="left"/>
              <w:rPr>
                <w:rFonts w:ascii="仿宋_GB2312" w:hAnsi="仿宋_GB2312" w:eastAsia="仿宋_GB2312" w:cs="仿宋_GB2312"/>
                <w:color w:val="000000"/>
                <w:sz w:val="20"/>
                <w:szCs w:val="20"/>
              </w:rPr>
            </w:pPr>
          </w:p>
        </w:tc>
        <w:tc>
          <w:tcPr>
            <w:tcW w:w="1140" w:type="dxa"/>
            <w:noWrap w:val="0"/>
            <w:vAlign w:val="center"/>
          </w:tcPr>
          <w:p w14:paraId="0450928B">
            <w:pPr>
              <w:widowControl/>
              <w:spacing w:line="320" w:lineRule="exact"/>
              <w:jc w:val="left"/>
              <w:rPr>
                <w:rFonts w:ascii="仿宋_GB2312" w:hAnsi="仿宋_GB2312" w:eastAsia="仿宋_GB2312" w:cs="仿宋_GB2312"/>
                <w:color w:val="000000"/>
                <w:sz w:val="20"/>
                <w:szCs w:val="20"/>
              </w:rPr>
            </w:pPr>
          </w:p>
        </w:tc>
        <w:tc>
          <w:tcPr>
            <w:tcW w:w="720" w:type="dxa"/>
            <w:noWrap w:val="0"/>
            <w:vAlign w:val="center"/>
          </w:tcPr>
          <w:p w14:paraId="54EE6246">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noWrap w:val="0"/>
            <w:vAlign w:val="center"/>
          </w:tcPr>
          <w:p w14:paraId="25F7E35F">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18" w:type="dxa"/>
            <w:noWrap w:val="0"/>
            <w:vAlign w:val="center"/>
          </w:tcPr>
          <w:p w14:paraId="41E2B4DD">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070B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7C05C98">
            <w:pPr>
              <w:widowControl/>
              <w:spacing w:line="320" w:lineRule="exact"/>
              <w:jc w:val="left"/>
              <w:rPr>
                <w:rFonts w:hint="eastAsia" w:ascii="仿宋_GB2312" w:hAnsi="仿宋_GB2312" w:eastAsia="仿宋_GB2312" w:cs="仿宋_GB2312"/>
                <w:color w:val="000000"/>
                <w:sz w:val="20"/>
                <w:szCs w:val="20"/>
              </w:rPr>
            </w:pPr>
          </w:p>
        </w:tc>
        <w:tc>
          <w:tcPr>
            <w:tcW w:w="2160" w:type="dxa"/>
            <w:gridSpan w:val="2"/>
            <w:noWrap w:val="0"/>
            <w:vAlign w:val="center"/>
          </w:tcPr>
          <w:p w14:paraId="702295B5">
            <w:pPr>
              <w:widowControl/>
              <w:spacing w:line="320" w:lineRule="exact"/>
              <w:ind w:firstLine="600" w:firstLineChars="3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其他资金</w:t>
            </w:r>
          </w:p>
        </w:tc>
        <w:tc>
          <w:tcPr>
            <w:tcW w:w="1356" w:type="dxa"/>
            <w:noWrap w:val="0"/>
            <w:vAlign w:val="center"/>
          </w:tcPr>
          <w:p w14:paraId="5E663214">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104" w:type="dxa"/>
            <w:noWrap w:val="0"/>
            <w:vAlign w:val="center"/>
          </w:tcPr>
          <w:p w14:paraId="492E013F">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140" w:type="dxa"/>
            <w:noWrap w:val="0"/>
            <w:vAlign w:val="center"/>
          </w:tcPr>
          <w:p w14:paraId="40FAFDF6">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720" w:type="dxa"/>
            <w:noWrap w:val="0"/>
            <w:vAlign w:val="center"/>
          </w:tcPr>
          <w:p w14:paraId="1FCBC850">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noWrap w:val="0"/>
            <w:vAlign w:val="center"/>
          </w:tcPr>
          <w:p w14:paraId="0F18BB82">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18" w:type="dxa"/>
            <w:noWrap w:val="0"/>
            <w:vAlign w:val="center"/>
          </w:tcPr>
          <w:p w14:paraId="141D8745">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1FD4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restart"/>
            <w:noWrap w:val="0"/>
            <w:vAlign w:val="center"/>
          </w:tcPr>
          <w:p w14:paraId="23F6A01E">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年度总体目标</w:t>
            </w:r>
          </w:p>
        </w:tc>
        <w:tc>
          <w:tcPr>
            <w:tcW w:w="4620" w:type="dxa"/>
            <w:gridSpan w:val="4"/>
            <w:noWrap w:val="0"/>
            <w:vAlign w:val="center"/>
          </w:tcPr>
          <w:p w14:paraId="1892E930">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预期目标</w:t>
            </w:r>
          </w:p>
        </w:tc>
        <w:tc>
          <w:tcPr>
            <w:tcW w:w="4151" w:type="dxa"/>
            <w:gridSpan w:val="4"/>
            <w:noWrap w:val="0"/>
            <w:vAlign w:val="center"/>
          </w:tcPr>
          <w:p w14:paraId="176D187E">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实际完成情况　</w:t>
            </w:r>
          </w:p>
        </w:tc>
      </w:tr>
      <w:tr w14:paraId="12A5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9FF7F5A">
            <w:pPr>
              <w:widowControl/>
              <w:spacing w:line="320" w:lineRule="exact"/>
              <w:jc w:val="left"/>
              <w:rPr>
                <w:rFonts w:hint="eastAsia" w:ascii="仿宋_GB2312" w:hAnsi="仿宋_GB2312" w:eastAsia="仿宋_GB2312" w:cs="仿宋_GB2312"/>
                <w:color w:val="000000"/>
                <w:sz w:val="20"/>
                <w:szCs w:val="20"/>
              </w:rPr>
            </w:pPr>
          </w:p>
        </w:tc>
        <w:tc>
          <w:tcPr>
            <w:tcW w:w="4620" w:type="dxa"/>
            <w:gridSpan w:val="4"/>
            <w:noWrap w:val="0"/>
            <w:vAlign w:val="center"/>
          </w:tcPr>
          <w:p w14:paraId="79690630">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智慧城管系统一期通讯运营租赁电信网络设备及服务，项目包括城管通，车载GPS监控通讯，短信平台，热线语音数字中继，市电子政务网络光纤链路，平安城市视频光纤链路，加密链路，固定电话，机房信息网络安全设备等通讯运营租赁服务。各类终端设备互联互通，成为城市管理工作的耳目和抓手。</w:t>
            </w:r>
          </w:p>
        </w:tc>
        <w:tc>
          <w:tcPr>
            <w:tcW w:w="4151" w:type="dxa"/>
            <w:gridSpan w:val="4"/>
            <w:noWrap w:val="0"/>
            <w:vAlign w:val="center"/>
          </w:tcPr>
          <w:p w14:paraId="0FBE3CFF">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通过租用电信网络设备及服务，将智慧城管系统与一期项目的各类终端设备互联互通，形成了城市管理的耳目和抓手。</w:t>
            </w:r>
          </w:p>
        </w:tc>
      </w:tr>
      <w:tr w14:paraId="5975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3324973D">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绩</w:t>
            </w:r>
          </w:p>
          <w:p w14:paraId="7449BA35">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w:t>
            </w:r>
          </w:p>
          <w:p w14:paraId="000A7C04">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w:t>
            </w:r>
          </w:p>
          <w:p w14:paraId="1EE52B0D">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标</w:t>
            </w:r>
          </w:p>
        </w:tc>
        <w:tc>
          <w:tcPr>
            <w:tcW w:w="1080" w:type="dxa"/>
            <w:noWrap w:val="0"/>
            <w:vAlign w:val="center"/>
          </w:tcPr>
          <w:p w14:paraId="5FB109A6">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一级指标</w:t>
            </w:r>
          </w:p>
        </w:tc>
        <w:tc>
          <w:tcPr>
            <w:tcW w:w="1080" w:type="dxa"/>
            <w:noWrap w:val="0"/>
            <w:vAlign w:val="center"/>
          </w:tcPr>
          <w:p w14:paraId="46DA5F9A">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二级指标</w:t>
            </w:r>
          </w:p>
        </w:tc>
        <w:tc>
          <w:tcPr>
            <w:tcW w:w="1356" w:type="dxa"/>
            <w:noWrap w:val="0"/>
            <w:vAlign w:val="center"/>
          </w:tcPr>
          <w:p w14:paraId="5314D604">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三级指标</w:t>
            </w:r>
          </w:p>
        </w:tc>
        <w:tc>
          <w:tcPr>
            <w:tcW w:w="1104" w:type="dxa"/>
            <w:noWrap w:val="0"/>
            <w:vAlign w:val="center"/>
          </w:tcPr>
          <w:p w14:paraId="5C10C197">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w:t>
            </w:r>
          </w:p>
          <w:p w14:paraId="046578F3">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指标值</w:t>
            </w:r>
          </w:p>
        </w:tc>
        <w:tc>
          <w:tcPr>
            <w:tcW w:w="1140" w:type="dxa"/>
            <w:noWrap w:val="0"/>
            <w:vAlign w:val="center"/>
          </w:tcPr>
          <w:p w14:paraId="694F1933">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w:t>
            </w:r>
          </w:p>
          <w:p w14:paraId="02EC2991">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完成值</w:t>
            </w:r>
          </w:p>
        </w:tc>
        <w:tc>
          <w:tcPr>
            <w:tcW w:w="720" w:type="dxa"/>
            <w:noWrap w:val="0"/>
            <w:vAlign w:val="center"/>
          </w:tcPr>
          <w:p w14:paraId="1BFDA190">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分值</w:t>
            </w:r>
          </w:p>
        </w:tc>
        <w:tc>
          <w:tcPr>
            <w:tcW w:w="873" w:type="dxa"/>
            <w:noWrap w:val="0"/>
            <w:vAlign w:val="center"/>
          </w:tcPr>
          <w:p w14:paraId="62F3F3DD">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得分</w:t>
            </w:r>
          </w:p>
        </w:tc>
        <w:tc>
          <w:tcPr>
            <w:tcW w:w="1418" w:type="dxa"/>
            <w:noWrap w:val="0"/>
            <w:vAlign w:val="center"/>
          </w:tcPr>
          <w:p w14:paraId="5F442A90">
            <w:pPr>
              <w:widowControl/>
              <w:spacing w:line="320" w:lineRule="exac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偏差原因分析及改进措施</w:t>
            </w:r>
          </w:p>
        </w:tc>
      </w:tr>
      <w:tr w14:paraId="5391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9567B5D">
            <w:pPr>
              <w:spacing w:line="320" w:lineRule="exact"/>
              <w:jc w:val="left"/>
              <w:rPr>
                <w:rFonts w:hint="eastAsia" w:ascii="仿宋_GB2312" w:hAnsi="仿宋_GB2312" w:eastAsia="仿宋_GB2312" w:cs="仿宋_GB2312"/>
                <w:color w:val="000000"/>
                <w:sz w:val="20"/>
                <w:szCs w:val="20"/>
              </w:rPr>
            </w:pPr>
          </w:p>
        </w:tc>
        <w:tc>
          <w:tcPr>
            <w:tcW w:w="1080" w:type="dxa"/>
            <w:vMerge w:val="restart"/>
            <w:noWrap w:val="0"/>
            <w:vAlign w:val="center"/>
          </w:tcPr>
          <w:p w14:paraId="1AEC9F64">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产出指标</w:t>
            </w:r>
          </w:p>
          <w:p w14:paraId="4B333ACC">
            <w:pPr>
              <w:widowControl/>
              <w:spacing w:line="320" w:lineRule="exact"/>
              <w:jc w:val="center"/>
              <w:rPr>
                <w:rFonts w:hint="eastAsia" w:ascii="仿宋_GB2312" w:hAnsi="仿宋_GB2312" w:eastAsia="仿宋_GB2312" w:cs="仿宋_GB2312"/>
                <w:color w:val="000000"/>
                <w:sz w:val="20"/>
                <w:szCs w:val="20"/>
              </w:rPr>
            </w:pPr>
          </w:p>
          <w:p w14:paraId="622ADEA8">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(50分)</w:t>
            </w:r>
          </w:p>
        </w:tc>
        <w:tc>
          <w:tcPr>
            <w:tcW w:w="1080" w:type="dxa"/>
            <w:vMerge w:val="restart"/>
            <w:noWrap w:val="0"/>
            <w:vAlign w:val="center"/>
          </w:tcPr>
          <w:p w14:paraId="50F02A9E">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数量指标</w:t>
            </w:r>
          </w:p>
        </w:tc>
        <w:tc>
          <w:tcPr>
            <w:tcW w:w="1356" w:type="dxa"/>
            <w:noWrap w:val="0"/>
            <w:vAlign w:val="center"/>
          </w:tcPr>
          <w:p w14:paraId="522358EF">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光纤链路租赁</w:t>
            </w:r>
          </w:p>
        </w:tc>
        <w:tc>
          <w:tcPr>
            <w:tcW w:w="1104" w:type="dxa"/>
            <w:noWrap w:val="0"/>
            <w:vAlign w:val="center"/>
          </w:tcPr>
          <w:p w14:paraId="6F158822">
            <w:pPr>
              <w:widowControl/>
              <w:spacing w:line="320" w:lineRule="exact"/>
              <w:ind w:firstLine="200" w:firstLineChars="1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7条</w:t>
            </w:r>
          </w:p>
        </w:tc>
        <w:tc>
          <w:tcPr>
            <w:tcW w:w="1140" w:type="dxa"/>
            <w:noWrap w:val="0"/>
            <w:vAlign w:val="center"/>
          </w:tcPr>
          <w:p w14:paraId="4654941F">
            <w:pPr>
              <w:widowControl/>
              <w:spacing w:line="320" w:lineRule="exact"/>
              <w:ind w:firstLine="200" w:firstLineChars="1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7条</w:t>
            </w:r>
          </w:p>
        </w:tc>
        <w:tc>
          <w:tcPr>
            <w:tcW w:w="720" w:type="dxa"/>
            <w:noWrap w:val="0"/>
            <w:vAlign w:val="center"/>
          </w:tcPr>
          <w:p w14:paraId="38525413">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noWrap w:val="0"/>
            <w:vAlign w:val="center"/>
          </w:tcPr>
          <w:p w14:paraId="53FC980F">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noWrap w:val="0"/>
            <w:vAlign w:val="center"/>
          </w:tcPr>
          <w:p w14:paraId="36EB57E7">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7037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D817362">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2A020C93">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167F79FA">
            <w:pPr>
              <w:spacing w:line="320" w:lineRule="exact"/>
              <w:jc w:val="center"/>
              <w:rPr>
                <w:rFonts w:hint="eastAsia" w:ascii="仿宋_GB2312" w:hAnsi="仿宋_GB2312" w:eastAsia="仿宋_GB2312" w:cs="仿宋_GB2312"/>
                <w:color w:val="000000"/>
                <w:sz w:val="20"/>
                <w:szCs w:val="20"/>
              </w:rPr>
            </w:pPr>
          </w:p>
        </w:tc>
        <w:tc>
          <w:tcPr>
            <w:tcW w:w="1356" w:type="dxa"/>
            <w:noWrap w:val="0"/>
            <w:vAlign w:val="center"/>
          </w:tcPr>
          <w:p w14:paraId="7925DFE5">
            <w:pPr>
              <w:widowControl/>
              <w:spacing w:line="32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数字中继、加密链路、短信平台、8612139语音呼叫系统</w:t>
            </w:r>
          </w:p>
        </w:tc>
        <w:tc>
          <w:tcPr>
            <w:tcW w:w="1104" w:type="dxa"/>
            <w:noWrap w:val="0"/>
            <w:vAlign w:val="center"/>
          </w:tcPr>
          <w:p w14:paraId="613AD835">
            <w:pPr>
              <w:widowControl/>
              <w:spacing w:line="32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各1个(台/套)</w:t>
            </w:r>
          </w:p>
        </w:tc>
        <w:tc>
          <w:tcPr>
            <w:tcW w:w="1140" w:type="dxa"/>
            <w:noWrap w:val="0"/>
            <w:vAlign w:val="center"/>
          </w:tcPr>
          <w:p w14:paraId="5DE8DB6C">
            <w:pPr>
              <w:widowControl/>
              <w:spacing w:line="32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各1个(台/套)</w:t>
            </w:r>
          </w:p>
        </w:tc>
        <w:tc>
          <w:tcPr>
            <w:tcW w:w="720" w:type="dxa"/>
            <w:noWrap w:val="0"/>
            <w:vAlign w:val="center"/>
          </w:tcPr>
          <w:p w14:paraId="7106B9C4">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noWrap w:val="0"/>
            <w:vAlign w:val="center"/>
          </w:tcPr>
          <w:p w14:paraId="00C4C8E7">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noWrap w:val="0"/>
            <w:vAlign w:val="center"/>
          </w:tcPr>
          <w:p w14:paraId="5693F290">
            <w:pPr>
              <w:widowControl/>
              <w:spacing w:line="320" w:lineRule="exact"/>
              <w:jc w:val="left"/>
              <w:rPr>
                <w:rFonts w:hint="eastAsia" w:ascii="仿宋_GB2312" w:hAnsi="仿宋_GB2312" w:eastAsia="仿宋_GB2312" w:cs="仿宋_GB2312"/>
                <w:color w:val="000000"/>
                <w:sz w:val="20"/>
                <w:szCs w:val="20"/>
              </w:rPr>
            </w:pPr>
          </w:p>
        </w:tc>
      </w:tr>
      <w:tr w14:paraId="4ED3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B6E408E">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4843B06A">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358D35CE">
            <w:pPr>
              <w:spacing w:line="320" w:lineRule="exact"/>
              <w:jc w:val="center"/>
              <w:rPr>
                <w:rFonts w:hint="eastAsia" w:ascii="仿宋_GB2312" w:hAnsi="仿宋_GB2312" w:eastAsia="仿宋_GB2312" w:cs="仿宋_GB2312"/>
                <w:color w:val="000000"/>
                <w:sz w:val="20"/>
                <w:szCs w:val="20"/>
              </w:rPr>
            </w:pPr>
          </w:p>
        </w:tc>
        <w:tc>
          <w:tcPr>
            <w:tcW w:w="1356" w:type="dxa"/>
            <w:noWrap w:val="0"/>
            <w:vAlign w:val="center"/>
          </w:tcPr>
          <w:p w14:paraId="0E292862">
            <w:pPr>
              <w:widowControl/>
              <w:spacing w:line="32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IP地址</w:t>
            </w:r>
          </w:p>
        </w:tc>
        <w:tc>
          <w:tcPr>
            <w:tcW w:w="1104" w:type="dxa"/>
            <w:noWrap w:val="0"/>
            <w:vAlign w:val="center"/>
          </w:tcPr>
          <w:p w14:paraId="300FC1ED">
            <w:pPr>
              <w:widowControl/>
              <w:spacing w:line="320" w:lineRule="exact"/>
              <w:ind w:firstLine="100" w:firstLineChars="5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2个</w:t>
            </w:r>
          </w:p>
        </w:tc>
        <w:tc>
          <w:tcPr>
            <w:tcW w:w="1140" w:type="dxa"/>
            <w:noWrap w:val="0"/>
            <w:vAlign w:val="center"/>
          </w:tcPr>
          <w:p w14:paraId="7D341605">
            <w:pPr>
              <w:widowControl/>
              <w:spacing w:line="320" w:lineRule="exact"/>
              <w:ind w:firstLine="100" w:firstLineChars="5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2个</w:t>
            </w:r>
          </w:p>
        </w:tc>
        <w:tc>
          <w:tcPr>
            <w:tcW w:w="720" w:type="dxa"/>
            <w:noWrap w:val="0"/>
            <w:vAlign w:val="center"/>
          </w:tcPr>
          <w:p w14:paraId="07A855C9">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noWrap w:val="0"/>
            <w:vAlign w:val="center"/>
          </w:tcPr>
          <w:p w14:paraId="18E31E7E">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noWrap w:val="0"/>
            <w:vAlign w:val="center"/>
          </w:tcPr>
          <w:p w14:paraId="3D0E523E">
            <w:pPr>
              <w:widowControl/>
              <w:spacing w:line="320" w:lineRule="exact"/>
              <w:jc w:val="left"/>
              <w:rPr>
                <w:rFonts w:hint="eastAsia" w:ascii="仿宋_GB2312" w:hAnsi="仿宋_GB2312" w:eastAsia="仿宋_GB2312" w:cs="仿宋_GB2312"/>
                <w:color w:val="000000"/>
                <w:sz w:val="20"/>
                <w:szCs w:val="20"/>
              </w:rPr>
            </w:pPr>
          </w:p>
        </w:tc>
      </w:tr>
      <w:tr w14:paraId="434F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7E5DC57">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491A943C">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49BA0505">
            <w:pPr>
              <w:spacing w:line="320" w:lineRule="exact"/>
              <w:jc w:val="center"/>
              <w:rPr>
                <w:rFonts w:hint="eastAsia" w:ascii="仿宋_GB2312" w:hAnsi="仿宋_GB2312" w:eastAsia="仿宋_GB2312" w:cs="仿宋_GB2312"/>
                <w:color w:val="000000"/>
                <w:sz w:val="20"/>
                <w:szCs w:val="20"/>
              </w:rPr>
            </w:pPr>
          </w:p>
        </w:tc>
        <w:tc>
          <w:tcPr>
            <w:tcW w:w="1356" w:type="dxa"/>
            <w:noWrap w:val="0"/>
            <w:vAlign w:val="center"/>
          </w:tcPr>
          <w:p w14:paraId="0304A10A">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移动终端设备租赁</w:t>
            </w:r>
          </w:p>
        </w:tc>
        <w:tc>
          <w:tcPr>
            <w:tcW w:w="1104" w:type="dxa"/>
            <w:noWrap w:val="0"/>
            <w:vAlign w:val="center"/>
          </w:tcPr>
          <w:p w14:paraId="01631DAF">
            <w:pPr>
              <w:widowControl/>
              <w:spacing w:line="32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90台</w:t>
            </w:r>
          </w:p>
        </w:tc>
        <w:tc>
          <w:tcPr>
            <w:tcW w:w="1140" w:type="dxa"/>
            <w:noWrap w:val="0"/>
            <w:vAlign w:val="center"/>
          </w:tcPr>
          <w:p w14:paraId="2EE67D8C">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90台</w:t>
            </w:r>
          </w:p>
        </w:tc>
        <w:tc>
          <w:tcPr>
            <w:tcW w:w="720" w:type="dxa"/>
            <w:noWrap w:val="0"/>
            <w:vAlign w:val="center"/>
          </w:tcPr>
          <w:p w14:paraId="28E3384C">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noWrap w:val="0"/>
            <w:vAlign w:val="center"/>
          </w:tcPr>
          <w:p w14:paraId="61B73A15">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noWrap w:val="0"/>
            <w:vAlign w:val="center"/>
          </w:tcPr>
          <w:p w14:paraId="2DD02674">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0060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712546E">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1D0F3349">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6FA72198">
            <w:pPr>
              <w:widowControl/>
              <w:spacing w:line="320" w:lineRule="exact"/>
              <w:jc w:val="center"/>
              <w:rPr>
                <w:rFonts w:hint="eastAsia" w:ascii="仿宋_GB2312" w:hAnsi="仿宋_GB2312" w:eastAsia="仿宋_GB2312" w:cs="仿宋_GB2312"/>
                <w:color w:val="000000"/>
                <w:sz w:val="20"/>
                <w:szCs w:val="20"/>
              </w:rPr>
            </w:pPr>
          </w:p>
        </w:tc>
        <w:tc>
          <w:tcPr>
            <w:tcW w:w="1356" w:type="dxa"/>
            <w:noWrap w:val="0"/>
            <w:vAlign w:val="center"/>
          </w:tcPr>
          <w:p w14:paraId="6A831D41">
            <w:pPr>
              <w:widowControl/>
              <w:spacing w:line="32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车载GPS</w:t>
            </w:r>
          </w:p>
        </w:tc>
        <w:tc>
          <w:tcPr>
            <w:tcW w:w="1104" w:type="dxa"/>
            <w:noWrap w:val="0"/>
            <w:vAlign w:val="center"/>
          </w:tcPr>
          <w:p w14:paraId="32364BD0">
            <w:pPr>
              <w:widowControl/>
              <w:spacing w:line="32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70套</w:t>
            </w:r>
          </w:p>
        </w:tc>
        <w:tc>
          <w:tcPr>
            <w:tcW w:w="1140" w:type="dxa"/>
            <w:noWrap w:val="0"/>
            <w:vAlign w:val="center"/>
          </w:tcPr>
          <w:p w14:paraId="19A93A38">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70套</w:t>
            </w:r>
          </w:p>
        </w:tc>
        <w:tc>
          <w:tcPr>
            <w:tcW w:w="720" w:type="dxa"/>
            <w:noWrap w:val="0"/>
            <w:vAlign w:val="center"/>
          </w:tcPr>
          <w:p w14:paraId="016D4B29">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noWrap w:val="0"/>
            <w:vAlign w:val="center"/>
          </w:tcPr>
          <w:p w14:paraId="483F7A79">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noWrap w:val="0"/>
            <w:vAlign w:val="center"/>
          </w:tcPr>
          <w:p w14:paraId="4F3E7A5C">
            <w:pPr>
              <w:widowControl/>
              <w:spacing w:line="320" w:lineRule="exact"/>
              <w:jc w:val="left"/>
              <w:rPr>
                <w:rFonts w:hint="eastAsia" w:ascii="仿宋_GB2312" w:hAnsi="仿宋_GB2312" w:eastAsia="仿宋_GB2312" w:cs="仿宋_GB2312"/>
                <w:color w:val="000000"/>
                <w:sz w:val="20"/>
                <w:szCs w:val="20"/>
              </w:rPr>
            </w:pPr>
          </w:p>
        </w:tc>
      </w:tr>
      <w:tr w14:paraId="3232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6041866">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709830B8">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4C9DB4F7">
            <w:pPr>
              <w:widowControl/>
              <w:spacing w:line="320" w:lineRule="exact"/>
              <w:jc w:val="center"/>
              <w:rPr>
                <w:rFonts w:hint="eastAsia" w:ascii="仿宋_GB2312" w:hAnsi="仿宋_GB2312" w:eastAsia="仿宋_GB2312" w:cs="仿宋_GB2312"/>
                <w:color w:val="000000"/>
                <w:sz w:val="20"/>
                <w:szCs w:val="20"/>
              </w:rPr>
            </w:pPr>
          </w:p>
        </w:tc>
        <w:tc>
          <w:tcPr>
            <w:tcW w:w="1356" w:type="dxa"/>
            <w:noWrap w:val="0"/>
            <w:vAlign w:val="center"/>
          </w:tcPr>
          <w:p w14:paraId="307350FB">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城管通终端电信卡</w:t>
            </w:r>
          </w:p>
        </w:tc>
        <w:tc>
          <w:tcPr>
            <w:tcW w:w="1104" w:type="dxa"/>
            <w:noWrap w:val="0"/>
            <w:vAlign w:val="center"/>
          </w:tcPr>
          <w:p w14:paraId="3580E55B">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90张</w:t>
            </w:r>
          </w:p>
        </w:tc>
        <w:tc>
          <w:tcPr>
            <w:tcW w:w="1140" w:type="dxa"/>
            <w:noWrap w:val="0"/>
            <w:vAlign w:val="center"/>
          </w:tcPr>
          <w:p w14:paraId="5CFA462F">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90张</w:t>
            </w:r>
          </w:p>
        </w:tc>
        <w:tc>
          <w:tcPr>
            <w:tcW w:w="720" w:type="dxa"/>
            <w:noWrap w:val="0"/>
            <w:vAlign w:val="center"/>
          </w:tcPr>
          <w:p w14:paraId="1D2F8438">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noWrap w:val="0"/>
            <w:vAlign w:val="center"/>
          </w:tcPr>
          <w:p w14:paraId="5A0EF78F">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noWrap w:val="0"/>
            <w:vAlign w:val="center"/>
          </w:tcPr>
          <w:p w14:paraId="48E8ADA2">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7F32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50135EB">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66FE88B7">
            <w:pPr>
              <w:spacing w:line="320" w:lineRule="exact"/>
              <w:jc w:val="left"/>
              <w:rPr>
                <w:rFonts w:hint="eastAsia" w:ascii="仿宋_GB2312" w:hAnsi="仿宋_GB2312" w:eastAsia="仿宋_GB2312" w:cs="仿宋_GB2312"/>
                <w:color w:val="000000"/>
                <w:sz w:val="20"/>
                <w:szCs w:val="20"/>
              </w:rPr>
            </w:pPr>
          </w:p>
        </w:tc>
        <w:tc>
          <w:tcPr>
            <w:tcW w:w="1080" w:type="dxa"/>
            <w:vMerge w:val="restart"/>
            <w:noWrap w:val="0"/>
            <w:vAlign w:val="center"/>
          </w:tcPr>
          <w:p w14:paraId="20291E3F">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质量指标</w:t>
            </w:r>
          </w:p>
        </w:tc>
        <w:tc>
          <w:tcPr>
            <w:tcW w:w="1356" w:type="dxa"/>
            <w:noWrap w:val="0"/>
            <w:vAlign w:val="center"/>
          </w:tcPr>
          <w:p w14:paraId="36FF5E9E">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保障通信正常率</w:t>
            </w:r>
          </w:p>
        </w:tc>
        <w:tc>
          <w:tcPr>
            <w:tcW w:w="1104" w:type="dxa"/>
            <w:noWrap w:val="0"/>
            <w:vAlign w:val="center"/>
          </w:tcPr>
          <w:p w14:paraId="0C1DB9F9">
            <w:pPr>
              <w:widowControl/>
              <w:spacing w:line="32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100%</w:t>
            </w:r>
          </w:p>
        </w:tc>
        <w:tc>
          <w:tcPr>
            <w:tcW w:w="1140" w:type="dxa"/>
            <w:noWrap w:val="0"/>
            <w:vAlign w:val="center"/>
          </w:tcPr>
          <w:p w14:paraId="7FA083AE">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100%</w:t>
            </w:r>
          </w:p>
        </w:tc>
        <w:tc>
          <w:tcPr>
            <w:tcW w:w="720" w:type="dxa"/>
            <w:noWrap w:val="0"/>
            <w:vAlign w:val="center"/>
          </w:tcPr>
          <w:p w14:paraId="63AFD316">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noWrap w:val="0"/>
            <w:vAlign w:val="center"/>
          </w:tcPr>
          <w:p w14:paraId="29681D55">
            <w:pPr>
              <w:widowControl/>
              <w:spacing w:line="320" w:lineRule="exact"/>
              <w:ind w:firstLine="200" w:firstLineChars="1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6</w:t>
            </w:r>
          </w:p>
        </w:tc>
        <w:tc>
          <w:tcPr>
            <w:tcW w:w="1418" w:type="dxa"/>
            <w:noWrap w:val="0"/>
            <w:vAlign w:val="center"/>
          </w:tcPr>
          <w:p w14:paraId="49C6D359">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6AEB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B04C337">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65A7063A">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45F6EBF2">
            <w:pPr>
              <w:spacing w:line="320" w:lineRule="exact"/>
              <w:jc w:val="center"/>
              <w:rPr>
                <w:rFonts w:hint="eastAsia" w:ascii="仿宋_GB2312" w:hAnsi="仿宋_GB2312" w:eastAsia="仿宋_GB2312" w:cs="仿宋_GB2312"/>
                <w:color w:val="000000"/>
                <w:sz w:val="20"/>
                <w:szCs w:val="20"/>
              </w:rPr>
            </w:pPr>
          </w:p>
        </w:tc>
        <w:tc>
          <w:tcPr>
            <w:tcW w:w="1356" w:type="dxa"/>
            <w:noWrap w:val="0"/>
            <w:vAlign w:val="center"/>
          </w:tcPr>
          <w:p w14:paraId="660738DB">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各终端平台设备运转正常率</w:t>
            </w:r>
          </w:p>
        </w:tc>
        <w:tc>
          <w:tcPr>
            <w:tcW w:w="1104" w:type="dxa"/>
            <w:noWrap w:val="0"/>
            <w:vAlign w:val="center"/>
          </w:tcPr>
          <w:p w14:paraId="48C2D52E">
            <w:pPr>
              <w:widowControl/>
              <w:spacing w:line="28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98%</w:t>
            </w:r>
          </w:p>
        </w:tc>
        <w:tc>
          <w:tcPr>
            <w:tcW w:w="1140" w:type="dxa"/>
            <w:noWrap w:val="0"/>
            <w:vAlign w:val="center"/>
          </w:tcPr>
          <w:p w14:paraId="0F358A5B">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98%</w:t>
            </w:r>
          </w:p>
        </w:tc>
        <w:tc>
          <w:tcPr>
            <w:tcW w:w="720" w:type="dxa"/>
            <w:noWrap w:val="0"/>
            <w:vAlign w:val="center"/>
          </w:tcPr>
          <w:p w14:paraId="44713678">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noWrap w:val="0"/>
            <w:vAlign w:val="center"/>
          </w:tcPr>
          <w:p w14:paraId="1DCE82B0">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1418" w:type="dxa"/>
            <w:noWrap w:val="0"/>
            <w:vAlign w:val="center"/>
          </w:tcPr>
          <w:p w14:paraId="0839FC17">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15B5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9F2F947">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63A08CE6">
            <w:pPr>
              <w:spacing w:line="320" w:lineRule="exact"/>
              <w:jc w:val="left"/>
              <w:rPr>
                <w:rFonts w:hint="eastAsia" w:ascii="仿宋_GB2312" w:hAnsi="仿宋_GB2312" w:eastAsia="仿宋_GB2312" w:cs="仿宋_GB2312"/>
                <w:color w:val="000000"/>
                <w:sz w:val="20"/>
                <w:szCs w:val="20"/>
              </w:rPr>
            </w:pPr>
          </w:p>
        </w:tc>
        <w:tc>
          <w:tcPr>
            <w:tcW w:w="1080" w:type="dxa"/>
            <w:vMerge w:val="restart"/>
            <w:noWrap w:val="0"/>
            <w:vAlign w:val="center"/>
          </w:tcPr>
          <w:p w14:paraId="538DB75B">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时效指标</w:t>
            </w:r>
          </w:p>
        </w:tc>
        <w:tc>
          <w:tcPr>
            <w:tcW w:w="1356" w:type="dxa"/>
            <w:noWrap w:val="0"/>
            <w:vAlign w:val="center"/>
          </w:tcPr>
          <w:p w14:paraId="5F15A25B">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项目完成时间</w:t>
            </w:r>
          </w:p>
        </w:tc>
        <w:tc>
          <w:tcPr>
            <w:tcW w:w="1104" w:type="dxa"/>
            <w:noWrap w:val="0"/>
            <w:vAlign w:val="center"/>
          </w:tcPr>
          <w:p w14:paraId="1A3DEE55">
            <w:pPr>
              <w:widowControl/>
              <w:spacing w:line="28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2025年12月31日前</w:t>
            </w:r>
          </w:p>
        </w:tc>
        <w:tc>
          <w:tcPr>
            <w:tcW w:w="1140" w:type="dxa"/>
            <w:noWrap w:val="0"/>
            <w:vAlign w:val="center"/>
          </w:tcPr>
          <w:p w14:paraId="50324BB1">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2025年12月31日前完成</w:t>
            </w:r>
          </w:p>
        </w:tc>
        <w:tc>
          <w:tcPr>
            <w:tcW w:w="720" w:type="dxa"/>
            <w:noWrap w:val="0"/>
            <w:vAlign w:val="center"/>
          </w:tcPr>
          <w:p w14:paraId="7BFE7B62">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5</w:t>
            </w:r>
          </w:p>
        </w:tc>
        <w:tc>
          <w:tcPr>
            <w:tcW w:w="873" w:type="dxa"/>
            <w:noWrap w:val="0"/>
            <w:vAlign w:val="center"/>
          </w:tcPr>
          <w:p w14:paraId="0F1A354D">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5</w:t>
            </w:r>
          </w:p>
        </w:tc>
        <w:tc>
          <w:tcPr>
            <w:tcW w:w="1418" w:type="dxa"/>
            <w:noWrap w:val="0"/>
            <w:vAlign w:val="center"/>
          </w:tcPr>
          <w:p w14:paraId="2BC08B3C">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6E36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C9E76AF">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18D5C45B">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281A2B5A">
            <w:pPr>
              <w:spacing w:line="320" w:lineRule="exact"/>
              <w:jc w:val="center"/>
              <w:rPr>
                <w:rFonts w:hint="eastAsia" w:ascii="仿宋_GB2312" w:hAnsi="仿宋_GB2312" w:eastAsia="仿宋_GB2312" w:cs="仿宋_GB2312"/>
                <w:color w:val="000000"/>
                <w:sz w:val="20"/>
                <w:szCs w:val="20"/>
              </w:rPr>
            </w:pPr>
          </w:p>
        </w:tc>
        <w:tc>
          <w:tcPr>
            <w:tcW w:w="1356" w:type="dxa"/>
            <w:noWrap w:val="0"/>
            <w:vAlign w:val="center"/>
          </w:tcPr>
          <w:p w14:paraId="7F8013A0">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网络正常运行，故障解决及时。</w:t>
            </w:r>
          </w:p>
        </w:tc>
        <w:tc>
          <w:tcPr>
            <w:tcW w:w="1104" w:type="dxa"/>
            <w:noWrap w:val="0"/>
            <w:vAlign w:val="center"/>
          </w:tcPr>
          <w:p w14:paraId="524BD8D8">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要求时间内完成</w:t>
            </w:r>
          </w:p>
        </w:tc>
        <w:tc>
          <w:tcPr>
            <w:tcW w:w="1140" w:type="dxa"/>
            <w:noWrap w:val="0"/>
            <w:vAlign w:val="center"/>
          </w:tcPr>
          <w:p w14:paraId="625DD86F">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均在要求时间内完成</w:t>
            </w:r>
          </w:p>
        </w:tc>
        <w:tc>
          <w:tcPr>
            <w:tcW w:w="720" w:type="dxa"/>
            <w:noWrap w:val="0"/>
            <w:vAlign w:val="center"/>
          </w:tcPr>
          <w:p w14:paraId="7CF45911">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5</w:t>
            </w:r>
          </w:p>
        </w:tc>
        <w:tc>
          <w:tcPr>
            <w:tcW w:w="873" w:type="dxa"/>
            <w:noWrap w:val="0"/>
            <w:vAlign w:val="center"/>
          </w:tcPr>
          <w:p w14:paraId="77070A43">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5</w:t>
            </w:r>
          </w:p>
        </w:tc>
        <w:tc>
          <w:tcPr>
            <w:tcW w:w="1418" w:type="dxa"/>
            <w:noWrap w:val="0"/>
            <w:vAlign w:val="center"/>
          </w:tcPr>
          <w:p w14:paraId="612F8864">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0115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2F58DF0">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3D82D89E">
            <w:pPr>
              <w:spacing w:line="320" w:lineRule="exact"/>
              <w:jc w:val="left"/>
              <w:rPr>
                <w:rFonts w:hint="eastAsia" w:ascii="仿宋_GB2312" w:hAnsi="仿宋_GB2312" w:eastAsia="仿宋_GB2312" w:cs="仿宋_GB2312"/>
                <w:color w:val="000000"/>
                <w:sz w:val="20"/>
                <w:szCs w:val="20"/>
              </w:rPr>
            </w:pPr>
          </w:p>
        </w:tc>
        <w:tc>
          <w:tcPr>
            <w:tcW w:w="1080" w:type="dxa"/>
            <w:vMerge w:val="restart"/>
            <w:noWrap w:val="0"/>
            <w:vAlign w:val="center"/>
          </w:tcPr>
          <w:p w14:paraId="4EAC24A3">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成本指标</w:t>
            </w:r>
          </w:p>
        </w:tc>
        <w:tc>
          <w:tcPr>
            <w:tcW w:w="1356" w:type="dxa"/>
            <w:noWrap w:val="0"/>
            <w:vAlign w:val="center"/>
          </w:tcPr>
          <w:p w14:paraId="09494659">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项目实施成本</w:t>
            </w:r>
          </w:p>
        </w:tc>
        <w:tc>
          <w:tcPr>
            <w:tcW w:w="1104" w:type="dxa"/>
            <w:noWrap w:val="0"/>
            <w:vAlign w:val="center"/>
          </w:tcPr>
          <w:p w14:paraId="515548B4">
            <w:pPr>
              <w:widowControl/>
              <w:spacing w:line="28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31万元</w:t>
            </w:r>
          </w:p>
        </w:tc>
        <w:tc>
          <w:tcPr>
            <w:tcW w:w="1140" w:type="dxa"/>
            <w:noWrap w:val="0"/>
            <w:vAlign w:val="center"/>
          </w:tcPr>
          <w:p w14:paraId="03D23A45">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未超预算</w:t>
            </w:r>
          </w:p>
        </w:tc>
        <w:tc>
          <w:tcPr>
            <w:tcW w:w="720" w:type="dxa"/>
            <w:noWrap w:val="0"/>
            <w:vAlign w:val="center"/>
          </w:tcPr>
          <w:p w14:paraId="681E7B93">
            <w:pPr>
              <w:widowControl/>
              <w:spacing w:line="280" w:lineRule="exact"/>
              <w:ind w:firstLine="200" w:firstLineChars="1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6</w:t>
            </w:r>
          </w:p>
        </w:tc>
        <w:tc>
          <w:tcPr>
            <w:tcW w:w="873" w:type="dxa"/>
            <w:noWrap w:val="0"/>
            <w:vAlign w:val="center"/>
          </w:tcPr>
          <w:p w14:paraId="413149BE">
            <w:pPr>
              <w:widowControl/>
              <w:spacing w:line="32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5</w:t>
            </w:r>
          </w:p>
        </w:tc>
        <w:tc>
          <w:tcPr>
            <w:tcW w:w="1418" w:type="dxa"/>
            <w:noWrap w:val="0"/>
            <w:vAlign w:val="center"/>
          </w:tcPr>
          <w:p w14:paraId="7B467B46">
            <w:pPr>
              <w:widowControl/>
              <w:spacing w:line="320" w:lineRule="exact"/>
              <w:jc w:val="left"/>
              <w:rPr>
                <w:rFonts w:hint="eastAsia" w:ascii="仿宋_GB2312" w:hAnsi="仿宋_GB2312" w:eastAsia="仿宋_GB2312" w:cs="仿宋_GB2312"/>
                <w:color w:val="000000"/>
                <w:sz w:val="20"/>
                <w:szCs w:val="20"/>
              </w:rPr>
            </w:pPr>
          </w:p>
        </w:tc>
      </w:tr>
      <w:tr w14:paraId="0943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24D24BCA">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4FFB77EB">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250439A2">
            <w:pPr>
              <w:spacing w:line="320" w:lineRule="exact"/>
              <w:jc w:val="left"/>
              <w:rPr>
                <w:rFonts w:hint="eastAsia" w:ascii="仿宋_GB2312" w:hAnsi="仿宋_GB2312" w:eastAsia="仿宋_GB2312" w:cs="仿宋_GB2312"/>
                <w:color w:val="000000"/>
                <w:sz w:val="20"/>
                <w:szCs w:val="20"/>
              </w:rPr>
            </w:pPr>
          </w:p>
        </w:tc>
        <w:tc>
          <w:tcPr>
            <w:tcW w:w="1356" w:type="dxa"/>
            <w:noWrap w:val="0"/>
            <w:vAlign w:val="center"/>
          </w:tcPr>
          <w:p w14:paraId="1948DF5B">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对自然生态环境造成的负面影响</w:t>
            </w:r>
          </w:p>
        </w:tc>
        <w:tc>
          <w:tcPr>
            <w:tcW w:w="1104" w:type="dxa"/>
            <w:noWrap w:val="0"/>
            <w:vAlign w:val="center"/>
          </w:tcPr>
          <w:p w14:paraId="6F2C23AC">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1140" w:type="dxa"/>
            <w:noWrap w:val="0"/>
            <w:vAlign w:val="center"/>
          </w:tcPr>
          <w:p w14:paraId="60F50696">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720" w:type="dxa"/>
            <w:noWrap w:val="0"/>
            <w:vAlign w:val="center"/>
          </w:tcPr>
          <w:p w14:paraId="1128E41E">
            <w:pPr>
              <w:widowControl/>
              <w:spacing w:line="280" w:lineRule="exact"/>
              <w:jc w:val="left"/>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lang w:val="en-US" w:eastAsia="zh-CN"/>
              </w:rPr>
              <w:t>5</w:t>
            </w:r>
          </w:p>
        </w:tc>
        <w:tc>
          <w:tcPr>
            <w:tcW w:w="873" w:type="dxa"/>
            <w:noWrap w:val="0"/>
            <w:vAlign w:val="center"/>
          </w:tcPr>
          <w:p w14:paraId="054A4E61">
            <w:pPr>
              <w:widowControl/>
              <w:spacing w:line="320" w:lineRule="exact"/>
              <w:jc w:val="left"/>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lang w:val="en-US" w:eastAsia="zh-CN"/>
              </w:rPr>
              <w:t>5</w:t>
            </w:r>
          </w:p>
        </w:tc>
        <w:tc>
          <w:tcPr>
            <w:tcW w:w="1418" w:type="dxa"/>
            <w:noWrap w:val="0"/>
            <w:vAlign w:val="center"/>
          </w:tcPr>
          <w:p w14:paraId="1427BE28">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5B98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D995DCB">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2C6BF3CB">
            <w:pPr>
              <w:widowControl/>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5FD4A184">
            <w:pPr>
              <w:widowControl/>
              <w:spacing w:line="320" w:lineRule="exact"/>
              <w:jc w:val="left"/>
              <w:rPr>
                <w:rFonts w:hint="eastAsia" w:ascii="仿宋_GB2312" w:hAnsi="仿宋_GB2312" w:eastAsia="仿宋_GB2312" w:cs="仿宋_GB2312"/>
                <w:color w:val="000000"/>
                <w:sz w:val="20"/>
                <w:szCs w:val="20"/>
              </w:rPr>
            </w:pPr>
          </w:p>
        </w:tc>
        <w:tc>
          <w:tcPr>
            <w:tcW w:w="1356" w:type="dxa"/>
            <w:noWrap w:val="0"/>
            <w:vAlign w:val="center"/>
          </w:tcPr>
          <w:p w14:paraId="23C01845">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对社会发展可能造成的负面影响</w:t>
            </w:r>
          </w:p>
        </w:tc>
        <w:tc>
          <w:tcPr>
            <w:tcW w:w="1104" w:type="dxa"/>
            <w:noWrap w:val="0"/>
            <w:vAlign w:val="center"/>
          </w:tcPr>
          <w:p w14:paraId="1EF9CB17">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1140" w:type="dxa"/>
            <w:noWrap w:val="0"/>
            <w:vAlign w:val="center"/>
          </w:tcPr>
          <w:p w14:paraId="65B8BC46">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720" w:type="dxa"/>
            <w:noWrap w:val="0"/>
            <w:vAlign w:val="center"/>
          </w:tcPr>
          <w:p w14:paraId="59FDFF27">
            <w:pPr>
              <w:widowControl/>
              <w:spacing w:line="280" w:lineRule="exact"/>
              <w:jc w:val="left"/>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lang w:val="en-US" w:eastAsia="zh-CN"/>
              </w:rPr>
              <w:t>5</w:t>
            </w:r>
          </w:p>
        </w:tc>
        <w:tc>
          <w:tcPr>
            <w:tcW w:w="873" w:type="dxa"/>
            <w:noWrap w:val="0"/>
            <w:vAlign w:val="center"/>
          </w:tcPr>
          <w:p w14:paraId="342C41CE">
            <w:pPr>
              <w:widowControl/>
              <w:spacing w:line="320" w:lineRule="exact"/>
              <w:jc w:val="left"/>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lang w:val="en-US" w:eastAsia="zh-CN"/>
              </w:rPr>
              <w:t>5</w:t>
            </w:r>
          </w:p>
        </w:tc>
        <w:tc>
          <w:tcPr>
            <w:tcW w:w="1418" w:type="dxa"/>
            <w:noWrap w:val="0"/>
            <w:vAlign w:val="center"/>
          </w:tcPr>
          <w:p w14:paraId="19B0D8C6">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7A33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254A0B9">
            <w:pPr>
              <w:spacing w:line="320" w:lineRule="exact"/>
              <w:jc w:val="left"/>
              <w:rPr>
                <w:rFonts w:hint="eastAsia" w:ascii="仿宋_GB2312" w:hAnsi="仿宋_GB2312" w:eastAsia="仿宋_GB2312" w:cs="仿宋_GB2312"/>
                <w:color w:val="000000"/>
                <w:sz w:val="20"/>
                <w:szCs w:val="20"/>
              </w:rPr>
            </w:pPr>
          </w:p>
        </w:tc>
        <w:tc>
          <w:tcPr>
            <w:tcW w:w="1080" w:type="dxa"/>
            <w:vMerge w:val="restart"/>
            <w:noWrap w:val="0"/>
            <w:vAlign w:val="center"/>
          </w:tcPr>
          <w:p w14:paraId="172FC6D0">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效益指标</w:t>
            </w:r>
          </w:p>
          <w:p w14:paraId="2D099B77">
            <w:pPr>
              <w:widowControl/>
              <w:spacing w:line="320" w:lineRule="exact"/>
              <w:jc w:val="left"/>
              <w:rPr>
                <w:rFonts w:hint="eastAsia" w:ascii="仿宋_GB2312" w:hAnsi="仿宋_GB2312" w:eastAsia="仿宋_GB2312" w:cs="仿宋_GB2312"/>
                <w:color w:val="000000"/>
                <w:sz w:val="20"/>
                <w:szCs w:val="20"/>
              </w:rPr>
            </w:pPr>
          </w:p>
          <w:p w14:paraId="1CE97DA4">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（30分）</w:t>
            </w:r>
          </w:p>
          <w:p w14:paraId="550A7DC1">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080" w:type="dxa"/>
            <w:noWrap w:val="0"/>
            <w:vAlign w:val="center"/>
          </w:tcPr>
          <w:p w14:paraId="1D147EA8">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经济效</w:t>
            </w:r>
          </w:p>
          <w:p w14:paraId="6A988112">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356" w:type="dxa"/>
            <w:noWrap w:val="0"/>
            <w:vAlign w:val="center"/>
          </w:tcPr>
          <w:p w14:paraId="529874BB">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降低城市管理成本</w:t>
            </w:r>
          </w:p>
        </w:tc>
        <w:tc>
          <w:tcPr>
            <w:tcW w:w="1104" w:type="dxa"/>
            <w:noWrap w:val="0"/>
            <w:vAlign w:val="center"/>
          </w:tcPr>
          <w:p w14:paraId="3260D3A5">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降低城市管理成本</w:t>
            </w:r>
          </w:p>
        </w:tc>
        <w:tc>
          <w:tcPr>
            <w:tcW w:w="1140" w:type="dxa"/>
            <w:noWrap w:val="0"/>
            <w:vAlign w:val="center"/>
          </w:tcPr>
          <w:p w14:paraId="171DB9F7">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降低了城市管理成本</w:t>
            </w:r>
          </w:p>
        </w:tc>
        <w:tc>
          <w:tcPr>
            <w:tcW w:w="720" w:type="dxa"/>
            <w:noWrap w:val="0"/>
            <w:vAlign w:val="center"/>
          </w:tcPr>
          <w:p w14:paraId="02D74461">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noWrap w:val="0"/>
            <w:vAlign w:val="center"/>
          </w:tcPr>
          <w:p w14:paraId="406784E3">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1418" w:type="dxa"/>
            <w:noWrap w:val="0"/>
            <w:vAlign w:val="center"/>
          </w:tcPr>
          <w:p w14:paraId="6D0F3A29">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2B05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2E42F221">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64ABF8F2">
            <w:pPr>
              <w:spacing w:line="320" w:lineRule="exact"/>
              <w:jc w:val="left"/>
              <w:rPr>
                <w:rFonts w:hint="eastAsia" w:ascii="仿宋_GB2312" w:hAnsi="仿宋_GB2312" w:eastAsia="仿宋_GB2312" w:cs="仿宋_GB2312"/>
                <w:color w:val="000000"/>
                <w:sz w:val="20"/>
                <w:szCs w:val="20"/>
              </w:rPr>
            </w:pPr>
          </w:p>
        </w:tc>
        <w:tc>
          <w:tcPr>
            <w:tcW w:w="1080" w:type="dxa"/>
            <w:noWrap w:val="0"/>
            <w:vAlign w:val="center"/>
          </w:tcPr>
          <w:p w14:paraId="4DBFB4F7">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社会效</w:t>
            </w:r>
          </w:p>
          <w:p w14:paraId="010FE234">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356" w:type="dxa"/>
            <w:noWrap w:val="0"/>
            <w:vAlign w:val="center"/>
          </w:tcPr>
          <w:p w14:paraId="3B54B3EF">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打造精细化城市管理</w:t>
            </w:r>
          </w:p>
        </w:tc>
        <w:tc>
          <w:tcPr>
            <w:tcW w:w="1104" w:type="dxa"/>
            <w:noWrap w:val="0"/>
            <w:vAlign w:val="center"/>
          </w:tcPr>
          <w:p w14:paraId="32BED943">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规范城市管理，提升城市形象</w:t>
            </w:r>
          </w:p>
        </w:tc>
        <w:tc>
          <w:tcPr>
            <w:tcW w:w="1140" w:type="dxa"/>
            <w:noWrap w:val="0"/>
            <w:vAlign w:val="center"/>
          </w:tcPr>
          <w:p w14:paraId="339F61D2">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城市整体形象有效提升</w:t>
            </w:r>
          </w:p>
        </w:tc>
        <w:tc>
          <w:tcPr>
            <w:tcW w:w="720" w:type="dxa"/>
            <w:noWrap w:val="0"/>
            <w:vAlign w:val="center"/>
          </w:tcPr>
          <w:p w14:paraId="1292845A">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noWrap w:val="0"/>
            <w:vAlign w:val="center"/>
          </w:tcPr>
          <w:p w14:paraId="0522B9BA">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5</w:t>
            </w:r>
          </w:p>
        </w:tc>
        <w:tc>
          <w:tcPr>
            <w:tcW w:w="1418" w:type="dxa"/>
            <w:noWrap w:val="0"/>
            <w:vAlign w:val="center"/>
          </w:tcPr>
          <w:p w14:paraId="21F2BF85">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提升工作标准，尽量满足市民对城市管理工作的期望</w:t>
            </w:r>
          </w:p>
        </w:tc>
      </w:tr>
      <w:tr w14:paraId="36FC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A4EC2EA">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2FD064C6">
            <w:pPr>
              <w:spacing w:line="320" w:lineRule="exact"/>
              <w:jc w:val="left"/>
              <w:rPr>
                <w:rFonts w:hint="eastAsia" w:ascii="仿宋_GB2312" w:hAnsi="仿宋_GB2312" w:eastAsia="仿宋_GB2312" w:cs="仿宋_GB2312"/>
                <w:color w:val="000000"/>
                <w:sz w:val="20"/>
                <w:szCs w:val="20"/>
              </w:rPr>
            </w:pPr>
          </w:p>
        </w:tc>
        <w:tc>
          <w:tcPr>
            <w:tcW w:w="1080" w:type="dxa"/>
            <w:noWrap w:val="0"/>
            <w:vAlign w:val="center"/>
          </w:tcPr>
          <w:p w14:paraId="380586F8">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生态效</w:t>
            </w:r>
          </w:p>
          <w:p w14:paraId="0CEADCCF">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356" w:type="dxa"/>
            <w:noWrap w:val="0"/>
            <w:vAlign w:val="center"/>
          </w:tcPr>
          <w:p w14:paraId="71EFBFAB">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美化城市形象、改善辖区居住环境</w:t>
            </w:r>
          </w:p>
        </w:tc>
        <w:tc>
          <w:tcPr>
            <w:tcW w:w="1104" w:type="dxa"/>
            <w:noWrap w:val="0"/>
            <w:vAlign w:val="center"/>
          </w:tcPr>
          <w:p w14:paraId="7EABFCAC">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改善城区居住环境</w:t>
            </w:r>
          </w:p>
        </w:tc>
        <w:tc>
          <w:tcPr>
            <w:tcW w:w="1140" w:type="dxa"/>
            <w:noWrap w:val="0"/>
            <w:vAlign w:val="center"/>
          </w:tcPr>
          <w:p w14:paraId="635DF4A9">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辖区居民舒适感有所改善</w:t>
            </w:r>
          </w:p>
        </w:tc>
        <w:tc>
          <w:tcPr>
            <w:tcW w:w="720" w:type="dxa"/>
            <w:noWrap w:val="0"/>
            <w:vAlign w:val="center"/>
          </w:tcPr>
          <w:p w14:paraId="79BD959C">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noWrap w:val="0"/>
            <w:vAlign w:val="center"/>
          </w:tcPr>
          <w:p w14:paraId="4811DB3B">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1418" w:type="dxa"/>
            <w:noWrap w:val="0"/>
            <w:vAlign w:val="center"/>
          </w:tcPr>
          <w:p w14:paraId="750E9B9A">
            <w:pPr>
              <w:widowControl/>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5FAA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5911EB8">
            <w:pPr>
              <w:widowControl/>
              <w:spacing w:line="320" w:lineRule="exact"/>
              <w:jc w:val="center"/>
              <w:rPr>
                <w:rFonts w:hint="eastAsia" w:ascii="仿宋_GB2312" w:hAnsi="仿宋_GB2312" w:eastAsia="仿宋_GB2312" w:cs="仿宋_GB2312"/>
                <w:color w:val="000000"/>
                <w:sz w:val="20"/>
                <w:szCs w:val="20"/>
              </w:rPr>
            </w:pPr>
          </w:p>
        </w:tc>
        <w:tc>
          <w:tcPr>
            <w:tcW w:w="1080" w:type="dxa"/>
            <w:vMerge w:val="continue"/>
            <w:noWrap w:val="0"/>
            <w:vAlign w:val="center"/>
          </w:tcPr>
          <w:p w14:paraId="6E8ADF06">
            <w:pPr>
              <w:widowControl/>
              <w:spacing w:line="320" w:lineRule="exact"/>
              <w:jc w:val="left"/>
              <w:rPr>
                <w:rFonts w:hint="eastAsia" w:ascii="仿宋_GB2312" w:hAnsi="仿宋_GB2312" w:eastAsia="仿宋_GB2312" w:cs="仿宋_GB2312"/>
                <w:color w:val="000000"/>
                <w:sz w:val="20"/>
                <w:szCs w:val="20"/>
              </w:rPr>
            </w:pPr>
          </w:p>
        </w:tc>
        <w:tc>
          <w:tcPr>
            <w:tcW w:w="1080" w:type="dxa"/>
            <w:vMerge w:val="restart"/>
            <w:noWrap w:val="0"/>
            <w:vAlign w:val="center"/>
          </w:tcPr>
          <w:p w14:paraId="59AF63A7">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可持续影响指标</w:t>
            </w:r>
          </w:p>
        </w:tc>
        <w:tc>
          <w:tcPr>
            <w:tcW w:w="1356" w:type="dxa"/>
            <w:noWrap w:val="0"/>
            <w:vAlign w:val="center"/>
          </w:tcPr>
          <w:p w14:paraId="57E4484C">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助力提升城市整体形象</w:t>
            </w:r>
          </w:p>
        </w:tc>
        <w:tc>
          <w:tcPr>
            <w:tcW w:w="1104" w:type="dxa"/>
            <w:noWrap w:val="0"/>
            <w:vAlign w:val="center"/>
          </w:tcPr>
          <w:p w14:paraId="1CABAF83">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助力提升城市整体形象</w:t>
            </w:r>
          </w:p>
        </w:tc>
        <w:tc>
          <w:tcPr>
            <w:tcW w:w="1140" w:type="dxa"/>
            <w:noWrap w:val="0"/>
            <w:vAlign w:val="center"/>
          </w:tcPr>
          <w:p w14:paraId="47F71630">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城市管理水平不断提高，城市整体形象不断提升</w:t>
            </w:r>
          </w:p>
        </w:tc>
        <w:tc>
          <w:tcPr>
            <w:tcW w:w="720" w:type="dxa"/>
            <w:noWrap w:val="0"/>
            <w:vAlign w:val="center"/>
          </w:tcPr>
          <w:p w14:paraId="37D540C9">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noWrap w:val="0"/>
            <w:vAlign w:val="center"/>
          </w:tcPr>
          <w:p w14:paraId="5EFB5595">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1418" w:type="dxa"/>
            <w:noWrap w:val="0"/>
            <w:vAlign w:val="center"/>
          </w:tcPr>
          <w:p w14:paraId="481CC247">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5AB9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290FF7F1">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4B37FCCE">
            <w:pPr>
              <w:spacing w:line="32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0A2479A0">
            <w:pPr>
              <w:spacing w:line="320" w:lineRule="exact"/>
              <w:jc w:val="left"/>
              <w:rPr>
                <w:rFonts w:hint="eastAsia" w:ascii="仿宋_GB2312" w:hAnsi="仿宋_GB2312" w:eastAsia="仿宋_GB2312" w:cs="仿宋_GB2312"/>
                <w:color w:val="000000"/>
                <w:sz w:val="20"/>
                <w:szCs w:val="20"/>
              </w:rPr>
            </w:pPr>
          </w:p>
        </w:tc>
        <w:tc>
          <w:tcPr>
            <w:tcW w:w="1356" w:type="dxa"/>
            <w:noWrap w:val="0"/>
            <w:vAlign w:val="center"/>
          </w:tcPr>
          <w:p w14:paraId="1FFAC737">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对城市管理是否产生可持续影响</w:t>
            </w:r>
          </w:p>
        </w:tc>
        <w:tc>
          <w:tcPr>
            <w:tcW w:w="1104" w:type="dxa"/>
            <w:noWrap w:val="0"/>
            <w:vAlign w:val="center"/>
          </w:tcPr>
          <w:p w14:paraId="770A3795">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推进信息化管理，提高城市管理工作效率。</w:t>
            </w:r>
          </w:p>
        </w:tc>
        <w:tc>
          <w:tcPr>
            <w:tcW w:w="1140" w:type="dxa"/>
            <w:noWrap w:val="0"/>
            <w:vAlign w:val="center"/>
          </w:tcPr>
          <w:p w14:paraId="21D695C4">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城市管理工作效率不断提升</w:t>
            </w:r>
          </w:p>
        </w:tc>
        <w:tc>
          <w:tcPr>
            <w:tcW w:w="720" w:type="dxa"/>
            <w:noWrap w:val="0"/>
            <w:vAlign w:val="center"/>
          </w:tcPr>
          <w:p w14:paraId="570671F6">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noWrap w:val="0"/>
            <w:vAlign w:val="center"/>
          </w:tcPr>
          <w:p w14:paraId="7D8808E2">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1418" w:type="dxa"/>
            <w:noWrap w:val="0"/>
            <w:vAlign w:val="center"/>
          </w:tcPr>
          <w:p w14:paraId="29B79110">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6A55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3CD6AC1">
            <w:pPr>
              <w:spacing w:line="320" w:lineRule="exact"/>
              <w:jc w:val="left"/>
              <w:rPr>
                <w:rFonts w:hint="eastAsia" w:ascii="仿宋_GB2312" w:hAnsi="仿宋_GB2312" w:eastAsia="仿宋_GB2312" w:cs="仿宋_GB2312"/>
                <w:color w:val="000000"/>
                <w:sz w:val="20"/>
                <w:szCs w:val="20"/>
              </w:rPr>
            </w:pPr>
          </w:p>
        </w:tc>
        <w:tc>
          <w:tcPr>
            <w:tcW w:w="1080" w:type="dxa"/>
            <w:noWrap w:val="0"/>
            <w:vAlign w:val="center"/>
          </w:tcPr>
          <w:p w14:paraId="19B37AB3">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满意度</w:t>
            </w:r>
          </w:p>
          <w:p w14:paraId="352B2858">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w:t>
            </w:r>
          </w:p>
          <w:p w14:paraId="556D8455">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（10分）</w:t>
            </w:r>
          </w:p>
        </w:tc>
        <w:tc>
          <w:tcPr>
            <w:tcW w:w="1080" w:type="dxa"/>
            <w:noWrap w:val="0"/>
            <w:vAlign w:val="center"/>
          </w:tcPr>
          <w:p w14:paraId="7A849914">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服务对象满意度指标</w:t>
            </w:r>
          </w:p>
        </w:tc>
        <w:tc>
          <w:tcPr>
            <w:tcW w:w="1356" w:type="dxa"/>
            <w:noWrap w:val="0"/>
            <w:vAlign w:val="center"/>
          </w:tcPr>
          <w:p w14:paraId="17A2E34D">
            <w:pPr>
              <w:widowControl/>
              <w:spacing w:line="28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群众满意度</w:t>
            </w:r>
          </w:p>
        </w:tc>
        <w:tc>
          <w:tcPr>
            <w:tcW w:w="1104" w:type="dxa"/>
            <w:noWrap w:val="0"/>
            <w:vAlign w:val="center"/>
          </w:tcPr>
          <w:p w14:paraId="7B9E83A0">
            <w:pPr>
              <w:widowControl/>
              <w:spacing w:line="28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98%以上</w:t>
            </w:r>
          </w:p>
        </w:tc>
        <w:tc>
          <w:tcPr>
            <w:tcW w:w="1140" w:type="dxa"/>
            <w:noWrap w:val="0"/>
            <w:vAlign w:val="center"/>
          </w:tcPr>
          <w:p w14:paraId="7BDB55A6">
            <w:pPr>
              <w:widowControl/>
              <w:spacing w:line="28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98.5%</w:t>
            </w:r>
          </w:p>
        </w:tc>
        <w:tc>
          <w:tcPr>
            <w:tcW w:w="720" w:type="dxa"/>
            <w:noWrap w:val="0"/>
            <w:vAlign w:val="center"/>
          </w:tcPr>
          <w:p w14:paraId="1C3F05A7">
            <w:pPr>
              <w:widowControl/>
              <w:spacing w:line="28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w:t>
            </w:r>
          </w:p>
        </w:tc>
        <w:tc>
          <w:tcPr>
            <w:tcW w:w="873" w:type="dxa"/>
            <w:noWrap w:val="0"/>
            <w:vAlign w:val="center"/>
          </w:tcPr>
          <w:p w14:paraId="1E8D5378">
            <w:pPr>
              <w:widowControl/>
              <w:spacing w:line="32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w:t>
            </w:r>
          </w:p>
        </w:tc>
        <w:tc>
          <w:tcPr>
            <w:tcW w:w="1418" w:type="dxa"/>
            <w:noWrap w:val="0"/>
            <w:vAlign w:val="center"/>
          </w:tcPr>
          <w:p w14:paraId="2D8378C8">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7F43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840" w:type="dxa"/>
            <w:gridSpan w:val="6"/>
            <w:noWrap w:val="0"/>
            <w:vAlign w:val="center"/>
          </w:tcPr>
          <w:p w14:paraId="174BFEAA">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总分</w:t>
            </w:r>
          </w:p>
        </w:tc>
        <w:tc>
          <w:tcPr>
            <w:tcW w:w="720" w:type="dxa"/>
            <w:noWrap w:val="0"/>
            <w:vAlign w:val="center"/>
          </w:tcPr>
          <w:p w14:paraId="537AA168">
            <w:pPr>
              <w:widowControl/>
              <w:spacing w:line="32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873" w:type="dxa"/>
            <w:noWrap w:val="0"/>
            <w:vAlign w:val="center"/>
          </w:tcPr>
          <w:p w14:paraId="57610356">
            <w:pPr>
              <w:widowControl/>
              <w:spacing w:line="320" w:lineRule="exact"/>
              <w:ind w:firstLine="200" w:firstLineChars="100"/>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99</w:t>
            </w:r>
          </w:p>
        </w:tc>
        <w:tc>
          <w:tcPr>
            <w:tcW w:w="1418" w:type="dxa"/>
            <w:noWrap w:val="0"/>
            <w:vAlign w:val="center"/>
          </w:tcPr>
          <w:p w14:paraId="61154DD8">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bl>
    <w:p w14:paraId="759EB61A">
      <w:pPr>
        <w:rPr>
          <w:rFonts w:ascii="Times New Roman" w:hAnsi="Times New Roman" w:eastAsia="仿宋_GB2312"/>
          <w:sz w:val="18"/>
          <w:szCs w:val="18"/>
        </w:rPr>
      </w:pPr>
    </w:p>
    <w:p w14:paraId="070EE1B8">
      <w:pPr>
        <w:spacing w:line="520" w:lineRule="exact"/>
        <w:rPr>
          <w:rFonts w:hint="eastAsia" w:ascii="Times New Roman" w:hAnsi="Times New Roman" w:eastAsia="仿宋_GB2312"/>
          <w:sz w:val="22"/>
          <w:szCs w:val="22"/>
        </w:rPr>
      </w:pPr>
      <w:r>
        <w:rPr>
          <w:rFonts w:hint="eastAsia" w:ascii="仿宋_GB2312" w:hAnsi="仿宋_GB2312" w:eastAsia="仿宋_GB2312" w:cs="仿宋_GB2312"/>
          <w:sz w:val="22"/>
          <w:szCs w:val="22"/>
        </w:rPr>
        <w:t>填表人：禹荣</w:t>
      </w:r>
      <w:r>
        <w:rPr>
          <w:rFonts w:hint="eastAsia" w:ascii="仿宋_GB2312" w:hAnsi="仿宋_GB2312" w:eastAsia="仿宋_GB2312" w:cs="仿宋_GB2312"/>
          <w:sz w:val="22"/>
          <w:szCs w:val="22"/>
          <w:lang w:val="en"/>
        </w:rPr>
        <w:t xml:space="preserve">  </w:t>
      </w:r>
      <w:r>
        <w:rPr>
          <w:rFonts w:hint="eastAsia" w:ascii="仿宋_GB2312" w:hAnsi="仿宋_GB2312" w:eastAsia="仿宋_GB2312" w:cs="仿宋_GB2312"/>
          <w:sz w:val="22"/>
          <w:szCs w:val="22"/>
        </w:rPr>
        <w:t>填报日期：2026.6.23 联系电话：0730-8690022  单位负责人：</w:t>
      </w:r>
    </w:p>
    <w:p w14:paraId="5299EAEA">
      <w:pPr>
        <w:rPr>
          <w:rFonts w:hint="eastAsia" w:ascii="黑体" w:hAnsi="黑体" w:eastAsia="黑体" w:cs="黑体"/>
          <w:sz w:val="32"/>
          <w:szCs w:val="32"/>
        </w:rPr>
      </w:pPr>
    </w:p>
    <w:p w14:paraId="72DB66E2">
      <w:pPr>
        <w:rPr>
          <w:rFonts w:ascii="Times New Roman" w:hAnsi="Times New Roman" w:eastAsia="黑体"/>
          <w:sz w:val="32"/>
          <w:szCs w:val="32"/>
        </w:rPr>
      </w:pPr>
      <w:r>
        <w:rPr>
          <w:rFonts w:hint="eastAsia" w:ascii="黑体" w:hAnsi="黑体" w:eastAsia="黑体" w:cs="黑体"/>
          <w:sz w:val="32"/>
          <w:szCs w:val="32"/>
        </w:rPr>
        <w:t>附件1-</w:t>
      </w:r>
      <w:r>
        <w:rPr>
          <w:rFonts w:hint="default" w:ascii="黑体" w:hAnsi="黑体" w:eastAsia="黑体" w:cs="黑体"/>
          <w:sz w:val="32"/>
          <w:szCs w:val="32"/>
          <w:lang w:val="en-US"/>
        </w:rPr>
        <w:t>4</w:t>
      </w:r>
    </w:p>
    <w:p w14:paraId="3FC71315">
      <w:pPr>
        <w:widowControl/>
        <w:spacing w:line="60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2025年度项目支出绩效自评表</w:t>
      </w:r>
    </w:p>
    <w:p w14:paraId="409B8B85">
      <w:pPr>
        <w:pStyle w:val="4"/>
        <w:rPr>
          <w:rFonts w:hint="eastAsia"/>
          <w:lang w:eastAsia="zh-CN"/>
        </w:rPr>
      </w:pPr>
    </w:p>
    <w:tbl>
      <w:tblPr>
        <w:tblStyle w:val="10"/>
        <w:tblW w:w="9851" w:type="dxa"/>
        <w:jc w:val="center"/>
        <w:tblLayout w:type="autofit"/>
        <w:tblCellMar>
          <w:top w:w="0" w:type="dxa"/>
          <w:left w:w="108" w:type="dxa"/>
          <w:bottom w:w="0" w:type="dxa"/>
          <w:right w:w="108" w:type="dxa"/>
        </w:tblCellMar>
      </w:tblPr>
      <w:tblGrid>
        <w:gridCol w:w="1080"/>
        <w:gridCol w:w="1080"/>
        <w:gridCol w:w="1080"/>
        <w:gridCol w:w="1224"/>
        <w:gridCol w:w="1134"/>
        <w:gridCol w:w="1083"/>
        <w:gridCol w:w="879"/>
        <w:gridCol w:w="873"/>
        <w:gridCol w:w="1418"/>
      </w:tblGrid>
      <w:tr w14:paraId="2ABF6653">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0351B936">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项目支</w:t>
            </w:r>
          </w:p>
          <w:p w14:paraId="66F8AD97">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出名称</w:t>
            </w:r>
          </w:p>
        </w:tc>
        <w:tc>
          <w:tcPr>
            <w:tcW w:w="8771" w:type="dxa"/>
            <w:gridSpan w:val="8"/>
            <w:tcBorders>
              <w:top w:val="single" w:color="auto" w:sz="4" w:space="0"/>
              <w:left w:val="single" w:color="auto" w:sz="4" w:space="0"/>
              <w:bottom w:val="single" w:color="auto" w:sz="4" w:space="0"/>
              <w:right w:val="single" w:color="auto" w:sz="4" w:space="0"/>
            </w:tcBorders>
            <w:noWrap w:val="0"/>
            <w:vAlign w:val="center"/>
          </w:tcPr>
          <w:p w14:paraId="4309040F">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sz w:val="20"/>
                <w:szCs w:val="20"/>
              </w:rPr>
              <w:t>二期通讯运营租赁费</w:t>
            </w:r>
            <w:r>
              <w:rPr>
                <w:rFonts w:hint="eastAsia" w:ascii="仿宋_GB2312" w:hAnsi="仿宋_GB2312" w:eastAsia="仿宋_GB2312" w:cs="仿宋_GB2312"/>
                <w:color w:val="FF0000"/>
                <w:sz w:val="20"/>
                <w:szCs w:val="20"/>
              </w:rPr>
              <w:t>　</w:t>
            </w:r>
          </w:p>
        </w:tc>
      </w:tr>
      <w:tr w14:paraId="0589E39E">
        <w:tblPrEx>
          <w:tblCellMar>
            <w:top w:w="0" w:type="dxa"/>
            <w:left w:w="108" w:type="dxa"/>
            <w:bottom w:w="0" w:type="dxa"/>
            <w:right w:w="108" w:type="dxa"/>
          </w:tblCellMar>
        </w:tblPrEx>
        <w:trPr>
          <w:trHeight w:val="507"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5706A33">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主管部门</w:t>
            </w:r>
          </w:p>
        </w:tc>
        <w:tc>
          <w:tcPr>
            <w:tcW w:w="4518" w:type="dxa"/>
            <w:gridSpan w:val="4"/>
            <w:tcBorders>
              <w:top w:val="single" w:color="auto" w:sz="4" w:space="0"/>
              <w:left w:val="single" w:color="auto" w:sz="4" w:space="0"/>
              <w:bottom w:val="single" w:color="auto" w:sz="4" w:space="0"/>
              <w:right w:val="single" w:color="auto" w:sz="4" w:space="0"/>
            </w:tcBorders>
            <w:noWrap w:val="0"/>
            <w:vAlign w:val="center"/>
          </w:tcPr>
          <w:p w14:paraId="3AC8F128">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岳阳市城市管理和综合执法局</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59D3D02A">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实施单位</w:t>
            </w:r>
          </w:p>
        </w:tc>
        <w:tc>
          <w:tcPr>
            <w:tcW w:w="3170" w:type="dxa"/>
            <w:gridSpan w:val="3"/>
            <w:tcBorders>
              <w:top w:val="single" w:color="auto" w:sz="4" w:space="0"/>
              <w:left w:val="single" w:color="auto" w:sz="4" w:space="0"/>
              <w:bottom w:val="single" w:color="auto" w:sz="4" w:space="0"/>
              <w:right w:val="single" w:color="auto" w:sz="4" w:space="0"/>
            </w:tcBorders>
            <w:noWrap w:val="0"/>
            <w:vAlign w:val="center"/>
          </w:tcPr>
          <w:p w14:paraId="27792B5D">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岳阳市智慧城管指挥中心</w:t>
            </w:r>
          </w:p>
        </w:tc>
      </w:tr>
      <w:tr w14:paraId="62E678BF">
        <w:tblPrEx>
          <w:tblCellMar>
            <w:top w:w="0" w:type="dxa"/>
            <w:left w:w="108" w:type="dxa"/>
            <w:bottom w:w="0" w:type="dxa"/>
            <w:right w:w="108" w:type="dxa"/>
          </w:tblCellMar>
        </w:tblPrEx>
        <w:trPr>
          <w:trHeight w:val="550" w:hRule="atLeast"/>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84696DC">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项目资金</w:t>
            </w:r>
            <w:r>
              <w:rPr>
                <w:rFonts w:hint="eastAsia" w:ascii="仿宋_GB2312" w:hAnsi="仿宋_GB2312" w:eastAsia="仿宋_GB2312" w:cs="仿宋_GB2312"/>
                <w:color w:val="000000"/>
                <w:sz w:val="20"/>
                <w:szCs w:val="20"/>
              </w:rPr>
              <w:br w:type="textWrapping"/>
            </w:r>
            <w:r>
              <w:rPr>
                <w:rFonts w:hint="eastAsia" w:ascii="仿宋_GB2312" w:hAnsi="仿宋_GB2312" w:eastAsia="仿宋_GB2312" w:cs="仿宋_GB2312"/>
                <w:color w:val="000000"/>
                <w:sz w:val="20"/>
                <w:szCs w:val="20"/>
              </w:rPr>
              <w:t>（万元）</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7E372013">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1BFAD61">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年初</w:t>
            </w:r>
          </w:p>
          <w:p w14:paraId="15C516EE">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预算数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231A5A1">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全年</w:t>
            </w:r>
          </w:p>
          <w:p w14:paraId="0EDD707C">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预算数</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735A6BF9">
            <w:pPr>
              <w:widowControl/>
              <w:spacing w:line="34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w:t>
            </w:r>
          </w:p>
          <w:p w14:paraId="0A27E704">
            <w:pPr>
              <w:widowControl/>
              <w:spacing w:line="34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执行数</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60AC524B">
            <w:pPr>
              <w:widowControl/>
              <w:spacing w:line="34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E23F631">
            <w:pPr>
              <w:widowControl/>
              <w:spacing w:line="34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执行率</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0115FF">
            <w:pPr>
              <w:widowControl/>
              <w:spacing w:line="34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得分</w:t>
            </w:r>
          </w:p>
        </w:tc>
      </w:tr>
      <w:tr w14:paraId="08AFECE0">
        <w:tblPrEx>
          <w:tblCellMar>
            <w:top w:w="0" w:type="dxa"/>
            <w:left w:w="108" w:type="dxa"/>
            <w:bottom w:w="0" w:type="dxa"/>
            <w:right w:w="108" w:type="dxa"/>
          </w:tblCellMar>
        </w:tblPrEx>
        <w:trPr>
          <w:trHeight w:val="48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0F29614">
            <w:pPr>
              <w:widowControl/>
              <w:spacing w:line="340" w:lineRule="exact"/>
              <w:jc w:val="left"/>
              <w:rPr>
                <w:rFonts w:hint="eastAsia" w:ascii="仿宋_GB2312" w:hAnsi="仿宋_GB2312" w:eastAsia="仿宋_GB2312" w:cs="仿宋_GB2312"/>
                <w:color w:val="000000"/>
                <w:sz w:val="20"/>
                <w:szCs w:val="20"/>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94865DB">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年度资金总额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EA45D26">
            <w:pPr>
              <w:widowControl/>
              <w:spacing w:line="340" w:lineRule="exact"/>
              <w:jc w:val="center"/>
              <w:rPr>
                <w:rFonts w:ascii="仿宋_GB2312" w:hAnsi="仿宋_GB2312" w:eastAsia="仿宋_GB2312" w:cs="仿宋_GB2312"/>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4C47116">
            <w:pPr>
              <w:widowControl/>
              <w:spacing w:line="34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40</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47DC5583">
            <w:pPr>
              <w:widowControl/>
              <w:spacing w:line="34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40</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44234399">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B2465F7">
            <w:pPr>
              <w:widowControl/>
              <w:spacing w:line="34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4B6F7A6">
            <w:pPr>
              <w:widowControl/>
              <w:spacing w:line="340" w:lineRule="exact"/>
              <w:ind w:firstLine="400" w:firstLineChars="200"/>
              <w:jc w:val="both"/>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w:t>
            </w:r>
          </w:p>
        </w:tc>
      </w:tr>
      <w:tr w14:paraId="137399D2">
        <w:tblPrEx>
          <w:tblCellMar>
            <w:top w:w="0" w:type="dxa"/>
            <w:left w:w="108" w:type="dxa"/>
            <w:bottom w:w="0" w:type="dxa"/>
            <w:right w:w="108" w:type="dxa"/>
          </w:tblCellMar>
        </w:tblPrEx>
        <w:trPr>
          <w:trHeight w:val="439"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B9869DA">
            <w:pPr>
              <w:widowControl/>
              <w:spacing w:line="340" w:lineRule="exact"/>
              <w:jc w:val="left"/>
              <w:rPr>
                <w:rFonts w:hint="eastAsia" w:ascii="仿宋_GB2312" w:hAnsi="仿宋_GB2312" w:eastAsia="仿宋_GB2312" w:cs="仿宋_GB2312"/>
                <w:color w:val="000000"/>
                <w:sz w:val="20"/>
                <w:szCs w:val="20"/>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770C742">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其中：当年财政拨款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CD79A37">
            <w:pPr>
              <w:widowControl/>
              <w:spacing w:line="340" w:lineRule="exact"/>
              <w:jc w:val="center"/>
              <w:rPr>
                <w:rFonts w:ascii="仿宋_GB2312" w:hAnsi="仿宋_GB2312" w:eastAsia="仿宋_GB2312" w:cs="仿宋_GB2312"/>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E4A396">
            <w:pPr>
              <w:widowControl/>
              <w:spacing w:line="34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40</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35EBFAD7">
            <w:pPr>
              <w:widowControl/>
              <w:spacing w:line="34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40</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17A1A78F">
            <w:pPr>
              <w:widowControl/>
              <w:spacing w:line="340" w:lineRule="exact"/>
              <w:jc w:val="center"/>
              <w:rPr>
                <w:rFonts w:hint="eastAsia" w:ascii="仿宋_GB2312" w:hAnsi="仿宋_GB2312" w:eastAsia="仿宋_GB2312" w:cs="仿宋_GB2312"/>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7F91464A">
            <w:pPr>
              <w:widowControl/>
              <w:spacing w:line="340" w:lineRule="exact"/>
              <w:jc w:val="center"/>
              <w:rPr>
                <w:rFonts w:hint="eastAsia" w:ascii="仿宋_GB2312" w:hAnsi="仿宋_GB2312" w:eastAsia="仿宋_GB2312" w:cs="仿宋_GB2312"/>
                <w:color w:val="000000"/>
                <w:sz w:val="20"/>
                <w:szCs w:val="2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93265C">
            <w:pPr>
              <w:widowControl/>
              <w:spacing w:line="340" w:lineRule="exact"/>
              <w:jc w:val="center"/>
              <w:rPr>
                <w:rFonts w:hint="eastAsia" w:ascii="仿宋_GB2312" w:hAnsi="仿宋_GB2312" w:eastAsia="仿宋_GB2312" w:cs="仿宋_GB2312"/>
                <w:color w:val="000000"/>
                <w:sz w:val="20"/>
                <w:szCs w:val="20"/>
              </w:rPr>
            </w:pPr>
          </w:p>
        </w:tc>
      </w:tr>
      <w:tr w14:paraId="14A3E934">
        <w:tblPrEx>
          <w:tblCellMar>
            <w:top w:w="0" w:type="dxa"/>
            <w:left w:w="108" w:type="dxa"/>
            <w:bottom w:w="0" w:type="dxa"/>
            <w:right w:w="108" w:type="dxa"/>
          </w:tblCellMar>
        </w:tblPrEx>
        <w:trPr>
          <w:trHeight w:val="453"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B2427C7">
            <w:pPr>
              <w:widowControl/>
              <w:spacing w:line="340" w:lineRule="exact"/>
              <w:jc w:val="left"/>
              <w:rPr>
                <w:rFonts w:hint="eastAsia" w:ascii="仿宋_GB2312" w:hAnsi="仿宋_GB2312" w:eastAsia="仿宋_GB2312" w:cs="仿宋_GB2312"/>
                <w:color w:val="000000"/>
                <w:sz w:val="20"/>
                <w:szCs w:val="20"/>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9A292B7">
            <w:pPr>
              <w:widowControl/>
              <w:spacing w:line="340" w:lineRule="exact"/>
              <w:ind w:firstLine="600" w:firstLineChars="3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上年结转资金　</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932E99E">
            <w:pPr>
              <w:widowControl/>
              <w:spacing w:line="340" w:lineRule="exact"/>
              <w:jc w:val="center"/>
              <w:rPr>
                <w:rFonts w:ascii="仿宋_GB2312" w:hAnsi="仿宋_GB2312" w:eastAsia="仿宋_GB2312" w:cs="仿宋_GB2312"/>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B8B2CF">
            <w:pPr>
              <w:widowControl/>
              <w:spacing w:line="340" w:lineRule="exact"/>
              <w:jc w:val="center"/>
              <w:rPr>
                <w:rFonts w:ascii="仿宋_GB2312" w:hAnsi="仿宋_GB2312" w:eastAsia="仿宋_GB2312" w:cs="仿宋_GB2312"/>
                <w:color w:val="000000"/>
                <w:sz w:val="20"/>
                <w:szCs w:val="20"/>
              </w:rPr>
            </w:pP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639A1AA">
            <w:pPr>
              <w:widowControl/>
              <w:spacing w:line="340" w:lineRule="exact"/>
              <w:jc w:val="center"/>
              <w:rPr>
                <w:rFonts w:ascii="仿宋_GB2312" w:hAnsi="仿宋_GB2312" w:eastAsia="仿宋_GB2312" w:cs="仿宋_GB2312"/>
                <w:color w:val="000000"/>
                <w:sz w:val="20"/>
                <w:szCs w:val="20"/>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719FB4BB">
            <w:pPr>
              <w:widowControl/>
              <w:spacing w:line="340" w:lineRule="exact"/>
              <w:jc w:val="center"/>
              <w:rPr>
                <w:rFonts w:hint="eastAsia" w:ascii="仿宋_GB2312" w:hAnsi="仿宋_GB2312" w:eastAsia="仿宋_GB2312" w:cs="仿宋_GB2312"/>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13F42918">
            <w:pPr>
              <w:widowControl/>
              <w:spacing w:line="340" w:lineRule="exact"/>
              <w:jc w:val="center"/>
              <w:rPr>
                <w:rFonts w:hint="eastAsia" w:ascii="仿宋_GB2312" w:hAnsi="仿宋_GB2312" w:eastAsia="仿宋_GB2312" w:cs="仿宋_GB2312"/>
                <w:color w:val="000000"/>
                <w:sz w:val="20"/>
                <w:szCs w:val="2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6CDAD86">
            <w:pPr>
              <w:widowControl/>
              <w:spacing w:line="340" w:lineRule="exact"/>
              <w:jc w:val="center"/>
              <w:rPr>
                <w:rFonts w:hint="eastAsia" w:ascii="仿宋_GB2312" w:hAnsi="仿宋_GB2312" w:eastAsia="仿宋_GB2312" w:cs="仿宋_GB2312"/>
                <w:color w:val="000000"/>
                <w:sz w:val="20"/>
                <w:szCs w:val="20"/>
              </w:rPr>
            </w:pPr>
          </w:p>
        </w:tc>
      </w:tr>
      <w:tr w14:paraId="4C5F7D94">
        <w:tblPrEx>
          <w:tblCellMar>
            <w:top w:w="0" w:type="dxa"/>
            <w:left w:w="108" w:type="dxa"/>
            <w:bottom w:w="0" w:type="dxa"/>
            <w:right w:w="108" w:type="dxa"/>
          </w:tblCellMar>
        </w:tblPrEx>
        <w:trPr>
          <w:trHeight w:val="42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2F4E01D">
            <w:pPr>
              <w:widowControl/>
              <w:spacing w:line="340" w:lineRule="exact"/>
              <w:jc w:val="left"/>
              <w:rPr>
                <w:rFonts w:hint="eastAsia" w:ascii="仿宋_GB2312" w:hAnsi="仿宋_GB2312" w:eastAsia="仿宋_GB2312" w:cs="仿宋_GB2312"/>
                <w:color w:val="000000"/>
                <w:sz w:val="20"/>
                <w:szCs w:val="20"/>
              </w:rPr>
            </w:pP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3E23CA11">
            <w:pPr>
              <w:widowControl/>
              <w:spacing w:line="340" w:lineRule="exact"/>
              <w:ind w:firstLine="600" w:firstLineChars="3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其他资金</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37AEC21">
            <w:pPr>
              <w:widowControl/>
              <w:spacing w:line="340" w:lineRule="exact"/>
              <w:jc w:val="center"/>
              <w:rPr>
                <w:rFonts w:hint="eastAsia" w:ascii="仿宋_GB2312" w:hAnsi="仿宋_GB2312" w:eastAsia="仿宋_GB2312" w:cs="仿宋_GB2312"/>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F3A228C">
            <w:pPr>
              <w:widowControl/>
              <w:spacing w:line="340" w:lineRule="exact"/>
              <w:jc w:val="center"/>
              <w:rPr>
                <w:rFonts w:hint="eastAsia" w:ascii="仿宋_GB2312" w:hAnsi="仿宋_GB2312" w:eastAsia="仿宋_GB2312" w:cs="仿宋_GB2312"/>
                <w:color w:val="000000"/>
                <w:sz w:val="20"/>
                <w:szCs w:val="20"/>
              </w:rPr>
            </w:pPr>
          </w:p>
        </w:tc>
        <w:tc>
          <w:tcPr>
            <w:tcW w:w="1083" w:type="dxa"/>
            <w:tcBorders>
              <w:top w:val="single" w:color="auto" w:sz="4" w:space="0"/>
              <w:left w:val="single" w:color="auto" w:sz="4" w:space="0"/>
              <w:bottom w:val="single" w:color="auto" w:sz="4" w:space="0"/>
              <w:right w:val="single" w:color="auto" w:sz="4" w:space="0"/>
            </w:tcBorders>
            <w:noWrap w:val="0"/>
            <w:vAlign w:val="center"/>
          </w:tcPr>
          <w:p w14:paraId="47ECDDBA">
            <w:pPr>
              <w:widowControl/>
              <w:spacing w:line="340" w:lineRule="exact"/>
              <w:jc w:val="center"/>
              <w:rPr>
                <w:rFonts w:hint="eastAsia" w:ascii="仿宋_GB2312" w:hAnsi="仿宋_GB2312" w:eastAsia="仿宋_GB2312" w:cs="仿宋_GB2312"/>
                <w:color w:val="000000"/>
                <w:sz w:val="20"/>
                <w:szCs w:val="20"/>
              </w:rPr>
            </w:pPr>
          </w:p>
        </w:tc>
        <w:tc>
          <w:tcPr>
            <w:tcW w:w="879" w:type="dxa"/>
            <w:tcBorders>
              <w:top w:val="single" w:color="auto" w:sz="4" w:space="0"/>
              <w:left w:val="single" w:color="auto" w:sz="4" w:space="0"/>
              <w:bottom w:val="single" w:color="auto" w:sz="4" w:space="0"/>
              <w:right w:val="single" w:color="auto" w:sz="4" w:space="0"/>
            </w:tcBorders>
            <w:noWrap w:val="0"/>
            <w:vAlign w:val="center"/>
          </w:tcPr>
          <w:p w14:paraId="64C645EA">
            <w:pPr>
              <w:widowControl/>
              <w:spacing w:line="340" w:lineRule="exact"/>
              <w:jc w:val="center"/>
              <w:rPr>
                <w:rFonts w:hint="eastAsia" w:ascii="仿宋_GB2312" w:hAnsi="仿宋_GB2312" w:eastAsia="仿宋_GB2312" w:cs="仿宋_GB2312"/>
                <w:color w:val="000000"/>
                <w:sz w:val="20"/>
                <w:szCs w:val="20"/>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3A44961E">
            <w:pPr>
              <w:widowControl/>
              <w:spacing w:line="340" w:lineRule="exact"/>
              <w:jc w:val="center"/>
              <w:rPr>
                <w:rFonts w:hint="eastAsia" w:ascii="仿宋_GB2312" w:hAnsi="仿宋_GB2312" w:eastAsia="仿宋_GB2312" w:cs="仿宋_GB2312"/>
                <w:color w:val="000000"/>
                <w:sz w:val="20"/>
                <w:szCs w:val="20"/>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033D9D">
            <w:pPr>
              <w:widowControl/>
              <w:spacing w:line="340" w:lineRule="exact"/>
              <w:jc w:val="center"/>
              <w:rPr>
                <w:rFonts w:hint="eastAsia" w:ascii="仿宋_GB2312" w:hAnsi="仿宋_GB2312" w:eastAsia="仿宋_GB2312" w:cs="仿宋_GB2312"/>
                <w:color w:val="000000"/>
                <w:sz w:val="20"/>
                <w:szCs w:val="20"/>
              </w:rPr>
            </w:pPr>
          </w:p>
        </w:tc>
      </w:tr>
      <w:tr w14:paraId="774D4853">
        <w:tblPrEx>
          <w:tblCellMar>
            <w:top w:w="0" w:type="dxa"/>
            <w:left w:w="108" w:type="dxa"/>
            <w:bottom w:w="0" w:type="dxa"/>
            <w:right w:w="108" w:type="dxa"/>
          </w:tblCellMar>
        </w:tblPrEx>
        <w:trPr>
          <w:trHeight w:val="507" w:hRule="atLeast"/>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14376FC">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年度总体目标</w:t>
            </w:r>
          </w:p>
        </w:tc>
        <w:tc>
          <w:tcPr>
            <w:tcW w:w="4518" w:type="dxa"/>
            <w:gridSpan w:val="4"/>
            <w:tcBorders>
              <w:top w:val="single" w:color="auto" w:sz="4" w:space="0"/>
              <w:left w:val="single" w:color="auto" w:sz="4" w:space="0"/>
              <w:bottom w:val="single" w:color="auto" w:sz="4" w:space="0"/>
              <w:right w:val="single" w:color="auto" w:sz="4" w:space="0"/>
            </w:tcBorders>
            <w:noWrap w:val="0"/>
            <w:vAlign w:val="center"/>
          </w:tcPr>
          <w:p w14:paraId="05BD81C1">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预期目标</w:t>
            </w:r>
          </w:p>
        </w:tc>
        <w:tc>
          <w:tcPr>
            <w:tcW w:w="4253" w:type="dxa"/>
            <w:gridSpan w:val="4"/>
            <w:tcBorders>
              <w:top w:val="single" w:color="auto" w:sz="4" w:space="0"/>
              <w:left w:val="single" w:color="auto" w:sz="4" w:space="0"/>
              <w:bottom w:val="single" w:color="auto" w:sz="4" w:space="0"/>
              <w:right w:val="single" w:color="auto" w:sz="4" w:space="0"/>
            </w:tcBorders>
            <w:noWrap w:val="0"/>
            <w:vAlign w:val="center"/>
          </w:tcPr>
          <w:p w14:paraId="0380EC5E">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实际完成情况　</w:t>
            </w:r>
          </w:p>
        </w:tc>
      </w:tr>
      <w:tr w14:paraId="18A6624A">
        <w:tblPrEx>
          <w:tblCellMar>
            <w:top w:w="0" w:type="dxa"/>
            <w:left w:w="108" w:type="dxa"/>
            <w:bottom w:w="0" w:type="dxa"/>
            <w:right w:w="108" w:type="dxa"/>
          </w:tblCellMar>
        </w:tblPrEx>
        <w:trPr>
          <w:trHeight w:val="77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BDD4CA">
            <w:pPr>
              <w:widowControl/>
              <w:spacing w:line="340" w:lineRule="exact"/>
              <w:jc w:val="left"/>
              <w:rPr>
                <w:rFonts w:hint="eastAsia" w:ascii="仿宋_GB2312" w:hAnsi="仿宋_GB2312" w:eastAsia="仿宋_GB2312" w:cs="仿宋_GB2312"/>
                <w:color w:val="000000"/>
                <w:sz w:val="20"/>
                <w:szCs w:val="20"/>
              </w:rPr>
            </w:pPr>
          </w:p>
        </w:tc>
        <w:tc>
          <w:tcPr>
            <w:tcW w:w="4518" w:type="dxa"/>
            <w:gridSpan w:val="4"/>
            <w:tcBorders>
              <w:top w:val="single" w:color="auto" w:sz="4" w:space="0"/>
              <w:left w:val="single" w:color="auto" w:sz="4" w:space="0"/>
              <w:bottom w:val="single" w:color="auto" w:sz="4" w:space="0"/>
              <w:right w:val="single" w:color="auto" w:sz="4" w:space="0"/>
            </w:tcBorders>
            <w:noWrap w:val="0"/>
            <w:vAlign w:val="center"/>
          </w:tcPr>
          <w:p w14:paraId="2B8A63EE">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xml:space="preserve">    保障智慧城管</w:t>
            </w:r>
            <w:r>
              <w:rPr>
                <w:rFonts w:hint="eastAsia" w:ascii="仿宋_GB2312" w:hAnsi="仿宋_GB2312" w:eastAsia="仿宋_GB2312" w:cs="仿宋_GB2312"/>
                <w:sz w:val="20"/>
                <w:szCs w:val="20"/>
              </w:rPr>
              <w:t>二期</w:t>
            </w:r>
            <w:r>
              <w:rPr>
                <w:rFonts w:hint="eastAsia" w:ascii="仿宋_GB2312" w:hAnsi="仿宋_GB2312" w:eastAsia="仿宋_GB2312" w:cs="仿宋_GB2312"/>
                <w:color w:val="000000"/>
                <w:sz w:val="20"/>
                <w:szCs w:val="20"/>
              </w:rPr>
              <w:t>通讯设备正常运行，故障及时解决。　　</w:t>
            </w:r>
          </w:p>
        </w:tc>
        <w:tc>
          <w:tcPr>
            <w:tcW w:w="4253" w:type="dxa"/>
            <w:gridSpan w:val="4"/>
            <w:tcBorders>
              <w:top w:val="single" w:color="auto" w:sz="4" w:space="0"/>
              <w:left w:val="single" w:color="auto" w:sz="4" w:space="0"/>
              <w:bottom w:val="single" w:color="auto" w:sz="4" w:space="0"/>
              <w:right w:val="single" w:color="auto" w:sz="4" w:space="0"/>
            </w:tcBorders>
            <w:noWrap w:val="0"/>
            <w:vAlign w:val="center"/>
          </w:tcPr>
          <w:p w14:paraId="012E3919">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智慧城管</w:t>
            </w:r>
            <w:r>
              <w:rPr>
                <w:rFonts w:hint="eastAsia" w:ascii="仿宋_GB2312" w:hAnsi="仿宋_GB2312" w:eastAsia="仿宋_GB2312" w:cs="仿宋_GB2312"/>
                <w:sz w:val="20"/>
                <w:szCs w:val="20"/>
              </w:rPr>
              <w:t>二期</w:t>
            </w:r>
            <w:r>
              <w:rPr>
                <w:rFonts w:hint="eastAsia" w:ascii="仿宋_GB2312" w:hAnsi="仿宋_GB2312" w:eastAsia="仿宋_GB2312" w:cs="仿宋_GB2312"/>
                <w:color w:val="000000"/>
                <w:sz w:val="20"/>
                <w:szCs w:val="20"/>
              </w:rPr>
              <w:t>通讯设备全年24小时正常，故障均及时解决。</w:t>
            </w:r>
          </w:p>
        </w:tc>
      </w:tr>
      <w:tr w14:paraId="28CA6EE2">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C59476B">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绩</w:t>
            </w:r>
          </w:p>
          <w:p w14:paraId="52780CE9">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w:t>
            </w:r>
          </w:p>
          <w:p w14:paraId="695BC4C8">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w:t>
            </w:r>
          </w:p>
          <w:p w14:paraId="7E5AF41D">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BD1D8D8">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D252EF4">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二级指标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755A942">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三级指标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97FDEFD">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w:t>
            </w:r>
          </w:p>
          <w:p w14:paraId="095A4156">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指标值</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1ED4DBB3">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w:t>
            </w:r>
          </w:p>
          <w:p w14:paraId="2F5045EA">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完成值</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4C9277A4">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3EC3294">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298EB0B">
            <w:pPr>
              <w:widowControl/>
              <w:spacing w:line="340" w:lineRule="exac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偏差原因分析及改进措施</w:t>
            </w:r>
          </w:p>
        </w:tc>
      </w:tr>
      <w:tr w14:paraId="73548FA3">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AA0AA5B">
            <w:pPr>
              <w:widowControl/>
              <w:spacing w:line="340" w:lineRule="exact"/>
              <w:jc w:val="left"/>
              <w:rPr>
                <w:rFonts w:hint="eastAsia" w:ascii="仿宋_GB2312" w:hAnsi="仿宋_GB2312" w:eastAsia="仿宋_GB2312" w:cs="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832DEBA">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产出指标</w:t>
            </w:r>
          </w:p>
          <w:p w14:paraId="3B97A8ED">
            <w:pPr>
              <w:widowControl/>
              <w:spacing w:line="340" w:lineRule="exact"/>
              <w:jc w:val="center"/>
              <w:rPr>
                <w:rFonts w:hint="eastAsia" w:ascii="仿宋_GB2312" w:hAnsi="仿宋_GB2312" w:eastAsia="仿宋_GB2312" w:cs="仿宋_GB2312"/>
                <w:color w:val="000000"/>
                <w:sz w:val="20"/>
                <w:szCs w:val="20"/>
              </w:rPr>
            </w:pPr>
          </w:p>
          <w:p w14:paraId="191F9D1E">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6755A04">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39271F2">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光纤链路专项租赁</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958B01F">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7条</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36C53B7D">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7条</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60323AFD">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C95E0DF">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954DA14">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1F78D288">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2F12415">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0480276">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ACD054B">
            <w:pPr>
              <w:widowControl/>
              <w:spacing w:line="340" w:lineRule="exact"/>
              <w:jc w:val="center"/>
              <w:rPr>
                <w:rFonts w:hint="eastAsia" w:ascii="仿宋_GB2312" w:hAnsi="仿宋_GB2312" w:eastAsia="仿宋_GB2312" w:cs="仿宋_GB2312"/>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C02A48E">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移动终端设备租赁</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59DF7DA">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245台</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D5F1417">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245台</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2521591C">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58C5C0F">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2960F78">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465795DD">
        <w:tblPrEx>
          <w:tblCellMar>
            <w:top w:w="0" w:type="dxa"/>
            <w:left w:w="108" w:type="dxa"/>
            <w:bottom w:w="0" w:type="dxa"/>
            <w:right w:w="108" w:type="dxa"/>
          </w:tblCellMar>
        </w:tblPrEx>
        <w:trPr>
          <w:trHeight w:val="628"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1F09745">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6A8E4E1">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68E1B67">
            <w:pPr>
              <w:widowControl/>
              <w:spacing w:line="340" w:lineRule="exact"/>
              <w:jc w:val="center"/>
              <w:rPr>
                <w:rFonts w:hint="eastAsia" w:ascii="仿宋_GB2312" w:hAnsi="仿宋_GB2312" w:eastAsia="仿宋_GB2312" w:cs="仿宋_GB2312"/>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0F74394">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网络安全设备租赁</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7FA3A2">
            <w:pPr>
              <w:widowControl/>
              <w:spacing w:line="340" w:lineRule="exact"/>
              <w:ind w:firstLine="200" w:firstLineChars="100"/>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2台</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30FA146F">
            <w:pPr>
              <w:widowControl/>
              <w:spacing w:line="340" w:lineRule="exact"/>
              <w:ind w:firstLine="200" w:firstLineChars="100"/>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2台</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321E3119">
            <w:pPr>
              <w:widowControl/>
              <w:spacing w:line="34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8166D63">
            <w:pPr>
              <w:widowControl/>
              <w:spacing w:line="340" w:lineRule="exact"/>
              <w:ind w:firstLine="200" w:firstLineChars="100"/>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90207D2">
            <w:pPr>
              <w:widowControl/>
              <w:spacing w:line="340" w:lineRule="exact"/>
              <w:jc w:val="left"/>
              <w:rPr>
                <w:rFonts w:hint="eastAsia" w:ascii="仿宋_GB2312" w:hAnsi="仿宋_GB2312" w:eastAsia="仿宋_GB2312" w:cs="仿宋_GB2312"/>
                <w:color w:val="000000"/>
                <w:sz w:val="20"/>
                <w:szCs w:val="20"/>
              </w:rPr>
            </w:pPr>
          </w:p>
        </w:tc>
      </w:tr>
      <w:tr w14:paraId="60C029CD">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B97F508">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CECB7D0">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040CF48">
            <w:pPr>
              <w:widowControl/>
              <w:spacing w:line="340" w:lineRule="exact"/>
              <w:jc w:val="center"/>
              <w:rPr>
                <w:rFonts w:hint="eastAsia" w:ascii="仿宋_GB2312" w:hAnsi="仿宋_GB2312" w:eastAsia="仿宋_GB2312" w:cs="仿宋_GB2312"/>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3E8D0D2">
            <w:pPr>
              <w:widowControl/>
              <w:spacing w:line="30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前置服务、加密协议、汇聚服务、售后服务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2C0C966">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1套</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51540C4F">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1套</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4E526553">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2F65E03">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2FCF04E">
            <w:pPr>
              <w:widowControl/>
              <w:spacing w:line="340" w:lineRule="exact"/>
              <w:jc w:val="left"/>
              <w:rPr>
                <w:rFonts w:hint="eastAsia" w:ascii="仿宋_GB2312" w:hAnsi="仿宋_GB2312" w:eastAsia="仿宋_GB2312" w:cs="仿宋_GB2312"/>
                <w:color w:val="000000"/>
                <w:sz w:val="20"/>
                <w:szCs w:val="20"/>
              </w:rPr>
            </w:pPr>
          </w:p>
        </w:tc>
      </w:tr>
      <w:tr w14:paraId="1F56C88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47DA813">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E303A4C">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36B2BE8">
            <w:pPr>
              <w:widowControl/>
              <w:spacing w:line="340" w:lineRule="exact"/>
              <w:jc w:val="center"/>
              <w:rPr>
                <w:rFonts w:hint="eastAsia" w:ascii="仿宋_GB2312" w:hAnsi="仿宋_GB2312" w:eastAsia="仿宋_GB2312" w:cs="仿宋_GB2312"/>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AD9D3FB">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视频综合管理平台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F8B93BE">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1套</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004BD904">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1套</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4AB46286">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C9C05D5">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DB876F1">
            <w:pPr>
              <w:widowControl/>
              <w:spacing w:line="340" w:lineRule="exact"/>
              <w:jc w:val="left"/>
              <w:rPr>
                <w:rFonts w:hint="eastAsia" w:ascii="仿宋_GB2312" w:hAnsi="仿宋_GB2312" w:eastAsia="仿宋_GB2312" w:cs="仿宋_GB2312"/>
                <w:color w:val="000000"/>
                <w:sz w:val="20"/>
                <w:szCs w:val="20"/>
              </w:rPr>
            </w:pPr>
          </w:p>
        </w:tc>
      </w:tr>
      <w:tr w14:paraId="460B7B70">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FC426A6">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08D2E08">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A8BB43F">
            <w:pPr>
              <w:widowControl/>
              <w:spacing w:line="340" w:lineRule="exact"/>
              <w:jc w:val="center"/>
              <w:rPr>
                <w:rFonts w:hint="eastAsia" w:ascii="仿宋_GB2312" w:hAnsi="仿宋_GB2312" w:eastAsia="仿宋_GB2312" w:cs="仿宋_GB2312"/>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35CC4BC">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桥涵积水设备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B153566">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5台</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7E6A1D17">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5台</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6172B105">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47D1078">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1C09810">
            <w:pPr>
              <w:widowControl/>
              <w:spacing w:line="340" w:lineRule="exact"/>
              <w:jc w:val="left"/>
              <w:rPr>
                <w:rFonts w:hint="eastAsia" w:ascii="仿宋_GB2312" w:hAnsi="仿宋_GB2312" w:eastAsia="仿宋_GB2312" w:cs="仿宋_GB2312"/>
                <w:color w:val="000000"/>
                <w:sz w:val="20"/>
                <w:szCs w:val="20"/>
              </w:rPr>
            </w:pPr>
          </w:p>
        </w:tc>
      </w:tr>
      <w:tr w14:paraId="55D9627F">
        <w:tblPrEx>
          <w:tblCellMar>
            <w:top w:w="0" w:type="dxa"/>
            <w:left w:w="108" w:type="dxa"/>
            <w:bottom w:w="0" w:type="dxa"/>
            <w:right w:w="108" w:type="dxa"/>
          </w:tblCellMar>
        </w:tblPrEx>
        <w:trPr>
          <w:trHeight w:val="58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21D9F16">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C364B92">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3D39321">
            <w:pPr>
              <w:widowControl/>
              <w:spacing w:line="340" w:lineRule="exact"/>
              <w:jc w:val="center"/>
              <w:rPr>
                <w:rFonts w:hint="eastAsia" w:ascii="仿宋_GB2312" w:hAnsi="仿宋_GB2312" w:eastAsia="仿宋_GB2312" w:cs="仿宋_GB2312"/>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965AE7A">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IP地址</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50D481F">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1套</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1DBE8DC0">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1套</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236A2F92">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D975637">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81DABD0">
            <w:pPr>
              <w:widowControl/>
              <w:spacing w:line="340" w:lineRule="exact"/>
              <w:jc w:val="left"/>
              <w:rPr>
                <w:rFonts w:hint="eastAsia" w:ascii="仿宋_GB2312" w:hAnsi="仿宋_GB2312" w:eastAsia="仿宋_GB2312" w:cs="仿宋_GB2312"/>
                <w:color w:val="000000"/>
                <w:sz w:val="20"/>
                <w:szCs w:val="20"/>
              </w:rPr>
            </w:pPr>
          </w:p>
        </w:tc>
      </w:tr>
      <w:tr w14:paraId="7C64F787">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DBA8FBC">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5C9E890">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F16A9EE">
            <w:pPr>
              <w:widowControl/>
              <w:spacing w:line="340" w:lineRule="exact"/>
              <w:jc w:val="center"/>
              <w:rPr>
                <w:rFonts w:hint="eastAsia" w:ascii="仿宋_GB2312" w:hAnsi="仿宋_GB2312" w:eastAsia="仿宋_GB2312" w:cs="仿宋_GB2312"/>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916C957">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视频监控物联网摄像机</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6B76AE">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5台</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3526C10E">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5台</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60CF02CE">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1085C78">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10EF241">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434BB8A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6744892">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D0EF2B9">
            <w:pPr>
              <w:widowControl/>
              <w:spacing w:line="340" w:lineRule="exact"/>
              <w:jc w:val="left"/>
              <w:rPr>
                <w:rFonts w:hint="eastAsia" w:ascii="仿宋_GB2312" w:hAnsi="仿宋_GB2312" w:eastAsia="仿宋_GB2312" w:cs="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AA9C81D">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83611EC">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保障通讯正常率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43838F">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100%</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4E9792A">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100%</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21EAB2A9">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2AF561F">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ECF9450">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653A9B2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48711C1">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2EAF684">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E72CDE3">
            <w:pPr>
              <w:widowControl/>
              <w:spacing w:line="340" w:lineRule="exact"/>
              <w:jc w:val="center"/>
              <w:rPr>
                <w:rFonts w:hint="eastAsia" w:ascii="仿宋_GB2312" w:hAnsi="仿宋_GB2312" w:eastAsia="仿宋_GB2312" w:cs="仿宋_GB2312"/>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60D7D39">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各类设备运转正常率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A19ACC">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98%</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50BC7115">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99%</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5878F380">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16510BD">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15452FE">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643E65E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E58204A">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C77E9CA">
            <w:pPr>
              <w:widowControl/>
              <w:spacing w:line="340" w:lineRule="exact"/>
              <w:jc w:val="left"/>
              <w:rPr>
                <w:rFonts w:hint="eastAsia" w:ascii="仿宋_GB2312" w:hAnsi="仿宋_GB2312" w:eastAsia="仿宋_GB2312" w:cs="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3C04B12">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DC3D691">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按计划实施</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C5D1ED">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2025年1月-2025年12月</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31DC7D9C">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均按计划实施，如期完成。</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571E4B11">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F9588DA">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3A3222B">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6A4B6CA3">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4977607">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6550F12">
            <w:pPr>
              <w:widowControl/>
              <w:spacing w:line="340" w:lineRule="exact"/>
              <w:jc w:val="left"/>
              <w:rPr>
                <w:rFonts w:hint="eastAsia" w:ascii="仿宋_GB2312" w:hAnsi="仿宋_GB2312" w:eastAsia="仿宋_GB2312" w:cs="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D326881">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82A4F2F">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按合同内容租赁成本</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7665B9E">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40万元/年</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7C07571B">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40万元</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45B02B3D">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AD1FF51">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E5C1884">
            <w:pPr>
              <w:widowControl/>
              <w:spacing w:line="340" w:lineRule="exact"/>
              <w:jc w:val="left"/>
              <w:rPr>
                <w:rFonts w:ascii="仿宋_GB2312" w:hAnsi="仿宋_GB2312" w:eastAsia="仿宋_GB2312" w:cs="仿宋_GB2312"/>
                <w:color w:val="000000"/>
                <w:sz w:val="20"/>
                <w:szCs w:val="20"/>
              </w:rPr>
            </w:pPr>
          </w:p>
        </w:tc>
      </w:tr>
      <w:tr w14:paraId="4241F38C">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29577E0">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CFD13E9">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BCD05FE">
            <w:pPr>
              <w:widowControl/>
              <w:spacing w:line="340" w:lineRule="exact"/>
              <w:jc w:val="left"/>
              <w:rPr>
                <w:rFonts w:hint="eastAsia" w:ascii="仿宋_GB2312" w:hAnsi="仿宋_GB2312" w:eastAsia="仿宋_GB2312" w:cs="仿宋_GB2312"/>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A3B5E61">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对社会发展可能造成的负面影响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1395F40">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118BA90D">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4D82DA6E">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D687DD4">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9BBECC3">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2EDB5804">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065A5D">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2CAAC38">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B025326">
            <w:pPr>
              <w:widowControl/>
              <w:spacing w:line="340" w:lineRule="exact"/>
              <w:jc w:val="left"/>
              <w:rPr>
                <w:rFonts w:hint="eastAsia" w:ascii="仿宋_GB2312" w:hAnsi="仿宋_GB2312" w:eastAsia="仿宋_GB2312" w:cs="仿宋_GB2312"/>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D870160">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对自然生态环境造成的负面影响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313CC3">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4596D58">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30726218">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7159885">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11A8885">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16EC97B7">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E90A79E">
            <w:pPr>
              <w:widowControl/>
              <w:spacing w:line="340" w:lineRule="exact"/>
              <w:jc w:val="left"/>
              <w:rPr>
                <w:rFonts w:hint="eastAsia" w:ascii="仿宋_GB2312" w:hAnsi="仿宋_GB2312" w:eastAsia="仿宋_GB2312" w:cs="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C09B315">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效益指标</w:t>
            </w:r>
          </w:p>
          <w:p w14:paraId="7649D835">
            <w:pPr>
              <w:widowControl/>
              <w:spacing w:line="340" w:lineRule="exact"/>
              <w:jc w:val="left"/>
              <w:rPr>
                <w:rFonts w:hint="eastAsia" w:ascii="仿宋_GB2312" w:hAnsi="仿宋_GB2312" w:eastAsia="仿宋_GB2312" w:cs="仿宋_GB2312"/>
                <w:color w:val="000000"/>
                <w:sz w:val="20"/>
                <w:szCs w:val="20"/>
              </w:rPr>
            </w:pPr>
          </w:p>
          <w:p w14:paraId="5D3BAC3A">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（30分）</w:t>
            </w:r>
          </w:p>
          <w:p w14:paraId="76EAC8DB">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6D24044">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经济效</w:t>
            </w:r>
          </w:p>
          <w:p w14:paraId="5C715B75">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1167E6A">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产生一定的间接经济利益</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8E2AA0">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提升城市管理效率，降低城市管理成本</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50E2B7B3">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有效助力了城市管理成本管控</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2F51AD2F">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57E33F4">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6B965A5">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379D4C6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0D3EB4A">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42FA378">
            <w:pPr>
              <w:widowControl/>
              <w:spacing w:line="340" w:lineRule="exact"/>
              <w:jc w:val="left"/>
              <w:rPr>
                <w:rFonts w:hint="eastAsia" w:ascii="仿宋_GB2312" w:hAnsi="仿宋_GB2312" w:eastAsia="仿宋_GB2312" w:cs="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97BFCA7">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社会效</w:t>
            </w:r>
          </w:p>
          <w:p w14:paraId="50E02F57">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68C1F19">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提升城市管理问题处置效率，改善居民舒适感</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F025BF4">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提升城市管理问题处置效率，改善居民舒适感</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59B05076">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有效改善</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21814C59">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04A0E1C">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7A6ED80">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303338A0">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B77BFE5">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8D5D285">
            <w:pPr>
              <w:widowControl/>
              <w:spacing w:line="340" w:lineRule="exact"/>
              <w:jc w:val="left"/>
              <w:rPr>
                <w:rFonts w:hint="eastAsia" w:ascii="仿宋_GB2312" w:hAnsi="仿宋_GB2312" w:eastAsia="仿宋_GB2312" w:cs="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4075618">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生态效</w:t>
            </w:r>
          </w:p>
          <w:p w14:paraId="6A50759E">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1338C29">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助力美化城市，打造舒适城市环境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A7449DC">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助力美化城市，打造舒适城市环境</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2F8E1EE">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有效助力了城市环境管理</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69FF96B8">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D9F033B">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14AC802">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07AB59FC">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CE7100C">
            <w:pPr>
              <w:widowControl/>
              <w:spacing w:line="340" w:lineRule="exact"/>
              <w:jc w:val="center"/>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591B4B6">
            <w:pPr>
              <w:widowControl/>
              <w:spacing w:line="340" w:lineRule="exact"/>
              <w:jc w:val="left"/>
              <w:rPr>
                <w:rFonts w:hint="eastAsia" w:ascii="仿宋_GB2312" w:hAnsi="仿宋_GB2312" w:eastAsia="仿宋_GB2312" w:cs="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B0EB749">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6ACEDC3">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提升城市管理水平</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9EE1D6">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不断提升城市管理水平</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CEC5DDC">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城市管理水平不断提升</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14AA4BB5">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C281F89">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598E762">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优化信息技术支持，提升工作效率</w:t>
            </w:r>
          </w:p>
        </w:tc>
      </w:tr>
      <w:tr w14:paraId="0E11688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47A37E8">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3498E9B">
            <w:pPr>
              <w:widowControl/>
              <w:spacing w:line="340" w:lineRule="exact"/>
              <w:jc w:val="left"/>
              <w:rPr>
                <w:rFonts w:hint="eastAsia" w:ascii="仿宋_GB2312" w:hAnsi="仿宋_GB2312" w:eastAsia="仿宋_GB2312" w:cs="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F63CD8B">
            <w:pPr>
              <w:widowControl/>
              <w:spacing w:line="340" w:lineRule="exact"/>
              <w:jc w:val="left"/>
              <w:rPr>
                <w:rFonts w:hint="eastAsia" w:ascii="仿宋_GB2312" w:hAnsi="仿宋_GB2312" w:eastAsia="仿宋_GB2312" w:cs="仿宋_GB2312"/>
                <w:color w:val="000000"/>
                <w:sz w:val="20"/>
                <w:szCs w:val="20"/>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BA8928C">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保障智慧城管系统正常运行</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D81F982">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保障智慧城管系统正常运行</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0E4C5EE8">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全年智慧城管系统正常运行</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3F9F5A5E">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CE0DAB9">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AEF0B7A">
            <w:pPr>
              <w:widowControl/>
              <w:spacing w:line="32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05A4B26A">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29CB11D">
            <w:pPr>
              <w:widowControl/>
              <w:spacing w:line="340" w:lineRule="exact"/>
              <w:jc w:val="left"/>
              <w:rPr>
                <w:rFonts w:hint="eastAsia" w:ascii="仿宋_GB2312" w:hAnsi="仿宋_GB2312" w:eastAsia="仿宋_GB2312" w:cs="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8D414CE">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满意度</w:t>
            </w:r>
          </w:p>
          <w:p w14:paraId="105E941A">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w:t>
            </w:r>
          </w:p>
          <w:p w14:paraId="10E2E8AA">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AC7FC35">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A66D371">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群众满意度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D9261C">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98%以上</w:t>
            </w:r>
          </w:p>
        </w:tc>
        <w:tc>
          <w:tcPr>
            <w:tcW w:w="1083" w:type="dxa"/>
            <w:tcBorders>
              <w:top w:val="single" w:color="auto" w:sz="4" w:space="0"/>
              <w:left w:val="single" w:color="auto" w:sz="4" w:space="0"/>
              <w:bottom w:val="single" w:color="auto" w:sz="4" w:space="0"/>
              <w:right w:val="single" w:color="auto" w:sz="4" w:space="0"/>
            </w:tcBorders>
            <w:noWrap w:val="0"/>
            <w:vAlign w:val="center"/>
          </w:tcPr>
          <w:p w14:paraId="2F1161CF">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98%</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0D469E7F">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AFBD7F4">
            <w:pPr>
              <w:widowControl/>
              <w:spacing w:line="34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FFCF0A0">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069A18FA">
        <w:tblPrEx>
          <w:tblCellMar>
            <w:top w:w="0" w:type="dxa"/>
            <w:left w:w="108" w:type="dxa"/>
            <w:bottom w:w="0" w:type="dxa"/>
            <w:right w:w="108" w:type="dxa"/>
          </w:tblCellMar>
        </w:tblPrEx>
        <w:trPr>
          <w:trHeight w:val="503" w:hRule="atLeast"/>
          <w:jc w:val="center"/>
        </w:trPr>
        <w:tc>
          <w:tcPr>
            <w:tcW w:w="6681" w:type="dxa"/>
            <w:gridSpan w:val="6"/>
            <w:tcBorders>
              <w:top w:val="single" w:color="auto" w:sz="4" w:space="0"/>
              <w:left w:val="single" w:color="auto" w:sz="4" w:space="0"/>
              <w:bottom w:val="single" w:color="auto" w:sz="4" w:space="0"/>
              <w:right w:val="single" w:color="auto" w:sz="4" w:space="0"/>
            </w:tcBorders>
            <w:noWrap w:val="0"/>
            <w:vAlign w:val="center"/>
          </w:tcPr>
          <w:p w14:paraId="6426C36C">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总分</w:t>
            </w:r>
          </w:p>
        </w:tc>
        <w:tc>
          <w:tcPr>
            <w:tcW w:w="879" w:type="dxa"/>
            <w:tcBorders>
              <w:top w:val="single" w:color="auto" w:sz="4" w:space="0"/>
              <w:left w:val="single" w:color="auto" w:sz="4" w:space="0"/>
              <w:bottom w:val="single" w:color="auto" w:sz="4" w:space="0"/>
              <w:right w:val="single" w:color="auto" w:sz="4" w:space="0"/>
            </w:tcBorders>
            <w:noWrap w:val="0"/>
            <w:vAlign w:val="center"/>
          </w:tcPr>
          <w:p w14:paraId="6DC067F7">
            <w:pPr>
              <w:widowControl/>
              <w:spacing w:line="3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692FD2C">
            <w:pPr>
              <w:widowControl/>
              <w:spacing w:line="34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99</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ECC5485">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rPr>
              <w:tab/>
            </w:r>
          </w:p>
        </w:tc>
      </w:tr>
    </w:tbl>
    <w:p w14:paraId="2F85CF7E">
      <w:pPr>
        <w:rPr>
          <w:rFonts w:ascii="Times New Roman" w:hAnsi="Times New Roman" w:eastAsia="仿宋_GB2312"/>
          <w:sz w:val="18"/>
          <w:szCs w:val="18"/>
        </w:rPr>
      </w:pPr>
    </w:p>
    <w:p w14:paraId="45AF170F">
      <w:pPr>
        <w:spacing w:line="520" w:lineRule="exact"/>
        <w:rPr>
          <w:rFonts w:hint="eastAsia" w:ascii="Times New Roman" w:hAnsi="Times New Roman" w:eastAsia="仿宋_GB2312"/>
          <w:sz w:val="22"/>
          <w:szCs w:val="22"/>
        </w:rPr>
      </w:pPr>
      <w:r>
        <w:rPr>
          <w:rFonts w:hint="eastAsia" w:ascii="仿宋_GB2312" w:hAnsi="仿宋_GB2312" w:eastAsia="仿宋_GB2312" w:cs="仿宋_GB2312"/>
          <w:sz w:val="22"/>
          <w:szCs w:val="22"/>
        </w:rPr>
        <w:t>填表人：禹荣</w:t>
      </w:r>
      <w:r>
        <w:rPr>
          <w:rFonts w:hint="eastAsia" w:ascii="仿宋_GB2312" w:hAnsi="仿宋_GB2312" w:eastAsia="仿宋_GB2312" w:cs="仿宋_GB2312"/>
          <w:sz w:val="22"/>
          <w:szCs w:val="22"/>
          <w:lang w:val="en"/>
        </w:rPr>
        <w:t xml:space="preserve"> </w:t>
      </w:r>
      <w:r>
        <w:rPr>
          <w:rFonts w:hint="eastAsia" w:ascii="仿宋_GB2312" w:hAnsi="仿宋_GB2312" w:eastAsia="仿宋_GB2312" w:cs="仿宋_GB2312"/>
          <w:sz w:val="22"/>
          <w:szCs w:val="22"/>
        </w:rPr>
        <w:t xml:space="preserve"> 填报日期：2026.6.23 联系电话：0730-8690022  单位负责人：</w:t>
      </w:r>
    </w:p>
    <w:p w14:paraId="35BD3C5A">
      <w:pPr>
        <w:widowControl/>
        <w:spacing w:line="600" w:lineRule="exact"/>
        <w:jc w:val="left"/>
        <w:rPr>
          <w:rFonts w:ascii="Times New Roman" w:hAnsi="Times New Roman" w:eastAsia="黑体"/>
          <w:sz w:val="32"/>
          <w:szCs w:val="32"/>
        </w:rPr>
      </w:pPr>
      <w:r>
        <w:rPr>
          <w:rFonts w:hint="eastAsia" w:ascii="黑体" w:hAnsi="黑体" w:eastAsia="黑体" w:cs="黑体"/>
          <w:sz w:val="32"/>
          <w:szCs w:val="32"/>
        </w:rPr>
        <w:t>附件1-</w:t>
      </w:r>
      <w:r>
        <w:rPr>
          <w:rFonts w:hint="default" w:ascii="黑体" w:hAnsi="黑体" w:eastAsia="黑体" w:cs="黑体"/>
          <w:sz w:val="32"/>
          <w:szCs w:val="32"/>
          <w:lang w:val="en-US"/>
        </w:rPr>
        <w:t>5</w:t>
      </w:r>
    </w:p>
    <w:p w14:paraId="117BDA11">
      <w:pPr>
        <w:widowControl/>
        <w:spacing w:line="60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2025年度项目支出绩效自评表</w:t>
      </w:r>
    </w:p>
    <w:p w14:paraId="595DA74A">
      <w:pPr>
        <w:pStyle w:val="4"/>
        <w:rPr>
          <w:rFonts w:hint="eastAsia"/>
          <w:lang w:eastAsia="zh-CN"/>
        </w:rPr>
      </w:pP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01EA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197126E">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项目支</w:t>
            </w:r>
          </w:p>
          <w:p w14:paraId="6E9A73AF">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出名称</w:t>
            </w:r>
          </w:p>
        </w:tc>
        <w:tc>
          <w:tcPr>
            <w:tcW w:w="8771" w:type="dxa"/>
            <w:gridSpan w:val="8"/>
            <w:noWrap w:val="0"/>
            <w:vAlign w:val="center"/>
          </w:tcPr>
          <w:p w14:paraId="26825782">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sz w:val="20"/>
                <w:szCs w:val="20"/>
              </w:rPr>
              <w:t>软件、数据库及设备维护经费</w:t>
            </w:r>
            <w:r>
              <w:rPr>
                <w:rFonts w:hint="eastAsia" w:ascii="仿宋_GB2312" w:hAnsi="仿宋_GB2312" w:eastAsia="仿宋_GB2312" w:cs="仿宋_GB2312"/>
                <w:color w:val="000000"/>
                <w:sz w:val="20"/>
                <w:szCs w:val="20"/>
              </w:rPr>
              <w:t>　</w:t>
            </w:r>
          </w:p>
        </w:tc>
      </w:tr>
      <w:tr w14:paraId="351F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080" w:type="dxa"/>
            <w:noWrap w:val="0"/>
            <w:vAlign w:val="center"/>
          </w:tcPr>
          <w:p w14:paraId="78DDD598">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主管部门</w:t>
            </w:r>
          </w:p>
        </w:tc>
        <w:tc>
          <w:tcPr>
            <w:tcW w:w="4518" w:type="dxa"/>
            <w:gridSpan w:val="4"/>
            <w:noWrap w:val="0"/>
            <w:vAlign w:val="center"/>
          </w:tcPr>
          <w:p w14:paraId="58712540">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岳阳市城市管理和综合执法局</w:t>
            </w:r>
          </w:p>
        </w:tc>
        <w:tc>
          <w:tcPr>
            <w:tcW w:w="1134" w:type="dxa"/>
            <w:noWrap w:val="0"/>
            <w:vAlign w:val="center"/>
          </w:tcPr>
          <w:p w14:paraId="25FCC572">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实施单位</w:t>
            </w:r>
          </w:p>
        </w:tc>
        <w:tc>
          <w:tcPr>
            <w:tcW w:w="3119" w:type="dxa"/>
            <w:gridSpan w:val="3"/>
            <w:noWrap w:val="0"/>
            <w:vAlign w:val="center"/>
          </w:tcPr>
          <w:p w14:paraId="616C0F02">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岳阳市智慧城管指挥中心</w:t>
            </w:r>
          </w:p>
        </w:tc>
      </w:tr>
      <w:tr w14:paraId="5216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5EBC41EE">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项目资金</w:t>
            </w:r>
            <w:r>
              <w:rPr>
                <w:rFonts w:hint="eastAsia" w:ascii="仿宋_GB2312" w:hAnsi="仿宋_GB2312" w:eastAsia="仿宋_GB2312" w:cs="仿宋_GB2312"/>
                <w:color w:val="000000"/>
                <w:sz w:val="20"/>
                <w:szCs w:val="20"/>
              </w:rPr>
              <w:br w:type="textWrapping"/>
            </w:r>
            <w:r>
              <w:rPr>
                <w:rFonts w:hint="eastAsia" w:ascii="仿宋_GB2312" w:hAnsi="仿宋_GB2312" w:eastAsia="仿宋_GB2312" w:cs="仿宋_GB2312"/>
                <w:color w:val="000000"/>
                <w:sz w:val="20"/>
                <w:szCs w:val="20"/>
              </w:rPr>
              <w:t>（万元）</w:t>
            </w:r>
          </w:p>
        </w:tc>
        <w:tc>
          <w:tcPr>
            <w:tcW w:w="2160" w:type="dxa"/>
            <w:gridSpan w:val="2"/>
            <w:noWrap w:val="0"/>
            <w:vAlign w:val="center"/>
          </w:tcPr>
          <w:p w14:paraId="6100154E">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224" w:type="dxa"/>
            <w:noWrap w:val="0"/>
            <w:vAlign w:val="center"/>
          </w:tcPr>
          <w:p w14:paraId="2004A5D6">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年初</w:t>
            </w:r>
          </w:p>
          <w:p w14:paraId="4185B355">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预算数</w:t>
            </w:r>
          </w:p>
        </w:tc>
        <w:tc>
          <w:tcPr>
            <w:tcW w:w="1134" w:type="dxa"/>
            <w:noWrap w:val="0"/>
            <w:vAlign w:val="center"/>
          </w:tcPr>
          <w:p w14:paraId="26B41B5E">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全年</w:t>
            </w:r>
          </w:p>
          <w:p w14:paraId="01AB1349">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预算数</w:t>
            </w:r>
          </w:p>
        </w:tc>
        <w:tc>
          <w:tcPr>
            <w:tcW w:w="1134" w:type="dxa"/>
            <w:noWrap w:val="0"/>
            <w:vAlign w:val="center"/>
          </w:tcPr>
          <w:p w14:paraId="5E3F4CA6">
            <w:pPr>
              <w:spacing w:line="36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全年</w:t>
            </w:r>
          </w:p>
          <w:p w14:paraId="7F5B5462">
            <w:pPr>
              <w:spacing w:line="36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执行数</w:t>
            </w:r>
          </w:p>
        </w:tc>
        <w:tc>
          <w:tcPr>
            <w:tcW w:w="828" w:type="dxa"/>
            <w:noWrap w:val="0"/>
            <w:vAlign w:val="center"/>
          </w:tcPr>
          <w:p w14:paraId="1E5C0058">
            <w:pPr>
              <w:spacing w:line="36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分值</w:t>
            </w:r>
          </w:p>
        </w:tc>
        <w:tc>
          <w:tcPr>
            <w:tcW w:w="873" w:type="dxa"/>
            <w:noWrap w:val="0"/>
            <w:vAlign w:val="center"/>
          </w:tcPr>
          <w:p w14:paraId="5D3BF0F4">
            <w:pPr>
              <w:spacing w:line="36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执行率</w:t>
            </w:r>
          </w:p>
        </w:tc>
        <w:tc>
          <w:tcPr>
            <w:tcW w:w="1418" w:type="dxa"/>
            <w:noWrap w:val="0"/>
            <w:vAlign w:val="center"/>
          </w:tcPr>
          <w:p w14:paraId="5CCFAD96">
            <w:pPr>
              <w:spacing w:line="36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得分</w:t>
            </w:r>
          </w:p>
        </w:tc>
      </w:tr>
      <w:tr w14:paraId="2008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80" w:type="dxa"/>
            <w:vMerge w:val="continue"/>
            <w:noWrap w:val="0"/>
            <w:vAlign w:val="center"/>
          </w:tcPr>
          <w:p w14:paraId="77AAB0E3">
            <w:pPr>
              <w:widowControl/>
              <w:spacing w:line="360" w:lineRule="exact"/>
              <w:jc w:val="left"/>
              <w:rPr>
                <w:rFonts w:hint="eastAsia" w:ascii="仿宋_GB2312" w:hAnsi="仿宋_GB2312" w:eastAsia="仿宋_GB2312" w:cs="仿宋_GB2312"/>
                <w:color w:val="000000"/>
                <w:sz w:val="20"/>
                <w:szCs w:val="20"/>
              </w:rPr>
            </w:pPr>
          </w:p>
        </w:tc>
        <w:tc>
          <w:tcPr>
            <w:tcW w:w="2160" w:type="dxa"/>
            <w:gridSpan w:val="2"/>
            <w:noWrap w:val="0"/>
            <w:vAlign w:val="center"/>
          </w:tcPr>
          <w:p w14:paraId="0D626E3D">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年度资金总额　</w:t>
            </w:r>
          </w:p>
        </w:tc>
        <w:tc>
          <w:tcPr>
            <w:tcW w:w="1224" w:type="dxa"/>
            <w:noWrap w:val="0"/>
            <w:vAlign w:val="center"/>
          </w:tcPr>
          <w:p w14:paraId="1737B1E2">
            <w:pPr>
              <w:widowControl/>
              <w:spacing w:line="360" w:lineRule="exact"/>
              <w:jc w:val="center"/>
              <w:rPr>
                <w:rFonts w:ascii="仿宋_GB2312" w:hAnsi="仿宋_GB2312" w:eastAsia="仿宋_GB2312" w:cs="仿宋_GB2312"/>
                <w:color w:val="000000"/>
                <w:sz w:val="20"/>
                <w:szCs w:val="20"/>
              </w:rPr>
            </w:pPr>
          </w:p>
        </w:tc>
        <w:tc>
          <w:tcPr>
            <w:tcW w:w="1134" w:type="dxa"/>
            <w:noWrap w:val="0"/>
            <w:vAlign w:val="center"/>
          </w:tcPr>
          <w:p w14:paraId="6482092A">
            <w:pPr>
              <w:widowControl/>
              <w:spacing w:line="3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49</w:t>
            </w:r>
          </w:p>
        </w:tc>
        <w:tc>
          <w:tcPr>
            <w:tcW w:w="1134" w:type="dxa"/>
            <w:noWrap w:val="0"/>
            <w:vAlign w:val="center"/>
          </w:tcPr>
          <w:p w14:paraId="565754BD">
            <w:pPr>
              <w:widowControl/>
              <w:spacing w:line="3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49</w:t>
            </w:r>
          </w:p>
        </w:tc>
        <w:tc>
          <w:tcPr>
            <w:tcW w:w="828" w:type="dxa"/>
            <w:noWrap w:val="0"/>
            <w:vAlign w:val="center"/>
          </w:tcPr>
          <w:p w14:paraId="5A715889">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w:t>
            </w:r>
          </w:p>
        </w:tc>
        <w:tc>
          <w:tcPr>
            <w:tcW w:w="873" w:type="dxa"/>
            <w:noWrap w:val="0"/>
            <w:vAlign w:val="center"/>
          </w:tcPr>
          <w:p w14:paraId="38373771">
            <w:pPr>
              <w:widowControl/>
              <w:spacing w:line="3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1418" w:type="dxa"/>
            <w:noWrap w:val="0"/>
            <w:vAlign w:val="center"/>
          </w:tcPr>
          <w:p w14:paraId="5359A34B">
            <w:pPr>
              <w:widowControl/>
              <w:spacing w:line="36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w:t>
            </w:r>
          </w:p>
        </w:tc>
      </w:tr>
      <w:tr w14:paraId="1272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080" w:type="dxa"/>
            <w:vMerge w:val="continue"/>
            <w:noWrap w:val="0"/>
            <w:vAlign w:val="center"/>
          </w:tcPr>
          <w:p w14:paraId="092516AB">
            <w:pPr>
              <w:widowControl/>
              <w:spacing w:line="360" w:lineRule="exact"/>
              <w:jc w:val="left"/>
              <w:rPr>
                <w:rFonts w:hint="eastAsia" w:ascii="仿宋_GB2312" w:hAnsi="仿宋_GB2312" w:eastAsia="仿宋_GB2312" w:cs="仿宋_GB2312"/>
                <w:color w:val="000000"/>
                <w:sz w:val="20"/>
                <w:szCs w:val="20"/>
              </w:rPr>
            </w:pPr>
          </w:p>
        </w:tc>
        <w:tc>
          <w:tcPr>
            <w:tcW w:w="2160" w:type="dxa"/>
            <w:gridSpan w:val="2"/>
            <w:noWrap w:val="0"/>
            <w:vAlign w:val="center"/>
          </w:tcPr>
          <w:p w14:paraId="1BD7094A">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其中：当年财政拨款　</w:t>
            </w:r>
          </w:p>
        </w:tc>
        <w:tc>
          <w:tcPr>
            <w:tcW w:w="1224" w:type="dxa"/>
            <w:noWrap w:val="0"/>
            <w:vAlign w:val="center"/>
          </w:tcPr>
          <w:p w14:paraId="73A74A01">
            <w:pPr>
              <w:widowControl/>
              <w:spacing w:line="360" w:lineRule="exact"/>
              <w:jc w:val="center"/>
              <w:rPr>
                <w:rFonts w:ascii="仿宋_GB2312" w:hAnsi="仿宋_GB2312" w:eastAsia="仿宋_GB2312" w:cs="仿宋_GB2312"/>
                <w:color w:val="000000"/>
                <w:sz w:val="20"/>
                <w:szCs w:val="20"/>
              </w:rPr>
            </w:pPr>
          </w:p>
        </w:tc>
        <w:tc>
          <w:tcPr>
            <w:tcW w:w="1134" w:type="dxa"/>
            <w:noWrap w:val="0"/>
            <w:vAlign w:val="center"/>
          </w:tcPr>
          <w:p w14:paraId="0C9C363A">
            <w:pPr>
              <w:widowControl/>
              <w:spacing w:line="3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49</w:t>
            </w:r>
          </w:p>
        </w:tc>
        <w:tc>
          <w:tcPr>
            <w:tcW w:w="1134" w:type="dxa"/>
            <w:noWrap w:val="0"/>
            <w:vAlign w:val="center"/>
          </w:tcPr>
          <w:p w14:paraId="1D542FD7">
            <w:pPr>
              <w:widowControl/>
              <w:spacing w:line="3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49</w:t>
            </w:r>
          </w:p>
        </w:tc>
        <w:tc>
          <w:tcPr>
            <w:tcW w:w="828" w:type="dxa"/>
            <w:noWrap w:val="0"/>
            <w:vAlign w:val="center"/>
          </w:tcPr>
          <w:p w14:paraId="4844C54E">
            <w:pPr>
              <w:widowControl/>
              <w:spacing w:line="360" w:lineRule="exact"/>
              <w:jc w:val="center"/>
              <w:rPr>
                <w:rFonts w:hint="eastAsia" w:ascii="仿宋_GB2312" w:hAnsi="仿宋_GB2312" w:eastAsia="仿宋_GB2312" w:cs="仿宋_GB2312"/>
                <w:color w:val="000000"/>
                <w:sz w:val="20"/>
                <w:szCs w:val="20"/>
              </w:rPr>
            </w:pPr>
          </w:p>
        </w:tc>
        <w:tc>
          <w:tcPr>
            <w:tcW w:w="873" w:type="dxa"/>
            <w:noWrap w:val="0"/>
            <w:vAlign w:val="center"/>
          </w:tcPr>
          <w:p w14:paraId="560C81DC">
            <w:pPr>
              <w:widowControl/>
              <w:spacing w:line="360" w:lineRule="exact"/>
              <w:jc w:val="center"/>
              <w:rPr>
                <w:rFonts w:hint="eastAsia" w:ascii="仿宋_GB2312" w:hAnsi="仿宋_GB2312" w:eastAsia="仿宋_GB2312" w:cs="仿宋_GB2312"/>
                <w:color w:val="000000"/>
                <w:sz w:val="20"/>
                <w:szCs w:val="20"/>
              </w:rPr>
            </w:pPr>
          </w:p>
        </w:tc>
        <w:tc>
          <w:tcPr>
            <w:tcW w:w="1418" w:type="dxa"/>
            <w:noWrap w:val="0"/>
            <w:vAlign w:val="center"/>
          </w:tcPr>
          <w:p w14:paraId="11E7FC51">
            <w:pPr>
              <w:widowControl/>
              <w:spacing w:line="360" w:lineRule="exact"/>
              <w:jc w:val="center"/>
              <w:rPr>
                <w:rFonts w:hint="eastAsia" w:ascii="仿宋_GB2312" w:hAnsi="仿宋_GB2312" w:eastAsia="仿宋_GB2312" w:cs="仿宋_GB2312"/>
                <w:color w:val="000000"/>
                <w:sz w:val="20"/>
                <w:szCs w:val="20"/>
              </w:rPr>
            </w:pPr>
          </w:p>
        </w:tc>
      </w:tr>
      <w:tr w14:paraId="2CCD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80" w:type="dxa"/>
            <w:vMerge w:val="continue"/>
            <w:noWrap w:val="0"/>
            <w:vAlign w:val="center"/>
          </w:tcPr>
          <w:p w14:paraId="767F0278">
            <w:pPr>
              <w:widowControl/>
              <w:spacing w:line="360" w:lineRule="exact"/>
              <w:jc w:val="left"/>
              <w:rPr>
                <w:rFonts w:hint="eastAsia" w:ascii="仿宋_GB2312" w:hAnsi="仿宋_GB2312" w:eastAsia="仿宋_GB2312" w:cs="仿宋_GB2312"/>
                <w:color w:val="000000"/>
                <w:sz w:val="20"/>
                <w:szCs w:val="20"/>
              </w:rPr>
            </w:pPr>
          </w:p>
        </w:tc>
        <w:tc>
          <w:tcPr>
            <w:tcW w:w="2160" w:type="dxa"/>
            <w:gridSpan w:val="2"/>
            <w:noWrap w:val="0"/>
            <w:vAlign w:val="center"/>
          </w:tcPr>
          <w:p w14:paraId="3699F252">
            <w:pPr>
              <w:widowControl/>
              <w:spacing w:line="360" w:lineRule="exact"/>
              <w:ind w:firstLine="600" w:firstLineChars="3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上年结转资金　</w:t>
            </w:r>
          </w:p>
        </w:tc>
        <w:tc>
          <w:tcPr>
            <w:tcW w:w="1224" w:type="dxa"/>
            <w:noWrap w:val="0"/>
            <w:vAlign w:val="center"/>
          </w:tcPr>
          <w:p w14:paraId="5DC6291A">
            <w:pPr>
              <w:widowControl/>
              <w:spacing w:line="360" w:lineRule="exact"/>
              <w:jc w:val="left"/>
              <w:rPr>
                <w:rFonts w:ascii="仿宋_GB2312" w:hAnsi="仿宋_GB2312" w:eastAsia="仿宋_GB2312" w:cs="仿宋_GB2312"/>
                <w:color w:val="000000"/>
                <w:sz w:val="20"/>
                <w:szCs w:val="20"/>
              </w:rPr>
            </w:pPr>
          </w:p>
        </w:tc>
        <w:tc>
          <w:tcPr>
            <w:tcW w:w="1134" w:type="dxa"/>
            <w:noWrap w:val="0"/>
            <w:vAlign w:val="center"/>
          </w:tcPr>
          <w:p w14:paraId="4B395146">
            <w:pPr>
              <w:widowControl/>
              <w:spacing w:line="360" w:lineRule="exact"/>
              <w:jc w:val="left"/>
              <w:rPr>
                <w:rFonts w:hint="eastAsia" w:ascii="仿宋_GB2312" w:hAnsi="仿宋_GB2312" w:eastAsia="仿宋_GB2312" w:cs="仿宋_GB2312"/>
                <w:color w:val="000000"/>
                <w:sz w:val="20"/>
                <w:szCs w:val="20"/>
              </w:rPr>
            </w:pPr>
          </w:p>
        </w:tc>
        <w:tc>
          <w:tcPr>
            <w:tcW w:w="1134" w:type="dxa"/>
            <w:noWrap w:val="0"/>
            <w:vAlign w:val="center"/>
          </w:tcPr>
          <w:p w14:paraId="7585DFC8">
            <w:pPr>
              <w:widowControl/>
              <w:spacing w:line="360" w:lineRule="exact"/>
              <w:jc w:val="left"/>
              <w:rPr>
                <w:rFonts w:hint="eastAsia" w:ascii="仿宋_GB2312" w:hAnsi="仿宋_GB2312" w:eastAsia="仿宋_GB2312" w:cs="仿宋_GB2312"/>
                <w:color w:val="000000"/>
                <w:sz w:val="20"/>
                <w:szCs w:val="20"/>
              </w:rPr>
            </w:pPr>
          </w:p>
        </w:tc>
        <w:tc>
          <w:tcPr>
            <w:tcW w:w="828" w:type="dxa"/>
            <w:noWrap w:val="0"/>
            <w:vAlign w:val="center"/>
          </w:tcPr>
          <w:p w14:paraId="65C65BE3">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noWrap w:val="0"/>
            <w:vAlign w:val="center"/>
          </w:tcPr>
          <w:p w14:paraId="4CA7F1DB">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18" w:type="dxa"/>
            <w:noWrap w:val="0"/>
            <w:vAlign w:val="center"/>
          </w:tcPr>
          <w:p w14:paraId="17405120">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28DE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noWrap w:val="0"/>
            <w:vAlign w:val="center"/>
          </w:tcPr>
          <w:p w14:paraId="330F2CD8">
            <w:pPr>
              <w:widowControl/>
              <w:spacing w:line="360" w:lineRule="exact"/>
              <w:jc w:val="left"/>
              <w:rPr>
                <w:rFonts w:hint="eastAsia" w:ascii="仿宋_GB2312" w:hAnsi="仿宋_GB2312" w:eastAsia="仿宋_GB2312" w:cs="仿宋_GB2312"/>
                <w:color w:val="000000"/>
                <w:sz w:val="20"/>
                <w:szCs w:val="20"/>
              </w:rPr>
            </w:pPr>
          </w:p>
        </w:tc>
        <w:tc>
          <w:tcPr>
            <w:tcW w:w="2160" w:type="dxa"/>
            <w:gridSpan w:val="2"/>
            <w:noWrap w:val="0"/>
            <w:vAlign w:val="center"/>
          </w:tcPr>
          <w:p w14:paraId="341FA5B5">
            <w:pPr>
              <w:widowControl/>
              <w:spacing w:line="360" w:lineRule="exact"/>
              <w:ind w:firstLine="600" w:firstLineChars="3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其他资金</w:t>
            </w:r>
          </w:p>
        </w:tc>
        <w:tc>
          <w:tcPr>
            <w:tcW w:w="1224" w:type="dxa"/>
            <w:noWrap w:val="0"/>
            <w:vAlign w:val="center"/>
          </w:tcPr>
          <w:p w14:paraId="73574404">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134" w:type="dxa"/>
            <w:noWrap w:val="0"/>
            <w:vAlign w:val="center"/>
          </w:tcPr>
          <w:p w14:paraId="1D7851C7">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134" w:type="dxa"/>
            <w:noWrap w:val="0"/>
            <w:vAlign w:val="center"/>
          </w:tcPr>
          <w:p w14:paraId="7190B200">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28" w:type="dxa"/>
            <w:noWrap w:val="0"/>
            <w:vAlign w:val="center"/>
          </w:tcPr>
          <w:p w14:paraId="108520FE">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873" w:type="dxa"/>
            <w:noWrap w:val="0"/>
            <w:vAlign w:val="center"/>
          </w:tcPr>
          <w:p w14:paraId="19A739AF">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418" w:type="dxa"/>
            <w:noWrap w:val="0"/>
            <w:vAlign w:val="center"/>
          </w:tcPr>
          <w:p w14:paraId="2C4FE426">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2F65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80" w:type="dxa"/>
            <w:vMerge w:val="restart"/>
            <w:noWrap w:val="0"/>
            <w:vAlign w:val="center"/>
          </w:tcPr>
          <w:p w14:paraId="2D06A841">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年度总体目标</w:t>
            </w:r>
          </w:p>
        </w:tc>
        <w:tc>
          <w:tcPr>
            <w:tcW w:w="4518" w:type="dxa"/>
            <w:gridSpan w:val="4"/>
            <w:noWrap w:val="0"/>
            <w:vAlign w:val="center"/>
          </w:tcPr>
          <w:p w14:paraId="39C204EB">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预期目标</w:t>
            </w:r>
          </w:p>
        </w:tc>
        <w:tc>
          <w:tcPr>
            <w:tcW w:w="4253" w:type="dxa"/>
            <w:gridSpan w:val="4"/>
            <w:noWrap w:val="0"/>
            <w:vAlign w:val="center"/>
          </w:tcPr>
          <w:p w14:paraId="1747FB60">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实际完成情况　</w:t>
            </w:r>
          </w:p>
        </w:tc>
      </w:tr>
      <w:tr w14:paraId="3E88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jc w:val="center"/>
        </w:trPr>
        <w:tc>
          <w:tcPr>
            <w:tcW w:w="1080" w:type="dxa"/>
            <w:vMerge w:val="continue"/>
            <w:noWrap w:val="0"/>
            <w:vAlign w:val="center"/>
          </w:tcPr>
          <w:p w14:paraId="156889F1">
            <w:pPr>
              <w:widowControl/>
              <w:spacing w:line="360" w:lineRule="exact"/>
              <w:jc w:val="left"/>
              <w:rPr>
                <w:rFonts w:hint="eastAsia" w:ascii="仿宋_GB2312" w:hAnsi="仿宋_GB2312" w:eastAsia="仿宋_GB2312" w:cs="仿宋_GB2312"/>
                <w:color w:val="000000"/>
                <w:sz w:val="20"/>
                <w:szCs w:val="20"/>
              </w:rPr>
            </w:pPr>
          </w:p>
        </w:tc>
        <w:tc>
          <w:tcPr>
            <w:tcW w:w="4518" w:type="dxa"/>
            <w:gridSpan w:val="4"/>
            <w:noWrap w:val="0"/>
            <w:vAlign w:val="center"/>
          </w:tcPr>
          <w:p w14:paraId="1B30271A">
            <w:pPr>
              <w:widowControl/>
              <w:spacing w:line="360" w:lineRule="exact"/>
              <w:ind w:firstLine="400" w:firstLineChars="200"/>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智慧城市系统平台建设内容中的硬件系统、网络链路、软件系统、数据库及服务器等系统平台运行情况总体良好，故障问题得到及时响应并处理，完成各类软件更新需求，保证项目总体运行正常、平稳。</w:t>
            </w:r>
          </w:p>
        </w:tc>
        <w:tc>
          <w:tcPr>
            <w:tcW w:w="4253" w:type="dxa"/>
            <w:gridSpan w:val="4"/>
            <w:noWrap w:val="0"/>
            <w:vAlign w:val="center"/>
          </w:tcPr>
          <w:p w14:paraId="126011DE">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软件、硬件均及时维护，解决了各类系统故障，完成了各类软件更新需求，保障智慧城管系统良好运转，保证了项目总体运行正常、平稳。</w:t>
            </w:r>
          </w:p>
        </w:tc>
      </w:tr>
      <w:tr w14:paraId="3CE7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2B2CD3D5">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绩</w:t>
            </w:r>
          </w:p>
          <w:p w14:paraId="3F08A75C">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w:t>
            </w:r>
          </w:p>
          <w:p w14:paraId="1FE17345">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w:t>
            </w:r>
          </w:p>
          <w:p w14:paraId="4ECA7F23">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标</w:t>
            </w:r>
          </w:p>
        </w:tc>
        <w:tc>
          <w:tcPr>
            <w:tcW w:w="1080" w:type="dxa"/>
            <w:noWrap w:val="0"/>
            <w:vAlign w:val="center"/>
          </w:tcPr>
          <w:p w14:paraId="092FE7D5">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一级指标</w:t>
            </w:r>
          </w:p>
        </w:tc>
        <w:tc>
          <w:tcPr>
            <w:tcW w:w="1080" w:type="dxa"/>
            <w:noWrap w:val="0"/>
            <w:vAlign w:val="center"/>
          </w:tcPr>
          <w:p w14:paraId="782C5D0E">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二级指标</w:t>
            </w:r>
          </w:p>
        </w:tc>
        <w:tc>
          <w:tcPr>
            <w:tcW w:w="1224" w:type="dxa"/>
            <w:noWrap w:val="0"/>
            <w:vAlign w:val="center"/>
          </w:tcPr>
          <w:p w14:paraId="0000B850">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三级指标</w:t>
            </w:r>
          </w:p>
        </w:tc>
        <w:tc>
          <w:tcPr>
            <w:tcW w:w="1134" w:type="dxa"/>
            <w:noWrap w:val="0"/>
            <w:vAlign w:val="center"/>
          </w:tcPr>
          <w:p w14:paraId="64ABF365">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年度</w:t>
            </w:r>
          </w:p>
          <w:p w14:paraId="381CC1F9">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指标值</w:t>
            </w:r>
          </w:p>
        </w:tc>
        <w:tc>
          <w:tcPr>
            <w:tcW w:w="1134" w:type="dxa"/>
            <w:noWrap w:val="0"/>
            <w:vAlign w:val="center"/>
          </w:tcPr>
          <w:p w14:paraId="08DF1708">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实际</w:t>
            </w:r>
          </w:p>
          <w:p w14:paraId="5A79CA46">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完成值</w:t>
            </w:r>
          </w:p>
        </w:tc>
        <w:tc>
          <w:tcPr>
            <w:tcW w:w="828" w:type="dxa"/>
            <w:noWrap w:val="0"/>
            <w:vAlign w:val="center"/>
          </w:tcPr>
          <w:p w14:paraId="6AB8FB91">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分值</w:t>
            </w:r>
          </w:p>
        </w:tc>
        <w:tc>
          <w:tcPr>
            <w:tcW w:w="873" w:type="dxa"/>
            <w:noWrap w:val="0"/>
            <w:vAlign w:val="center"/>
          </w:tcPr>
          <w:p w14:paraId="5622605C">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得分</w:t>
            </w:r>
          </w:p>
        </w:tc>
        <w:tc>
          <w:tcPr>
            <w:tcW w:w="1418" w:type="dxa"/>
            <w:noWrap w:val="0"/>
            <w:vAlign w:val="center"/>
          </w:tcPr>
          <w:p w14:paraId="0A72A05F">
            <w:pPr>
              <w:widowControl/>
              <w:spacing w:line="360" w:lineRule="exac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偏差原因分析及改进措施</w:t>
            </w:r>
          </w:p>
        </w:tc>
      </w:tr>
      <w:tr w14:paraId="02CC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FE40566">
            <w:pPr>
              <w:spacing w:line="360" w:lineRule="exact"/>
              <w:jc w:val="left"/>
              <w:rPr>
                <w:rFonts w:hint="eastAsia" w:ascii="仿宋_GB2312" w:hAnsi="仿宋_GB2312" w:eastAsia="仿宋_GB2312" w:cs="仿宋_GB2312"/>
                <w:color w:val="000000"/>
                <w:sz w:val="20"/>
                <w:szCs w:val="20"/>
              </w:rPr>
            </w:pPr>
          </w:p>
        </w:tc>
        <w:tc>
          <w:tcPr>
            <w:tcW w:w="1080" w:type="dxa"/>
            <w:vMerge w:val="restart"/>
            <w:noWrap w:val="0"/>
            <w:vAlign w:val="center"/>
          </w:tcPr>
          <w:p w14:paraId="3FA734D7">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产出指标</w:t>
            </w:r>
          </w:p>
          <w:p w14:paraId="1E665918">
            <w:pPr>
              <w:widowControl/>
              <w:spacing w:line="360" w:lineRule="exact"/>
              <w:jc w:val="center"/>
              <w:rPr>
                <w:rFonts w:hint="eastAsia" w:ascii="仿宋_GB2312" w:hAnsi="仿宋_GB2312" w:eastAsia="仿宋_GB2312" w:cs="仿宋_GB2312"/>
                <w:color w:val="000000"/>
                <w:sz w:val="20"/>
                <w:szCs w:val="20"/>
              </w:rPr>
            </w:pPr>
          </w:p>
          <w:p w14:paraId="2844ED02">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(50分)</w:t>
            </w:r>
          </w:p>
        </w:tc>
        <w:tc>
          <w:tcPr>
            <w:tcW w:w="1080" w:type="dxa"/>
            <w:noWrap w:val="0"/>
            <w:vAlign w:val="center"/>
          </w:tcPr>
          <w:p w14:paraId="20CCE9EE">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数量指标</w:t>
            </w:r>
          </w:p>
        </w:tc>
        <w:tc>
          <w:tcPr>
            <w:tcW w:w="1224" w:type="dxa"/>
            <w:noWrap w:val="0"/>
            <w:vAlign w:val="center"/>
          </w:tcPr>
          <w:p w14:paraId="2F9B388E">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智慧城管系统平台维护次数</w:t>
            </w:r>
          </w:p>
        </w:tc>
        <w:tc>
          <w:tcPr>
            <w:tcW w:w="1134" w:type="dxa"/>
            <w:noWrap w:val="0"/>
            <w:vAlign w:val="center"/>
          </w:tcPr>
          <w:p w14:paraId="53E1CED1">
            <w:pPr>
              <w:widowControl/>
              <w:spacing w:line="36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220次/年</w:t>
            </w:r>
          </w:p>
        </w:tc>
        <w:tc>
          <w:tcPr>
            <w:tcW w:w="1134" w:type="dxa"/>
            <w:noWrap w:val="0"/>
            <w:vAlign w:val="center"/>
          </w:tcPr>
          <w:p w14:paraId="1E9C671A">
            <w:pPr>
              <w:widowControl/>
              <w:spacing w:line="36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220次/年</w:t>
            </w:r>
          </w:p>
        </w:tc>
        <w:tc>
          <w:tcPr>
            <w:tcW w:w="828" w:type="dxa"/>
            <w:noWrap w:val="0"/>
            <w:vAlign w:val="center"/>
          </w:tcPr>
          <w:p w14:paraId="74B12C44">
            <w:pPr>
              <w:widowControl/>
              <w:spacing w:line="3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12</w:t>
            </w:r>
          </w:p>
        </w:tc>
        <w:tc>
          <w:tcPr>
            <w:tcW w:w="873" w:type="dxa"/>
            <w:noWrap w:val="0"/>
            <w:vAlign w:val="center"/>
          </w:tcPr>
          <w:p w14:paraId="4D8DE9A1">
            <w:pPr>
              <w:widowControl/>
              <w:spacing w:line="3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12</w:t>
            </w:r>
          </w:p>
        </w:tc>
        <w:tc>
          <w:tcPr>
            <w:tcW w:w="1418" w:type="dxa"/>
            <w:noWrap w:val="0"/>
            <w:vAlign w:val="center"/>
          </w:tcPr>
          <w:p w14:paraId="707CFD8A">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2A6E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686B8AB">
            <w:pPr>
              <w:spacing w:line="36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000E1C8A">
            <w:pPr>
              <w:spacing w:line="360" w:lineRule="exact"/>
              <w:jc w:val="left"/>
              <w:rPr>
                <w:rFonts w:hint="eastAsia" w:ascii="仿宋_GB2312" w:hAnsi="仿宋_GB2312" w:eastAsia="仿宋_GB2312" w:cs="仿宋_GB2312"/>
                <w:color w:val="000000"/>
                <w:sz w:val="20"/>
                <w:szCs w:val="20"/>
              </w:rPr>
            </w:pPr>
          </w:p>
        </w:tc>
        <w:tc>
          <w:tcPr>
            <w:tcW w:w="1080" w:type="dxa"/>
            <w:vMerge w:val="restart"/>
            <w:noWrap w:val="0"/>
            <w:vAlign w:val="center"/>
          </w:tcPr>
          <w:p w14:paraId="6009CA6D">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质量指标</w:t>
            </w:r>
          </w:p>
        </w:tc>
        <w:tc>
          <w:tcPr>
            <w:tcW w:w="1224" w:type="dxa"/>
            <w:noWrap w:val="0"/>
            <w:vAlign w:val="center"/>
          </w:tcPr>
          <w:p w14:paraId="086DA56A">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系统正常运行率</w:t>
            </w:r>
          </w:p>
        </w:tc>
        <w:tc>
          <w:tcPr>
            <w:tcW w:w="1134" w:type="dxa"/>
            <w:noWrap w:val="0"/>
            <w:vAlign w:val="center"/>
          </w:tcPr>
          <w:p w14:paraId="22B1D00B">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100%</w:t>
            </w:r>
          </w:p>
        </w:tc>
        <w:tc>
          <w:tcPr>
            <w:tcW w:w="1134" w:type="dxa"/>
            <w:noWrap w:val="0"/>
            <w:vAlign w:val="center"/>
          </w:tcPr>
          <w:p w14:paraId="5105AD06">
            <w:pPr>
              <w:widowControl/>
              <w:spacing w:line="36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100%</w:t>
            </w:r>
          </w:p>
        </w:tc>
        <w:tc>
          <w:tcPr>
            <w:tcW w:w="828" w:type="dxa"/>
            <w:noWrap w:val="0"/>
            <w:vAlign w:val="center"/>
          </w:tcPr>
          <w:p w14:paraId="7740A9A9">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6</w:t>
            </w:r>
          </w:p>
        </w:tc>
        <w:tc>
          <w:tcPr>
            <w:tcW w:w="873" w:type="dxa"/>
            <w:noWrap w:val="0"/>
            <w:vAlign w:val="center"/>
          </w:tcPr>
          <w:p w14:paraId="2D69BBF9">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6</w:t>
            </w:r>
          </w:p>
        </w:tc>
        <w:tc>
          <w:tcPr>
            <w:tcW w:w="1418" w:type="dxa"/>
            <w:noWrap w:val="0"/>
            <w:vAlign w:val="center"/>
          </w:tcPr>
          <w:p w14:paraId="2AB83457">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6579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080" w:type="dxa"/>
            <w:vMerge w:val="continue"/>
            <w:noWrap w:val="0"/>
            <w:vAlign w:val="center"/>
          </w:tcPr>
          <w:p w14:paraId="24178DB2">
            <w:pPr>
              <w:spacing w:line="36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1E16B869">
            <w:pPr>
              <w:spacing w:line="36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5CA3079F">
            <w:pPr>
              <w:spacing w:line="360" w:lineRule="exact"/>
              <w:jc w:val="center"/>
              <w:rPr>
                <w:rFonts w:hint="eastAsia" w:ascii="仿宋_GB2312" w:hAnsi="仿宋_GB2312" w:eastAsia="仿宋_GB2312" w:cs="仿宋_GB2312"/>
                <w:color w:val="000000"/>
                <w:sz w:val="20"/>
                <w:szCs w:val="20"/>
              </w:rPr>
            </w:pPr>
          </w:p>
        </w:tc>
        <w:tc>
          <w:tcPr>
            <w:tcW w:w="1224" w:type="dxa"/>
            <w:noWrap w:val="0"/>
            <w:vAlign w:val="center"/>
          </w:tcPr>
          <w:p w14:paraId="78A4FCE1">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平台运行状态</w:t>
            </w:r>
          </w:p>
        </w:tc>
        <w:tc>
          <w:tcPr>
            <w:tcW w:w="1134" w:type="dxa"/>
            <w:noWrap w:val="0"/>
            <w:vAlign w:val="center"/>
          </w:tcPr>
          <w:p w14:paraId="56441223">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运行状态良好</w:t>
            </w:r>
          </w:p>
        </w:tc>
        <w:tc>
          <w:tcPr>
            <w:tcW w:w="1134" w:type="dxa"/>
            <w:noWrap w:val="0"/>
            <w:vAlign w:val="center"/>
          </w:tcPr>
          <w:p w14:paraId="5044562E">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运行状态较好</w:t>
            </w:r>
          </w:p>
        </w:tc>
        <w:tc>
          <w:tcPr>
            <w:tcW w:w="828" w:type="dxa"/>
            <w:noWrap w:val="0"/>
            <w:vAlign w:val="center"/>
          </w:tcPr>
          <w:p w14:paraId="35CD7F0A">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6</w:t>
            </w:r>
          </w:p>
        </w:tc>
        <w:tc>
          <w:tcPr>
            <w:tcW w:w="873" w:type="dxa"/>
            <w:noWrap w:val="0"/>
            <w:vAlign w:val="center"/>
          </w:tcPr>
          <w:p w14:paraId="51322AA6">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4</w:t>
            </w:r>
          </w:p>
        </w:tc>
        <w:tc>
          <w:tcPr>
            <w:tcW w:w="1418" w:type="dxa"/>
            <w:noWrap w:val="0"/>
            <w:vAlign w:val="center"/>
          </w:tcPr>
          <w:p w14:paraId="0E228746">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系统</w:t>
            </w:r>
            <w:r>
              <w:rPr>
                <w:rFonts w:ascii="仿宋_GB2312" w:hAnsi="仿宋_GB2312" w:eastAsia="仿宋_GB2312" w:cs="仿宋_GB2312"/>
                <w:color w:val="000000"/>
                <w:sz w:val="20"/>
                <w:szCs w:val="20"/>
              </w:rPr>
              <w:t>已稳定运行1</w:t>
            </w:r>
            <w:r>
              <w:rPr>
                <w:rFonts w:hint="eastAsia" w:ascii="仿宋_GB2312" w:hAnsi="仿宋_GB2312" w:eastAsia="仿宋_GB2312" w:cs="仿宋_GB2312"/>
                <w:color w:val="000000"/>
                <w:sz w:val="20"/>
                <w:szCs w:val="20"/>
              </w:rPr>
              <w:t>2</w:t>
            </w:r>
            <w:r>
              <w:rPr>
                <w:rFonts w:ascii="仿宋_GB2312" w:hAnsi="仿宋_GB2312" w:eastAsia="仿宋_GB2312" w:cs="仿宋_GB2312"/>
                <w:color w:val="000000"/>
                <w:sz w:val="20"/>
                <w:szCs w:val="20"/>
              </w:rPr>
              <w:t>年。当前，系统内部分核心设备已超出报废年限，出现故障频发、性能衰减等问题</w:t>
            </w:r>
          </w:p>
        </w:tc>
      </w:tr>
      <w:tr w14:paraId="0DAB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0463D8C">
            <w:pPr>
              <w:spacing w:line="36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2F0F21C4">
            <w:pPr>
              <w:spacing w:line="360" w:lineRule="exact"/>
              <w:jc w:val="left"/>
              <w:rPr>
                <w:rFonts w:hint="eastAsia" w:ascii="仿宋_GB2312" w:hAnsi="仿宋_GB2312" w:eastAsia="仿宋_GB2312" w:cs="仿宋_GB2312"/>
                <w:color w:val="000000"/>
                <w:sz w:val="20"/>
                <w:szCs w:val="20"/>
              </w:rPr>
            </w:pPr>
          </w:p>
        </w:tc>
        <w:tc>
          <w:tcPr>
            <w:tcW w:w="1080" w:type="dxa"/>
            <w:noWrap w:val="0"/>
            <w:vAlign w:val="center"/>
          </w:tcPr>
          <w:p w14:paraId="3029592F">
            <w:pPr>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时效指标</w:t>
            </w:r>
          </w:p>
        </w:tc>
        <w:tc>
          <w:tcPr>
            <w:tcW w:w="1224" w:type="dxa"/>
            <w:noWrap w:val="0"/>
            <w:vAlign w:val="center"/>
          </w:tcPr>
          <w:p w14:paraId="315C1E7F">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故障排除时间</w:t>
            </w:r>
          </w:p>
        </w:tc>
        <w:tc>
          <w:tcPr>
            <w:tcW w:w="1134" w:type="dxa"/>
            <w:noWrap w:val="0"/>
            <w:vAlign w:val="center"/>
          </w:tcPr>
          <w:p w14:paraId="498394A0">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及时处置</w:t>
            </w:r>
          </w:p>
        </w:tc>
        <w:tc>
          <w:tcPr>
            <w:tcW w:w="1134" w:type="dxa"/>
            <w:noWrap w:val="0"/>
            <w:vAlign w:val="center"/>
          </w:tcPr>
          <w:p w14:paraId="75A49F0B">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均及时有效处置</w:t>
            </w:r>
          </w:p>
        </w:tc>
        <w:tc>
          <w:tcPr>
            <w:tcW w:w="828" w:type="dxa"/>
            <w:noWrap w:val="0"/>
            <w:vAlign w:val="center"/>
          </w:tcPr>
          <w:p w14:paraId="6BC6DA25">
            <w:pPr>
              <w:widowControl/>
              <w:spacing w:line="3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12</w:t>
            </w:r>
          </w:p>
        </w:tc>
        <w:tc>
          <w:tcPr>
            <w:tcW w:w="873" w:type="dxa"/>
            <w:noWrap w:val="0"/>
            <w:vAlign w:val="center"/>
          </w:tcPr>
          <w:p w14:paraId="265EEADA">
            <w:pPr>
              <w:widowControl/>
              <w:spacing w:line="360" w:lineRule="exact"/>
              <w:jc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12</w:t>
            </w:r>
          </w:p>
        </w:tc>
        <w:tc>
          <w:tcPr>
            <w:tcW w:w="1418" w:type="dxa"/>
            <w:noWrap w:val="0"/>
            <w:vAlign w:val="center"/>
          </w:tcPr>
          <w:p w14:paraId="561DDFC4">
            <w:pPr>
              <w:widowControl/>
              <w:spacing w:line="360" w:lineRule="exact"/>
              <w:jc w:val="left"/>
              <w:rPr>
                <w:rFonts w:hint="eastAsia" w:ascii="仿宋_GB2312" w:hAnsi="仿宋_GB2312" w:eastAsia="仿宋_GB2312" w:cs="仿宋_GB2312"/>
                <w:color w:val="000000"/>
                <w:sz w:val="20"/>
                <w:szCs w:val="20"/>
              </w:rPr>
            </w:pPr>
          </w:p>
        </w:tc>
      </w:tr>
      <w:tr w14:paraId="53BC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80" w:type="dxa"/>
            <w:vMerge w:val="continue"/>
            <w:noWrap w:val="0"/>
            <w:vAlign w:val="center"/>
          </w:tcPr>
          <w:p w14:paraId="296C8BFF">
            <w:pPr>
              <w:spacing w:line="36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4272A656">
            <w:pPr>
              <w:spacing w:line="360" w:lineRule="exact"/>
              <w:jc w:val="left"/>
              <w:rPr>
                <w:rFonts w:hint="eastAsia" w:ascii="仿宋_GB2312" w:hAnsi="仿宋_GB2312" w:eastAsia="仿宋_GB2312" w:cs="仿宋_GB2312"/>
                <w:color w:val="000000"/>
                <w:sz w:val="20"/>
                <w:szCs w:val="20"/>
              </w:rPr>
            </w:pPr>
          </w:p>
        </w:tc>
        <w:tc>
          <w:tcPr>
            <w:tcW w:w="1080" w:type="dxa"/>
            <w:vMerge w:val="restart"/>
            <w:noWrap w:val="0"/>
            <w:vAlign w:val="center"/>
          </w:tcPr>
          <w:p w14:paraId="7B99C1EA">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成本指标</w:t>
            </w:r>
          </w:p>
        </w:tc>
        <w:tc>
          <w:tcPr>
            <w:tcW w:w="1224" w:type="dxa"/>
            <w:noWrap w:val="0"/>
            <w:vAlign w:val="center"/>
          </w:tcPr>
          <w:p w14:paraId="10BB79AF">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运</w:t>
            </w:r>
            <w:r>
              <w:rPr>
                <w:rFonts w:hint="eastAsia" w:ascii="仿宋_GB2312" w:hAnsi="仿宋_GB2312" w:eastAsia="仿宋_GB2312" w:cs="仿宋_GB2312"/>
                <w:sz w:val="20"/>
                <w:szCs w:val="20"/>
              </w:rPr>
              <w:t>软件、数据库及设备维护</w:t>
            </w:r>
            <w:r>
              <w:rPr>
                <w:rFonts w:hint="eastAsia" w:ascii="仿宋_GB2312" w:hAnsi="仿宋_GB2312" w:eastAsia="仿宋_GB2312" w:cs="仿宋_GB2312"/>
                <w:color w:val="000000"/>
                <w:sz w:val="20"/>
                <w:szCs w:val="20"/>
              </w:rPr>
              <w:t>维费用</w:t>
            </w:r>
          </w:p>
        </w:tc>
        <w:tc>
          <w:tcPr>
            <w:tcW w:w="1134" w:type="dxa"/>
            <w:noWrap w:val="0"/>
            <w:vAlign w:val="center"/>
          </w:tcPr>
          <w:p w14:paraId="2FD5FB58">
            <w:pPr>
              <w:widowControl/>
              <w:spacing w:line="360" w:lineRule="exact"/>
              <w:jc w:val="left"/>
              <w:rPr>
                <w:rFonts w:ascii="仿宋_GB2312" w:hAnsi="仿宋_GB2312" w:eastAsia="仿宋_GB2312" w:cs="仿宋_GB2312"/>
                <w:sz w:val="20"/>
                <w:szCs w:val="20"/>
              </w:rPr>
            </w:pPr>
            <w:r>
              <w:rPr>
                <w:rFonts w:hint="eastAsia" w:ascii="仿宋_GB2312" w:hAnsi="仿宋_GB2312" w:eastAsia="仿宋_GB2312" w:cs="仿宋_GB2312"/>
                <w:sz w:val="20"/>
                <w:szCs w:val="20"/>
                <w:lang w:val="en"/>
              </w:rPr>
              <w:t>控制在49</w:t>
            </w:r>
            <w:r>
              <w:rPr>
                <w:rFonts w:hint="eastAsia" w:ascii="仿宋_GB2312" w:hAnsi="仿宋_GB2312" w:eastAsia="仿宋_GB2312" w:cs="仿宋_GB2312"/>
                <w:sz w:val="20"/>
                <w:szCs w:val="20"/>
              </w:rPr>
              <w:t>万元之内</w:t>
            </w:r>
          </w:p>
        </w:tc>
        <w:tc>
          <w:tcPr>
            <w:tcW w:w="1134" w:type="dxa"/>
            <w:noWrap w:val="0"/>
            <w:vAlign w:val="center"/>
          </w:tcPr>
          <w:p w14:paraId="5B39A507">
            <w:pPr>
              <w:widowControl/>
              <w:spacing w:line="360" w:lineRule="exact"/>
              <w:jc w:val="left"/>
              <w:rPr>
                <w:rFonts w:ascii="仿宋_GB2312" w:hAnsi="仿宋_GB2312" w:eastAsia="仿宋_GB2312" w:cs="仿宋_GB2312"/>
                <w:sz w:val="20"/>
                <w:szCs w:val="20"/>
              </w:rPr>
            </w:pPr>
            <w:r>
              <w:rPr>
                <w:rFonts w:hint="eastAsia" w:ascii="仿宋_GB2312" w:hAnsi="仿宋_GB2312" w:eastAsia="仿宋_GB2312" w:cs="仿宋_GB2312"/>
                <w:sz w:val="20"/>
                <w:szCs w:val="20"/>
                <w:lang w:val="en"/>
              </w:rPr>
              <w:t>实际支出</w:t>
            </w:r>
            <w:r>
              <w:rPr>
                <w:rFonts w:hint="eastAsia" w:ascii="仿宋_GB2312" w:hAnsi="仿宋_GB2312" w:eastAsia="仿宋_GB2312" w:cs="仿宋_GB2312"/>
                <w:sz w:val="20"/>
                <w:szCs w:val="20"/>
              </w:rPr>
              <w:t>49万元</w:t>
            </w:r>
          </w:p>
        </w:tc>
        <w:tc>
          <w:tcPr>
            <w:tcW w:w="828" w:type="dxa"/>
            <w:noWrap w:val="0"/>
            <w:vAlign w:val="center"/>
          </w:tcPr>
          <w:p w14:paraId="6C8AC985">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6</w:t>
            </w:r>
          </w:p>
        </w:tc>
        <w:tc>
          <w:tcPr>
            <w:tcW w:w="873" w:type="dxa"/>
            <w:noWrap w:val="0"/>
            <w:vAlign w:val="center"/>
          </w:tcPr>
          <w:p w14:paraId="34EE7E38">
            <w:pPr>
              <w:widowControl/>
              <w:spacing w:line="360" w:lineRule="exact"/>
              <w:jc w:val="center"/>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lang w:val="en-US" w:eastAsia="zh-CN"/>
              </w:rPr>
              <w:t>6</w:t>
            </w:r>
          </w:p>
        </w:tc>
        <w:tc>
          <w:tcPr>
            <w:tcW w:w="1418" w:type="dxa"/>
            <w:noWrap w:val="0"/>
            <w:vAlign w:val="center"/>
          </w:tcPr>
          <w:p w14:paraId="55079733">
            <w:pPr>
              <w:widowControl/>
              <w:spacing w:line="280" w:lineRule="exact"/>
              <w:jc w:val="left"/>
              <w:rPr>
                <w:rFonts w:ascii="仿宋_GB2312" w:hAnsi="仿宋_GB2312" w:eastAsia="仿宋_GB2312" w:cs="仿宋_GB2312"/>
                <w:color w:val="000000"/>
                <w:sz w:val="20"/>
                <w:szCs w:val="20"/>
              </w:rPr>
            </w:pPr>
          </w:p>
        </w:tc>
      </w:tr>
      <w:tr w14:paraId="013E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1AF9E1A">
            <w:pPr>
              <w:spacing w:line="36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4FFAE026">
            <w:pPr>
              <w:spacing w:line="36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0A1E4209">
            <w:pPr>
              <w:spacing w:line="360" w:lineRule="exact"/>
              <w:jc w:val="left"/>
              <w:rPr>
                <w:rFonts w:hint="eastAsia" w:ascii="仿宋_GB2312" w:hAnsi="仿宋_GB2312" w:eastAsia="仿宋_GB2312" w:cs="仿宋_GB2312"/>
                <w:color w:val="000000"/>
                <w:sz w:val="20"/>
                <w:szCs w:val="20"/>
              </w:rPr>
            </w:pPr>
          </w:p>
        </w:tc>
        <w:tc>
          <w:tcPr>
            <w:tcW w:w="1224" w:type="dxa"/>
            <w:noWrap w:val="0"/>
            <w:vAlign w:val="center"/>
          </w:tcPr>
          <w:p w14:paraId="4DEBC23D">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对社会发展可能造成的负面影响</w:t>
            </w:r>
          </w:p>
        </w:tc>
        <w:tc>
          <w:tcPr>
            <w:tcW w:w="1134" w:type="dxa"/>
            <w:noWrap w:val="0"/>
            <w:vAlign w:val="center"/>
          </w:tcPr>
          <w:p w14:paraId="5BACCA53">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1134" w:type="dxa"/>
            <w:noWrap w:val="0"/>
            <w:vAlign w:val="center"/>
          </w:tcPr>
          <w:p w14:paraId="01801749">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828" w:type="dxa"/>
            <w:noWrap w:val="0"/>
            <w:vAlign w:val="center"/>
          </w:tcPr>
          <w:p w14:paraId="49905AC6">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4</w:t>
            </w:r>
          </w:p>
        </w:tc>
        <w:tc>
          <w:tcPr>
            <w:tcW w:w="873" w:type="dxa"/>
            <w:noWrap w:val="0"/>
            <w:vAlign w:val="center"/>
          </w:tcPr>
          <w:p w14:paraId="2E09FD29">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4</w:t>
            </w:r>
          </w:p>
        </w:tc>
        <w:tc>
          <w:tcPr>
            <w:tcW w:w="1418" w:type="dxa"/>
            <w:noWrap w:val="0"/>
            <w:vAlign w:val="center"/>
          </w:tcPr>
          <w:p w14:paraId="46BB5F66">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2434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9299044">
            <w:pPr>
              <w:spacing w:line="36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26F73E44">
            <w:pPr>
              <w:widowControl/>
              <w:spacing w:line="36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4BDAA0A4">
            <w:pPr>
              <w:widowControl/>
              <w:spacing w:line="360" w:lineRule="exact"/>
              <w:jc w:val="left"/>
              <w:rPr>
                <w:rFonts w:hint="eastAsia" w:ascii="仿宋_GB2312" w:hAnsi="仿宋_GB2312" w:eastAsia="仿宋_GB2312" w:cs="仿宋_GB2312"/>
                <w:color w:val="000000"/>
                <w:sz w:val="20"/>
                <w:szCs w:val="20"/>
              </w:rPr>
            </w:pPr>
          </w:p>
        </w:tc>
        <w:tc>
          <w:tcPr>
            <w:tcW w:w="1224" w:type="dxa"/>
            <w:noWrap w:val="0"/>
            <w:vAlign w:val="center"/>
          </w:tcPr>
          <w:p w14:paraId="773721AF">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对自然生态环境造成的负面影响</w:t>
            </w:r>
          </w:p>
        </w:tc>
        <w:tc>
          <w:tcPr>
            <w:tcW w:w="1134" w:type="dxa"/>
            <w:noWrap w:val="0"/>
            <w:vAlign w:val="center"/>
          </w:tcPr>
          <w:p w14:paraId="34F0A4A7">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1134" w:type="dxa"/>
            <w:noWrap w:val="0"/>
            <w:vAlign w:val="center"/>
          </w:tcPr>
          <w:p w14:paraId="364EDEDE">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无负面影响</w:t>
            </w:r>
          </w:p>
        </w:tc>
        <w:tc>
          <w:tcPr>
            <w:tcW w:w="828" w:type="dxa"/>
            <w:noWrap w:val="0"/>
            <w:vAlign w:val="center"/>
          </w:tcPr>
          <w:p w14:paraId="12F710B6">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4</w:t>
            </w:r>
          </w:p>
        </w:tc>
        <w:tc>
          <w:tcPr>
            <w:tcW w:w="873" w:type="dxa"/>
            <w:noWrap w:val="0"/>
            <w:vAlign w:val="center"/>
          </w:tcPr>
          <w:p w14:paraId="117373AD">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4</w:t>
            </w:r>
          </w:p>
        </w:tc>
        <w:tc>
          <w:tcPr>
            <w:tcW w:w="1418" w:type="dxa"/>
            <w:noWrap w:val="0"/>
            <w:vAlign w:val="center"/>
          </w:tcPr>
          <w:p w14:paraId="1C287378">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3F66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725C31A">
            <w:pPr>
              <w:spacing w:line="360" w:lineRule="exact"/>
              <w:jc w:val="left"/>
              <w:rPr>
                <w:rFonts w:hint="eastAsia" w:ascii="仿宋_GB2312" w:hAnsi="仿宋_GB2312" w:eastAsia="仿宋_GB2312" w:cs="仿宋_GB2312"/>
                <w:color w:val="000000"/>
                <w:sz w:val="20"/>
                <w:szCs w:val="20"/>
              </w:rPr>
            </w:pPr>
          </w:p>
        </w:tc>
        <w:tc>
          <w:tcPr>
            <w:tcW w:w="1080" w:type="dxa"/>
            <w:vMerge w:val="restart"/>
            <w:noWrap w:val="0"/>
            <w:vAlign w:val="center"/>
          </w:tcPr>
          <w:p w14:paraId="6DCAED72">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效益指标</w:t>
            </w:r>
          </w:p>
          <w:p w14:paraId="1F330155">
            <w:pPr>
              <w:widowControl/>
              <w:spacing w:line="360" w:lineRule="exact"/>
              <w:jc w:val="left"/>
              <w:rPr>
                <w:rFonts w:hint="eastAsia" w:ascii="仿宋_GB2312" w:hAnsi="仿宋_GB2312" w:eastAsia="仿宋_GB2312" w:cs="仿宋_GB2312"/>
                <w:color w:val="000000"/>
                <w:sz w:val="20"/>
                <w:szCs w:val="20"/>
              </w:rPr>
            </w:pPr>
          </w:p>
          <w:p w14:paraId="50CACD01">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（30分）</w:t>
            </w:r>
          </w:p>
          <w:p w14:paraId="780C6F34">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c>
          <w:tcPr>
            <w:tcW w:w="1080" w:type="dxa"/>
            <w:noWrap w:val="0"/>
            <w:vAlign w:val="center"/>
          </w:tcPr>
          <w:p w14:paraId="06CB22F8">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经济效</w:t>
            </w:r>
          </w:p>
          <w:p w14:paraId="0734A564">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224" w:type="dxa"/>
            <w:noWrap w:val="0"/>
            <w:vAlign w:val="center"/>
          </w:tcPr>
          <w:p w14:paraId="1A5D6F06">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提升城市管理问题处置效率，改善居民舒适感</w:t>
            </w:r>
          </w:p>
        </w:tc>
        <w:tc>
          <w:tcPr>
            <w:tcW w:w="1134" w:type="dxa"/>
            <w:noWrap w:val="0"/>
            <w:vAlign w:val="center"/>
          </w:tcPr>
          <w:p w14:paraId="37EED9B3">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提升城市管理问题处置效率，改善居民舒适感</w:t>
            </w:r>
          </w:p>
        </w:tc>
        <w:tc>
          <w:tcPr>
            <w:tcW w:w="1134" w:type="dxa"/>
            <w:noWrap w:val="0"/>
            <w:vAlign w:val="center"/>
          </w:tcPr>
          <w:p w14:paraId="00C0C89D">
            <w:pPr>
              <w:widowControl/>
              <w:spacing w:line="3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有效改善</w:t>
            </w:r>
          </w:p>
        </w:tc>
        <w:tc>
          <w:tcPr>
            <w:tcW w:w="828" w:type="dxa"/>
            <w:noWrap w:val="0"/>
            <w:vAlign w:val="center"/>
          </w:tcPr>
          <w:p w14:paraId="28A2DE2B">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7</w:t>
            </w:r>
          </w:p>
        </w:tc>
        <w:tc>
          <w:tcPr>
            <w:tcW w:w="873" w:type="dxa"/>
            <w:noWrap w:val="0"/>
            <w:vAlign w:val="center"/>
          </w:tcPr>
          <w:p w14:paraId="7D39AEBE">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7</w:t>
            </w:r>
          </w:p>
        </w:tc>
        <w:tc>
          <w:tcPr>
            <w:tcW w:w="1418" w:type="dxa"/>
            <w:noWrap w:val="0"/>
            <w:vAlign w:val="center"/>
          </w:tcPr>
          <w:p w14:paraId="12B81BCF">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28BC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B726E0F">
            <w:pPr>
              <w:spacing w:line="36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3ED772FC">
            <w:pPr>
              <w:spacing w:line="360" w:lineRule="exact"/>
              <w:jc w:val="left"/>
              <w:rPr>
                <w:rFonts w:hint="eastAsia" w:ascii="仿宋_GB2312" w:hAnsi="仿宋_GB2312" w:eastAsia="仿宋_GB2312" w:cs="仿宋_GB2312"/>
                <w:color w:val="000000"/>
                <w:sz w:val="20"/>
                <w:szCs w:val="20"/>
              </w:rPr>
            </w:pPr>
          </w:p>
        </w:tc>
        <w:tc>
          <w:tcPr>
            <w:tcW w:w="1080" w:type="dxa"/>
            <w:noWrap w:val="0"/>
            <w:vAlign w:val="center"/>
          </w:tcPr>
          <w:p w14:paraId="14F45457">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社会效</w:t>
            </w:r>
          </w:p>
          <w:p w14:paraId="658B9B04">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224" w:type="dxa"/>
            <w:noWrap w:val="0"/>
            <w:vAlign w:val="center"/>
          </w:tcPr>
          <w:p w14:paraId="7F9D9D6B">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保障智慧城管平台正常运行，提升城市管理水平</w:t>
            </w:r>
          </w:p>
        </w:tc>
        <w:tc>
          <w:tcPr>
            <w:tcW w:w="1134" w:type="dxa"/>
            <w:noWrap w:val="0"/>
            <w:vAlign w:val="center"/>
          </w:tcPr>
          <w:p w14:paraId="73ED5118">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保障智慧城管平台正常运行，助力城市管理水平提升</w:t>
            </w:r>
          </w:p>
        </w:tc>
        <w:tc>
          <w:tcPr>
            <w:tcW w:w="1134" w:type="dxa"/>
            <w:noWrap w:val="0"/>
            <w:vAlign w:val="center"/>
          </w:tcPr>
          <w:p w14:paraId="6BE5D213">
            <w:pPr>
              <w:widowControl/>
              <w:spacing w:line="36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xml:space="preserve">智慧城管平台正常运行，有效助力了城市管理水平提升 </w:t>
            </w:r>
          </w:p>
        </w:tc>
        <w:tc>
          <w:tcPr>
            <w:tcW w:w="828" w:type="dxa"/>
            <w:noWrap w:val="0"/>
            <w:vAlign w:val="center"/>
          </w:tcPr>
          <w:p w14:paraId="7F438385">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8</w:t>
            </w:r>
          </w:p>
        </w:tc>
        <w:tc>
          <w:tcPr>
            <w:tcW w:w="873" w:type="dxa"/>
            <w:noWrap w:val="0"/>
            <w:vAlign w:val="center"/>
          </w:tcPr>
          <w:p w14:paraId="1CAC8FFA">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8</w:t>
            </w:r>
          </w:p>
        </w:tc>
        <w:tc>
          <w:tcPr>
            <w:tcW w:w="1418" w:type="dxa"/>
            <w:noWrap w:val="0"/>
            <w:vAlign w:val="center"/>
          </w:tcPr>
          <w:p w14:paraId="06A154B2">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4004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E7329F5">
            <w:pPr>
              <w:spacing w:line="360" w:lineRule="exact"/>
              <w:jc w:val="left"/>
              <w:rPr>
                <w:rFonts w:hint="eastAsia" w:ascii="仿宋_GB2312" w:hAnsi="仿宋_GB2312" w:eastAsia="仿宋_GB2312" w:cs="仿宋_GB2312"/>
                <w:color w:val="000000"/>
                <w:sz w:val="20"/>
                <w:szCs w:val="20"/>
              </w:rPr>
            </w:pPr>
          </w:p>
        </w:tc>
        <w:tc>
          <w:tcPr>
            <w:tcW w:w="1080" w:type="dxa"/>
            <w:vMerge w:val="continue"/>
            <w:noWrap w:val="0"/>
            <w:vAlign w:val="center"/>
          </w:tcPr>
          <w:p w14:paraId="363D8AB4">
            <w:pPr>
              <w:spacing w:line="360" w:lineRule="exact"/>
              <w:jc w:val="left"/>
              <w:rPr>
                <w:rFonts w:hint="eastAsia" w:ascii="仿宋_GB2312" w:hAnsi="仿宋_GB2312" w:eastAsia="仿宋_GB2312" w:cs="仿宋_GB2312"/>
                <w:color w:val="000000"/>
                <w:sz w:val="20"/>
                <w:szCs w:val="20"/>
              </w:rPr>
            </w:pPr>
          </w:p>
        </w:tc>
        <w:tc>
          <w:tcPr>
            <w:tcW w:w="1080" w:type="dxa"/>
            <w:noWrap w:val="0"/>
            <w:vAlign w:val="center"/>
          </w:tcPr>
          <w:p w14:paraId="3F09B8E8">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生态效</w:t>
            </w:r>
          </w:p>
          <w:p w14:paraId="2239640B">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益指标</w:t>
            </w:r>
          </w:p>
        </w:tc>
        <w:tc>
          <w:tcPr>
            <w:tcW w:w="1224" w:type="dxa"/>
            <w:noWrap w:val="0"/>
            <w:vAlign w:val="center"/>
          </w:tcPr>
          <w:p w14:paraId="3FA39554">
            <w:pPr>
              <w:widowControl/>
              <w:spacing w:line="2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保障智慧城管平台正常运行，助力城市道路污染、扬尘污染、商业噪声污染等问题管控</w:t>
            </w:r>
          </w:p>
        </w:tc>
        <w:tc>
          <w:tcPr>
            <w:tcW w:w="1134" w:type="dxa"/>
            <w:noWrap w:val="0"/>
            <w:vAlign w:val="center"/>
          </w:tcPr>
          <w:p w14:paraId="205D406C">
            <w:pPr>
              <w:widowControl/>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保障平台正常运行，助力城市道路污染、扬尘污染、商业噪声污染等问题管控</w:t>
            </w:r>
          </w:p>
        </w:tc>
        <w:tc>
          <w:tcPr>
            <w:tcW w:w="1134" w:type="dxa"/>
            <w:noWrap w:val="0"/>
            <w:vAlign w:val="center"/>
          </w:tcPr>
          <w:p w14:paraId="22917C16">
            <w:pPr>
              <w:widowControl/>
              <w:spacing w:line="2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城市生态环境不断改善</w:t>
            </w:r>
          </w:p>
        </w:tc>
        <w:tc>
          <w:tcPr>
            <w:tcW w:w="828" w:type="dxa"/>
            <w:noWrap w:val="0"/>
            <w:vAlign w:val="center"/>
          </w:tcPr>
          <w:p w14:paraId="69193521">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8</w:t>
            </w:r>
          </w:p>
        </w:tc>
        <w:tc>
          <w:tcPr>
            <w:tcW w:w="873" w:type="dxa"/>
            <w:noWrap w:val="0"/>
            <w:vAlign w:val="center"/>
          </w:tcPr>
          <w:p w14:paraId="7EF35EA4">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8</w:t>
            </w:r>
          </w:p>
        </w:tc>
        <w:tc>
          <w:tcPr>
            <w:tcW w:w="1418" w:type="dxa"/>
            <w:noWrap w:val="0"/>
            <w:vAlign w:val="center"/>
          </w:tcPr>
          <w:p w14:paraId="4B77E808">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2B2E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9E4552D">
            <w:pPr>
              <w:widowControl/>
              <w:spacing w:line="360" w:lineRule="exact"/>
              <w:jc w:val="center"/>
              <w:rPr>
                <w:rFonts w:hint="eastAsia" w:ascii="仿宋_GB2312" w:hAnsi="仿宋_GB2312" w:eastAsia="仿宋_GB2312" w:cs="仿宋_GB2312"/>
                <w:color w:val="000000"/>
                <w:sz w:val="20"/>
                <w:szCs w:val="20"/>
              </w:rPr>
            </w:pPr>
          </w:p>
        </w:tc>
        <w:tc>
          <w:tcPr>
            <w:tcW w:w="1080" w:type="dxa"/>
            <w:vMerge w:val="continue"/>
            <w:noWrap w:val="0"/>
            <w:vAlign w:val="center"/>
          </w:tcPr>
          <w:p w14:paraId="70E4D620">
            <w:pPr>
              <w:widowControl/>
              <w:spacing w:line="360" w:lineRule="exact"/>
              <w:jc w:val="left"/>
              <w:rPr>
                <w:rFonts w:hint="eastAsia" w:ascii="仿宋_GB2312" w:hAnsi="仿宋_GB2312" w:eastAsia="仿宋_GB2312" w:cs="仿宋_GB2312"/>
                <w:color w:val="000000"/>
                <w:sz w:val="20"/>
                <w:szCs w:val="20"/>
              </w:rPr>
            </w:pPr>
          </w:p>
        </w:tc>
        <w:tc>
          <w:tcPr>
            <w:tcW w:w="1080" w:type="dxa"/>
            <w:noWrap w:val="0"/>
            <w:vAlign w:val="center"/>
          </w:tcPr>
          <w:p w14:paraId="7024FD69">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可持续影响指标</w:t>
            </w:r>
          </w:p>
        </w:tc>
        <w:tc>
          <w:tcPr>
            <w:tcW w:w="1224" w:type="dxa"/>
            <w:noWrap w:val="0"/>
            <w:vAlign w:val="center"/>
          </w:tcPr>
          <w:p w14:paraId="3BDA58D7">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提升城市管理水平</w:t>
            </w:r>
          </w:p>
        </w:tc>
        <w:tc>
          <w:tcPr>
            <w:tcW w:w="1134" w:type="dxa"/>
            <w:noWrap w:val="0"/>
            <w:vAlign w:val="center"/>
          </w:tcPr>
          <w:p w14:paraId="0C6CEF65">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有持续性</w:t>
            </w:r>
          </w:p>
        </w:tc>
        <w:tc>
          <w:tcPr>
            <w:tcW w:w="1134" w:type="dxa"/>
            <w:noWrap w:val="0"/>
            <w:vAlign w:val="center"/>
          </w:tcPr>
          <w:p w14:paraId="0D5FC42E">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不断提升城市管理水平</w:t>
            </w:r>
          </w:p>
        </w:tc>
        <w:tc>
          <w:tcPr>
            <w:tcW w:w="828" w:type="dxa"/>
            <w:noWrap w:val="0"/>
            <w:vAlign w:val="center"/>
          </w:tcPr>
          <w:p w14:paraId="5968FBB8">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7</w:t>
            </w:r>
          </w:p>
        </w:tc>
        <w:tc>
          <w:tcPr>
            <w:tcW w:w="873" w:type="dxa"/>
            <w:noWrap w:val="0"/>
            <w:vAlign w:val="center"/>
          </w:tcPr>
          <w:p w14:paraId="0D4A04D9">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7</w:t>
            </w:r>
          </w:p>
        </w:tc>
        <w:tc>
          <w:tcPr>
            <w:tcW w:w="1418" w:type="dxa"/>
            <w:noWrap w:val="0"/>
            <w:vAlign w:val="center"/>
          </w:tcPr>
          <w:p w14:paraId="515A321E">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7CCD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E05D210">
            <w:pPr>
              <w:spacing w:line="360" w:lineRule="exact"/>
              <w:jc w:val="left"/>
              <w:rPr>
                <w:rFonts w:hint="eastAsia" w:ascii="仿宋_GB2312" w:hAnsi="仿宋_GB2312" w:eastAsia="仿宋_GB2312" w:cs="仿宋_GB2312"/>
                <w:color w:val="000000"/>
                <w:sz w:val="20"/>
                <w:szCs w:val="20"/>
              </w:rPr>
            </w:pPr>
          </w:p>
        </w:tc>
        <w:tc>
          <w:tcPr>
            <w:tcW w:w="1080" w:type="dxa"/>
            <w:noWrap w:val="0"/>
            <w:vAlign w:val="center"/>
          </w:tcPr>
          <w:p w14:paraId="32ABA296">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满意度</w:t>
            </w:r>
          </w:p>
          <w:p w14:paraId="7578F7F5">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指标</w:t>
            </w:r>
          </w:p>
          <w:p w14:paraId="35EA2F60">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（10分）</w:t>
            </w:r>
          </w:p>
        </w:tc>
        <w:tc>
          <w:tcPr>
            <w:tcW w:w="1080" w:type="dxa"/>
            <w:noWrap w:val="0"/>
            <w:vAlign w:val="center"/>
          </w:tcPr>
          <w:p w14:paraId="493C4D86">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服务对象满意度指标</w:t>
            </w:r>
          </w:p>
        </w:tc>
        <w:tc>
          <w:tcPr>
            <w:tcW w:w="1224" w:type="dxa"/>
            <w:noWrap w:val="0"/>
            <w:vAlign w:val="center"/>
          </w:tcPr>
          <w:p w14:paraId="7505732C">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系统用户满意度</w:t>
            </w:r>
          </w:p>
        </w:tc>
        <w:tc>
          <w:tcPr>
            <w:tcW w:w="1134" w:type="dxa"/>
            <w:noWrap w:val="0"/>
            <w:vAlign w:val="center"/>
          </w:tcPr>
          <w:p w14:paraId="42F98A34">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绝大多数用户满意</w:t>
            </w:r>
          </w:p>
        </w:tc>
        <w:tc>
          <w:tcPr>
            <w:tcW w:w="1134" w:type="dxa"/>
            <w:noWrap w:val="0"/>
            <w:vAlign w:val="center"/>
          </w:tcPr>
          <w:p w14:paraId="52CA1780">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平台使用人员及单位均满意</w:t>
            </w:r>
          </w:p>
        </w:tc>
        <w:tc>
          <w:tcPr>
            <w:tcW w:w="828" w:type="dxa"/>
            <w:noWrap w:val="0"/>
            <w:vAlign w:val="center"/>
          </w:tcPr>
          <w:p w14:paraId="17EDDDA9">
            <w:pPr>
              <w:widowControl/>
              <w:spacing w:line="36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w:t>
            </w:r>
          </w:p>
        </w:tc>
        <w:tc>
          <w:tcPr>
            <w:tcW w:w="873" w:type="dxa"/>
            <w:noWrap w:val="0"/>
            <w:vAlign w:val="center"/>
          </w:tcPr>
          <w:p w14:paraId="7EBD98A2">
            <w:pPr>
              <w:widowControl/>
              <w:spacing w:line="360" w:lineRule="exact"/>
              <w:jc w:val="left"/>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10</w:t>
            </w:r>
          </w:p>
        </w:tc>
        <w:tc>
          <w:tcPr>
            <w:tcW w:w="1418" w:type="dxa"/>
            <w:noWrap w:val="0"/>
            <w:vAlign w:val="center"/>
          </w:tcPr>
          <w:p w14:paraId="4081F3B0">
            <w:pPr>
              <w:widowControl/>
              <w:spacing w:line="36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tc>
      </w:tr>
      <w:tr w14:paraId="0E17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6732" w:type="dxa"/>
            <w:gridSpan w:val="6"/>
            <w:noWrap w:val="0"/>
            <w:vAlign w:val="center"/>
          </w:tcPr>
          <w:p w14:paraId="5C512E24">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总分</w:t>
            </w:r>
          </w:p>
        </w:tc>
        <w:tc>
          <w:tcPr>
            <w:tcW w:w="828" w:type="dxa"/>
            <w:noWrap w:val="0"/>
            <w:vAlign w:val="center"/>
          </w:tcPr>
          <w:p w14:paraId="501CFEBB">
            <w:pPr>
              <w:widowControl/>
              <w:spacing w:line="36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p>
        </w:tc>
        <w:tc>
          <w:tcPr>
            <w:tcW w:w="873" w:type="dxa"/>
            <w:noWrap w:val="0"/>
            <w:vAlign w:val="center"/>
          </w:tcPr>
          <w:p w14:paraId="0D11274B">
            <w:pPr>
              <w:widowControl/>
              <w:spacing w:line="360" w:lineRule="exact"/>
              <w:jc w:val="center"/>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sz w:val="20"/>
                <w:szCs w:val="20"/>
              </w:rPr>
              <w:t>9</w:t>
            </w:r>
            <w:r>
              <w:rPr>
                <w:rFonts w:hint="eastAsia" w:ascii="仿宋_GB2312" w:hAnsi="仿宋_GB2312" w:eastAsia="仿宋_GB2312" w:cs="仿宋_GB2312"/>
                <w:sz w:val="20"/>
                <w:szCs w:val="20"/>
                <w:lang w:val="en-US" w:eastAsia="zh-CN"/>
              </w:rPr>
              <w:t>8</w:t>
            </w:r>
            <w:bookmarkStart w:id="0" w:name="_GoBack"/>
            <w:bookmarkEnd w:id="0"/>
          </w:p>
        </w:tc>
        <w:tc>
          <w:tcPr>
            <w:tcW w:w="1418" w:type="dxa"/>
            <w:noWrap w:val="0"/>
            <w:vAlign w:val="center"/>
          </w:tcPr>
          <w:p w14:paraId="283F74DA">
            <w:pPr>
              <w:widowControl/>
              <w:spacing w:line="360" w:lineRule="exact"/>
              <w:jc w:val="center"/>
              <w:rPr>
                <w:rFonts w:hint="eastAsia" w:ascii="仿宋_GB2312" w:hAnsi="仿宋_GB2312" w:eastAsia="仿宋_GB2312" w:cs="仿宋_GB2312"/>
                <w:color w:val="000000"/>
                <w:sz w:val="20"/>
                <w:szCs w:val="20"/>
              </w:rPr>
            </w:pPr>
          </w:p>
        </w:tc>
      </w:tr>
    </w:tbl>
    <w:p w14:paraId="6267FBAD">
      <w:pPr>
        <w:rPr>
          <w:rFonts w:ascii="Times New Roman" w:hAnsi="Times New Roman" w:eastAsia="仿宋_GB2312"/>
          <w:sz w:val="18"/>
          <w:szCs w:val="18"/>
        </w:rPr>
      </w:pPr>
    </w:p>
    <w:p w14:paraId="389756EF">
      <w:pPr>
        <w:spacing w:line="520" w:lineRule="exac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填表人：禹荣</w:t>
      </w:r>
      <w:r>
        <w:rPr>
          <w:rFonts w:hint="eastAsia" w:ascii="仿宋_GB2312" w:hAnsi="仿宋_GB2312" w:eastAsia="仿宋_GB2312" w:cs="仿宋_GB2312"/>
          <w:sz w:val="22"/>
          <w:szCs w:val="22"/>
          <w:lang w:val="en"/>
        </w:rPr>
        <w:t xml:space="preserve"> </w:t>
      </w:r>
      <w:r>
        <w:rPr>
          <w:rFonts w:hint="eastAsia" w:ascii="仿宋_GB2312" w:hAnsi="仿宋_GB2312" w:eastAsia="仿宋_GB2312" w:cs="仿宋_GB2312"/>
          <w:sz w:val="22"/>
          <w:szCs w:val="22"/>
        </w:rPr>
        <w:t xml:space="preserve"> 填报日期：2026.6.23 联系电话：0730-8690022  单位负责人：</w:t>
      </w:r>
    </w:p>
    <w:p w14:paraId="29A25E41">
      <w:pPr>
        <w:widowControl/>
        <w:spacing w:line="600" w:lineRule="exact"/>
        <w:jc w:val="left"/>
        <w:rPr>
          <w:rFonts w:hint="eastAsia" w:ascii="黑体" w:hAnsi="黑体" w:eastAsia="黑体" w:cs="黑体"/>
          <w:sz w:val="32"/>
          <w:szCs w:val="32"/>
        </w:rPr>
      </w:pPr>
    </w:p>
    <w:p w14:paraId="32400F4E">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w:t>
      </w:r>
      <w:r>
        <w:rPr>
          <w:rFonts w:hint="default" w:ascii="黑体" w:hAnsi="黑体" w:eastAsia="黑体" w:cs="黑体"/>
          <w:sz w:val="32"/>
          <w:szCs w:val="32"/>
          <w:highlight w:val="none"/>
          <w:lang w:val="en-US" w:eastAsia="zh-CN"/>
        </w:rPr>
        <w:t>6</w:t>
      </w:r>
    </w:p>
    <w:p w14:paraId="20ACE4B9">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73B3408A">
      <w:pPr>
        <w:pStyle w:val="4"/>
        <w:rPr>
          <w:rFonts w:hint="eastAsia"/>
        </w:rPr>
      </w:pP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7DA15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9C985F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6B96398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noWrap w:val="0"/>
            <w:vAlign w:val="center"/>
          </w:tcPr>
          <w:p w14:paraId="67AC97A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lang w:eastAsia="zh-CN"/>
              </w:rPr>
              <w:t>设备运行</w:t>
            </w:r>
            <w:r>
              <w:rPr>
                <w:rFonts w:hint="eastAsia" w:ascii="仿宋_GB2312" w:hAnsi="仿宋_GB2312" w:eastAsia="仿宋_GB2312" w:cs="仿宋_GB2312"/>
                <w:sz w:val="20"/>
                <w:szCs w:val="20"/>
                <w:lang w:val="en" w:eastAsia="zh-CN"/>
              </w:rPr>
              <w:t>及办公用</w:t>
            </w:r>
            <w:r>
              <w:rPr>
                <w:rFonts w:hint="eastAsia" w:ascii="仿宋_GB2312" w:hAnsi="仿宋_GB2312" w:eastAsia="仿宋_GB2312" w:cs="仿宋_GB2312"/>
                <w:sz w:val="20"/>
                <w:szCs w:val="20"/>
                <w:lang w:eastAsia="zh-CN"/>
              </w:rPr>
              <w:t>电费</w:t>
            </w:r>
            <w:r>
              <w:rPr>
                <w:rFonts w:hint="eastAsia" w:ascii="仿宋_GB2312" w:hAnsi="仿宋_GB2312" w:eastAsia="仿宋_GB2312" w:cs="仿宋_GB2312"/>
                <w:color w:val="000000"/>
                <w:sz w:val="20"/>
                <w:szCs w:val="20"/>
                <w:highlight w:val="none"/>
              </w:rPr>
              <w:t>　</w:t>
            </w:r>
          </w:p>
        </w:tc>
      </w:tr>
      <w:tr w14:paraId="1519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80" w:type="dxa"/>
            <w:noWrap w:val="0"/>
            <w:vAlign w:val="center"/>
          </w:tcPr>
          <w:p w14:paraId="45613A2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noWrap w:val="0"/>
            <w:vAlign w:val="center"/>
          </w:tcPr>
          <w:p w14:paraId="2E3AE3D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lang w:val="en-US" w:eastAsia="zh-CN"/>
              </w:rPr>
              <w:t>岳阳市城市管理和综合执法局</w:t>
            </w:r>
          </w:p>
        </w:tc>
        <w:tc>
          <w:tcPr>
            <w:tcW w:w="1134" w:type="dxa"/>
            <w:noWrap w:val="0"/>
            <w:vAlign w:val="center"/>
          </w:tcPr>
          <w:p w14:paraId="24D0149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实施单位</w:t>
            </w:r>
          </w:p>
        </w:tc>
        <w:tc>
          <w:tcPr>
            <w:tcW w:w="3119" w:type="dxa"/>
            <w:gridSpan w:val="3"/>
            <w:noWrap w:val="0"/>
            <w:vAlign w:val="center"/>
          </w:tcPr>
          <w:p w14:paraId="6B4CBF3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　岳阳市智慧城管指挥中心</w:t>
            </w:r>
          </w:p>
        </w:tc>
      </w:tr>
      <w:tr w14:paraId="1CDD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2D3A784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noWrap w:val="0"/>
            <w:vAlign w:val="center"/>
          </w:tcPr>
          <w:p w14:paraId="3E42C31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noWrap w:val="0"/>
            <w:vAlign w:val="center"/>
          </w:tcPr>
          <w:p w14:paraId="5FE70DE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4D08F2A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noWrap w:val="0"/>
            <w:vAlign w:val="center"/>
          </w:tcPr>
          <w:p w14:paraId="719525A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74BCC8C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noWrap w:val="0"/>
            <w:vAlign w:val="center"/>
          </w:tcPr>
          <w:p w14:paraId="2E75489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37A8B9C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noWrap w:val="0"/>
            <w:vAlign w:val="center"/>
          </w:tcPr>
          <w:p w14:paraId="7218D59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noWrap w:val="0"/>
            <w:vAlign w:val="center"/>
          </w:tcPr>
          <w:p w14:paraId="0020083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noWrap w:val="0"/>
            <w:vAlign w:val="center"/>
          </w:tcPr>
          <w:p w14:paraId="52F9564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717B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080" w:type="dxa"/>
            <w:vMerge w:val="continue"/>
            <w:noWrap w:val="0"/>
            <w:vAlign w:val="center"/>
          </w:tcPr>
          <w:p w14:paraId="1C78C04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449922B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noWrap w:val="0"/>
            <w:vAlign w:val="center"/>
          </w:tcPr>
          <w:p w14:paraId="2346A6A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23.6</w:t>
            </w:r>
          </w:p>
        </w:tc>
        <w:tc>
          <w:tcPr>
            <w:tcW w:w="1134" w:type="dxa"/>
            <w:noWrap w:val="0"/>
            <w:vAlign w:val="center"/>
          </w:tcPr>
          <w:p w14:paraId="4625F8E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23.6</w:t>
            </w:r>
          </w:p>
        </w:tc>
        <w:tc>
          <w:tcPr>
            <w:tcW w:w="1134" w:type="dxa"/>
            <w:noWrap w:val="0"/>
            <w:vAlign w:val="center"/>
          </w:tcPr>
          <w:p w14:paraId="0D7E614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23.6</w:t>
            </w:r>
          </w:p>
        </w:tc>
        <w:tc>
          <w:tcPr>
            <w:tcW w:w="828" w:type="dxa"/>
            <w:noWrap w:val="0"/>
            <w:vAlign w:val="center"/>
          </w:tcPr>
          <w:p w14:paraId="3E44DC1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noWrap w:val="0"/>
            <w:vAlign w:val="center"/>
          </w:tcPr>
          <w:p w14:paraId="2FA79CE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418" w:type="dxa"/>
            <w:noWrap w:val="0"/>
            <w:vAlign w:val="center"/>
          </w:tcPr>
          <w:p w14:paraId="1C790F4D">
            <w:pPr>
              <w:keepNext w:val="0"/>
              <w:keepLines w:val="0"/>
              <w:pageBreakBefore w:val="0"/>
              <w:widowControl/>
              <w:kinsoku/>
              <w:wordWrap/>
              <w:overflowPunct/>
              <w:topLinePunct w:val="0"/>
              <w:autoSpaceDE/>
              <w:autoSpaceDN/>
              <w:bidi w:val="0"/>
              <w:adjustRightInd/>
              <w:snapToGrid/>
              <w:spacing w:line="3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r>
      <w:tr w14:paraId="7D3F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80" w:type="dxa"/>
            <w:vMerge w:val="continue"/>
            <w:noWrap w:val="0"/>
            <w:vAlign w:val="center"/>
          </w:tcPr>
          <w:p w14:paraId="5019BE6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00B4656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noWrap w:val="0"/>
            <w:vAlign w:val="center"/>
          </w:tcPr>
          <w:p w14:paraId="36D9744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23.6</w:t>
            </w:r>
          </w:p>
        </w:tc>
        <w:tc>
          <w:tcPr>
            <w:tcW w:w="1134" w:type="dxa"/>
            <w:noWrap w:val="0"/>
            <w:vAlign w:val="center"/>
          </w:tcPr>
          <w:p w14:paraId="69162C3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23.6</w:t>
            </w:r>
          </w:p>
        </w:tc>
        <w:tc>
          <w:tcPr>
            <w:tcW w:w="1134" w:type="dxa"/>
            <w:noWrap w:val="0"/>
            <w:vAlign w:val="center"/>
          </w:tcPr>
          <w:p w14:paraId="7C8E568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23.6</w:t>
            </w:r>
          </w:p>
        </w:tc>
        <w:tc>
          <w:tcPr>
            <w:tcW w:w="828" w:type="dxa"/>
            <w:noWrap w:val="0"/>
            <w:vAlign w:val="center"/>
          </w:tcPr>
          <w:p w14:paraId="2AEF805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noWrap w:val="0"/>
            <w:vAlign w:val="center"/>
          </w:tcPr>
          <w:p w14:paraId="17E5212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noWrap w:val="0"/>
            <w:vAlign w:val="center"/>
          </w:tcPr>
          <w:p w14:paraId="6220F0B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A40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FB2B7E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40556BBC">
            <w:pPr>
              <w:keepNext w:val="0"/>
              <w:keepLines w:val="0"/>
              <w:pageBreakBefore w:val="0"/>
              <w:widowControl/>
              <w:kinsoku/>
              <w:wordWrap/>
              <w:overflowPunct/>
              <w:topLinePunct w:val="0"/>
              <w:autoSpaceDE/>
              <w:autoSpaceDN/>
              <w:bidi w:val="0"/>
              <w:adjustRightInd/>
              <w:snapToGrid/>
              <w:spacing w:line="3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noWrap w:val="0"/>
            <w:vAlign w:val="center"/>
          </w:tcPr>
          <w:p w14:paraId="59A8690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noWrap w:val="0"/>
            <w:vAlign w:val="center"/>
          </w:tcPr>
          <w:p w14:paraId="06D8D6B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noWrap w:val="0"/>
            <w:vAlign w:val="center"/>
          </w:tcPr>
          <w:p w14:paraId="2209AF3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noWrap w:val="0"/>
            <w:vAlign w:val="center"/>
          </w:tcPr>
          <w:p w14:paraId="0F1EC7A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noWrap w:val="0"/>
            <w:vAlign w:val="center"/>
          </w:tcPr>
          <w:p w14:paraId="55EF832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noWrap w:val="0"/>
            <w:vAlign w:val="center"/>
          </w:tcPr>
          <w:p w14:paraId="0E921FA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5F0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561098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noWrap w:val="0"/>
            <w:vAlign w:val="center"/>
          </w:tcPr>
          <w:p w14:paraId="59934752">
            <w:pPr>
              <w:keepNext w:val="0"/>
              <w:keepLines w:val="0"/>
              <w:pageBreakBefore w:val="0"/>
              <w:widowControl/>
              <w:kinsoku/>
              <w:wordWrap/>
              <w:overflowPunct/>
              <w:topLinePunct w:val="0"/>
              <w:autoSpaceDE/>
              <w:autoSpaceDN/>
              <w:bidi w:val="0"/>
              <w:adjustRightInd/>
              <w:snapToGrid/>
              <w:spacing w:line="3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noWrap w:val="0"/>
            <w:vAlign w:val="center"/>
          </w:tcPr>
          <w:p w14:paraId="50A3666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noWrap w:val="0"/>
            <w:vAlign w:val="center"/>
          </w:tcPr>
          <w:p w14:paraId="16F8069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noWrap w:val="0"/>
            <w:vAlign w:val="center"/>
          </w:tcPr>
          <w:p w14:paraId="2250B9A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noWrap w:val="0"/>
            <w:vAlign w:val="center"/>
          </w:tcPr>
          <w:p w14:paraId="2725215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noWrap w:val="0"/>
            <w:vAlign w:val="center"/>
          </w:tcPr>
          <w:p w14:paraId="7335287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noWrap w:val="0"/>
            <w:vAlign w:val="center"/>
          </w:tcPr>
          <w:p w14:paraId="4D30084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D79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080" w:type="dxa"/>
            <w:vMerge w:val="restart"/>
            <w:noWrap w:val="0"/>
            <w:vAlign w:val="center"/>
          </w:tcPr>
          <w:p w14:paraId="5788E76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noWrap w:val="0"/>
            <w:vAlign w:val="center"/>
          </w:tcPr>
          <w:p w14:paraId="69CBF7D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noWrap w:val="0"/>
            <w:vAlign w:val="center"/>
          </w:tcPr>
          <w:p w14:paraId="79C55F3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1161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080" w:type="dxa"/>
            <w:vMerge w:val="continue"/>
            <w:noWrap w:val="0"/>
            <w:vAlign w:val="center"/>
          </w:tcPr>
          <w:p w14:paraId="32C7200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noWrap w:val="0"/>
            <w:vAlign w:val="center"/>
          </w:tcPr>
          <w:p w14:paraId="3442621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 xml:space="preserve">    </w:t>
            </w:r>
            <w:r>
              <w:rPr>
                <w:rFonts w:hint="eastAsia" w:ascii="仿宋_GB2312" w:hAnsi="仿宋_GB2312" w:eastAsia="仿宋_GB2312" w:cs="仿宋_GB2312"/>
                <w:color w:val="000000"/>
                <w:sz w:val="20"/>
                <w:szCs w:val="20"/>
                <w:highlight w:val="none"/>
              </w:rPr>
              <w:t>保障无线数据采集、呼叫中心监督受理、大屏幕监督指挥系统等智慧城管系统及</w:t>
            </w:r>
            <w:r>
              <w:rPr>
                <w:rFonts w:hint="eastAsia" w:ascii="仿宋_GB2312" w:hAnsi="仿宋_GB2312" w:eastAsia="仿宋_GB2312" w:cs="仿宋_GB2312"/>
                <w:color w:val="000000"/>
                <w:sz w:val="20"/>
                <w:szCs w:val="20"/>
                <w:highlight w:val="none"/>
                <w:lang w:eastAsia="zh-CN"/>
              </w:rPr>
              <w:t>业务</w:t>
            </w:r>
            <w:r>
              <w:rPr>
                <w:rFonts w:hint="eastAsia" w:ascii="仿宋_GB2312" w:hAnsi="仿宋_GB2312" w:eastAsia="仿宋_GB2312" w:cs="仿宋_GB2312"/>
                <w:color w:val="000000"/>
                <w:sz w:val="20"/>
                <w:szCs w:val="20"/>
                <w:highlight w:val="none"/>
              </w:rPr>
              <w:t>办公正常运行。　</w:t>
            </w:r>
          </w:p>
        </w:tc>
        <w:tc>
          <w:tcPr>
            <w:tcW w:w="4253" w:type="dxa"/>
            <w:gridSpan w:val="4"/>
            <w:noWrap w:val="0"/>
            <w:vAlign w:val="center"/>
          </w:tcPr>
          <w:p w14:paraId="07502CD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各类</w:t>
            </w:r>
            <w:r>
              <w:rPr>
                <w:rFonts w:hint="eastAsia" w:ascii="仿宋_GB2312" w:hAnsi="仿宋_GB2312" w:eastAsia="仿宋_GB2312" w:cs="仿宋_GB2312"/>
                <w:color w:val="000000"/>
                <w:sz w:val="20"/>
                <w:szCs w:val="20"/>
                <w:highlight w:val="none"/>
              </w:rPr>
              <w:t>设备用电正常，系统</w:t>
            </w:r>
            <w:r>
              <w:rPr>
                <w:rFonts w:hint="eastAsia" w:ascii="仿宋_GB2312" w:hAnsi="仿宋_GB2312" w:eastAsia="仿宋_GB2312" w:cs="仿宋_GB2312"/>
                <w:color w:val="000000"/>
                <w:sz w:val="20"/>
                <w:szCs w:val="20"/>
                <w:highlight w:val="none"/>
                <w:lang w:eastAsia="zh-CN"/>
              </w:rPr>
              <w:t>常年</w:t>
            </w:r>
            <w:r>
              <w:rPr>
                <w:rFonts w:hint="eastAsia" w:ascii="仿宋_GB2312" w:hAnsi="仿宋_GB2312" w:eastAsia="仿宋_GB2312" w:cs="仿宋_GB2312"/>
                <w:color w:val="000000"/>
                <w:sz w:val="20"/>
                <w:szCs w:val="20"/>
                <w:highlight w:val="none"/>
              </w:rPr>
              <w:t>正常运转</w:t>
            </w:r>
            <w:r>
              <w:rPr>
                <w:rFonts w:hint="eastAsia" w:ascii="仿宋_GB2312" w:hAnsi="仿宋_GB2312" w:eastAsia="仿宋_GB2312" w:cs="仿宋_GB2312"/>
                <w:color w:val="000000"/>
                <w:sz w:val="20"/>
                <w:szCs w:val="20"/>
                <w:highlight w:val="none"/>
                <w:lang w:eastAsia="zh-CN"/>
              </w:rPr>
              <w:t>，业务工作顺利开展。</w:t>
            </w:r>
          </w:p>
        </w:tc>
      </w:tr>
      <w:tr w14:paraId="6249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noWrap w:val="0"/>
            <w:vAlign w:val="center"/>
          </w:tcPr>
          <w:p w14:paraId="0B93E26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53CCAE3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7E09256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7B8F5E1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noWrap w:val="0"/>
            <w:vAlign w:val="center"/>
          </w:tcPr>
          <w:p w14:paraId="286411C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noWrap w:val="0"/>
            <w:vAlign w:val="center"/>
          </w:tcPr>
          <w:p w14:paraId="41A09AB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noWrap w:val="0"/>
            <w:vAlign w:val="center"/>
          </w:tcPr>
          <w:p w14:paraId="2544FC2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noWrap w:val="0"/>
            <w:vAlign w:val="center"/>
          </w:tcPr>
          <w:p w14:paraId="7991BEA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450AC4E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noWrap w:val="0"/>
            <w:vAlign w:val="center"/>
          </w:tcPr>
          <w:p w14:paraId="4EB852A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3EC0CE1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noWrap w:val="0"/>
            <w:vAlign w:val="center"/>
          </w:tcPr>
          <w:p w14:paraId="07CC83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noWrap w:val="0"/>
            <w:vAlign w:val="center"/>
          </w:tcPr>
          <w:p w14:paraId="1408524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noWrap w:val="0"/>
            <w:vAlign w:val="center"/>
          </w:tcPr>
          <w:p w14:paraId="5082EA33">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36EC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B24C24C">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3DDC787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1EBCEB8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p w14:paraId="21AAA1C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noWrap w:val="0"/>
            <w:vAlign w:val="center"/>
          </w:tcPr>
          <w:p w14:paraId="3705BFF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noWrap w:val="0"/>
            <w:vAlign w:val="center"/>
          </w:tcPr>
          <w:p w14:paraId="75021E7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设备年度用电度数</w:t>
            </w:r>
          </w:p>
        </w:tc>
        <w:tc>
          <w:tcPr>
            <w:tcW w:w="1134" w:type="dxa"/>
            <w:noWrap w:val="0"/>
            <w:vAlign w:val="center"/>
          </w:tcPr>
          <w:p w14:paraId="37C657E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约40KWH</w:t>
            </w:r>
          </w:p>
        </w:tc>
        <w:tc>
          <w:tcPr>
            <w:tcW w:w="1134" w:type="dxa"/>
            <w:noWrap w:val="0"/>
            <w:vAlign w:val="center"/>
          </w:tcPr>
          <w:p w14:paraId="4C4D541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设备全年正常用电</w:t>
            </w:r>
          </w:p>
        </w:tc>
        <w:tc>
          <w:tcPr>
            <w:tcW w:w="828" w:type="dxa"/>
            <w:noWrap w:val="0"/>
            <w:vAlign w:val="center"/>
          </w:tcPr>
          <w:p w14:paraId="64ED6EC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1D19A36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156CCF0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9BB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080" w:type="dxa"/>
            <w:vMerge w:val="continue"/>
            <w:noWrap w:val="0"/>
            <w:vAlign w:val="center"/>
          </w:tcPr>
          <w:p w14:paraId="37FE89F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60BFE6B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4E0F40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785C19D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正常运行设备</w:t>
            </w:r>
          </w:p>
        </w:tc>
        <w:tc>
          <w:tcPr>
            <w:tcW w:w="1134" w:type="dxa"/>
            <w:noWrap w:val="0"/>
            <w:vAlign w:val="center"/>
          </w:tcPr>
          <w:p w14:paraId="3E776FA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主机房和15各终端</w:t>
            </w:r>
          </w:p>
        </w:tc>
        <w:tc>
          <w:tcPr>
            <w:tcW w:w="1134" w:type="dxa"/>
            <w:noWrap w:val="0"/>
            <w:vAlign w:val="center"/>
          </w:tcPr>
          <w:p w14:paraId="1D623A2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主机房和15各终端</w:t>
            </w:r>
          </w:p>
        </w:tc>
        <w:tc>
          <w:tcPr>
            <w:tcW w:w="828" w:type="dxa"/>
            <w:noWrap w:val="0"/>
            <w:vAlign w:val="center"/>
          </w:tcPr>
          <w:p w14:paraId="462F001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6AE0624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1AC5AAE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C9B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0D2F0D5D">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5AF21E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1455166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noWrap w:val="0"/>
            <w:vAlign w:val="center"/>
          </w:tcPr>
          <w:p w14:paraId="620DD17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保障系统正常运行</w:t>
            </w:r>
          </w:p>
        </w:tc>
        <w:tc>
          <w:tcPr>
            <w:tcW w:w="1134" w:type="dxa"/>
            <w:noWrap w:val="0"/>
            <w:vAlign w:val="center"/>
          </w:tcPr>
          <w:p w14:paraId="05D8B0C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r>
              <w:rPr>
                <w:rFonts w:hint="eastAsia" w:ascii="仿宋_GB2312" w:hAnsi="仿宋_GB2312" w:eastAsia="仿宋_GB2312" w:cs="仿宋_GB2312"/>
                <w:color w:val="000000"/>
                <w:sz w:val="20"/>
                <w:szCs w:val="20"/>
                <w:highlight w:val="none"/>
                <w:lang w:val="en-US" w:eastAsia="zh-CN"/>
              </w:rPr>
              <w:t>24小时</w:t>
            </w:r>
            <w:r>
              <w:rPr>
                <w:rFonts w:hint="eastAsia" w:ascii="仿宋_GB2312" w:hAnsi="仿宋_GB2312" w:eastAsia="仿宋_GB2312" w:cs="仿宋_GB2312"/>
                <w:color w:val="000000"/>
                <w:sz w:val="20"/>
                <w:szCs w:val="20"/>
                <w:highlight w:val="none"/>
              </w:rPr>
              <w:t>供电</w:t>
            </w:r>
          </w:p>
        </w:tc>
        <w:tc>
          <w:tcPr>
            <w:tcW w:w="1134" w:type="dxa"/>
            <w:noWrap w:val="0"/>
            <w:vAlign w:val="center"/>
          </w:tcPr>
          <w:p w14:paraId="41EB593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全年</w:t>
            </w:r>
            <w:r>
              <w:rPr>
                <w:rFonts w:hint="eastAsia" w:ascii="仿宋_GB2312" w:hAnsi="仿宋_GB2312" w:eastAsia="仿宋_GB2312" w:cs="仿宋_GB2312"/>
                <w:color w:val="000000"/>
                <w:sz w:val="20"/>
                <w:szCs w:val="20"/>
                <w:highlight w:val="none"/>
                <w:lang w:val="en-US" w:eastAsia="zh-CN"/>
              </w:rPr>
              <w:t>24小时</w:t>
            </w:r>
            <w:r>
              <w:rPr>
                <w:rFonts w:hint="eastAsia" w:ascii="仿宋_GB2312" w:hAnsi="仿宋_GB2312" w:eastAsia="仿宋_GB2312" w:cs="仿宋_GB2312"/>
                <w:color w:val="000000"/>
                <w:sz w:val="20"/>
                <w:szCs w:val="20"/>
                <w:highlight w:val="none"/>
              </w:rPr>
              <w:t>供电</w:t>
            </w:r>
          </w:p>
        </w:tc>
        <w:tc>
          <w:tcPr>
            <w:tcW w:w="828" w:type="dxa"/>
            <w:noWrap w:val="0"/>
            <w:vAlign w:val="center"/>
          </w:tcPr>
          <w:p w14:paraId="2F40DD4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0B3969E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2166766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64C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3EB54A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8E3DEB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B1377A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110B109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用电安全</w:t>
            </w:r>
          </w:p>
        </w:tc>
        <w:tc>
          <w:tcPr>
            <w:tcW w:w="1134" w:type="dxa"/>
            <w:noWrap w:val="0"/>
            <w:vAlign w:val="center"/>
          </w:tcPr>
          <w:p w14:paraId="09697DB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无安全事故</w:t>
            </w:r>
          </w:p>
        </w:tc>
        <w:tc>
          <w:tcPr>
            <w:tcW w:w="1134" w:type="dxa"/>
            <w:noWrap w:val="0"/>
            <w:vAlign w:val="center"/>
          </w:tcPr>
          <w:p w14:paraId="5E1DC6D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无安全事故</w:t>
            </w:r>
          </w:p>
        </w:tc>
        <w:tc>
          <w:tcPr>
            <w:tcW w:w="828" w:type="dxa"/>
            <w:noWrap w:val="0"/>
            <w:vAlign w:val="center"/>
          </w:tcPr>
          <w:p w14:paraId="067F563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6001C70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1EAD8CE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08F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0B5EE0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403DCB9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0431849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noWrap w:val="0"/>
            <w:vAlign w:val="center"/>
          </w:tcPr>
          <w:p w14:paraId="2C71525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保障资金到位率，保系统正常运行</w:t>
            </w:r>
          </w:p>
        </w:tc>
        <w:tc>
          <w:tcPr>
            <w:tcW w:w="1134" w:type="dxa"/>
            <w:noWrap w:val="0"/>
            <w:vAlign w:val="center"/>
          </w:tcPr>
          <w:p w14:paraId="4CC28FF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按月支付费用</w:t>
            </w:r>
          </w:p>
        </w:tc>
        <w:tc>
          <w:tcPr>
            <w:tcW w:w="1134" w:type="dxa"/>
            <w:noWrap w:val="0"/>
            <w:vAlign w:val="center"/>
          </w:tcPr>
          <w:p w14:paraId="57CCA2D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均及时完成</w:t>
            </w:r>
          </w:p>
        </w:tc>
        <w:tc>
          <w:tcPr>
            <w:tcW w:w="828" w:type="dxa"/>
            <w:noWrap w:val="0"/>
            <w:vAlign w:val="center"/>
          </w:tcPr>
          <w:p w14:paraId="151111D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6991E1F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17D457C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E4E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F59D29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4C2CFF7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54D14DD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1FD296A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按工作计划实施</w:t>
            </w:r>
          </w:p>
        </w:tc>
        <w:tc>
          <w:tcPr>
            <w:tcW w:w="1134" w:type="dxa"/>
            <w:noWrap w:val="0"/>
            <w:vAlign w:val="center"/>
          </w:tcPr>
          <w:p w14:paraId="142A2A3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2024年12月31日前</w:t>
            </w:r>
          </w:p>
        </w:tc>
        <w:tc>
          <w:tcPr>
            <w:tcW w:w="1134" w:type="dxa"/>
            <w:noWrap w:val="0"/>
            <w:vAlign w:val="center"/>
          </w:tcPr>
          <w:p w14:paraId="3C1BEFF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如期完成</w:t>
            </w:r>
          </w:p>
        </w:tc>
        <w:tc>
          <w:tcPr>
            <w:tcW w:w="828" w:type="dxa"/>
            <w:noWrap w:val="0"/>
            <w:vAlign w:val="center"/>
          </w:tcPr>
          <w:p w14:paraId="3932773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16CCA91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2124257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FE2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080" w:type="dxa"/>
            <w:vMerge w:val="continue"/>
            <w:noWrap w:val="0"/>
            <w:vAlign w:val="center"/>
          </w:tcPr>
          <w:p w14:paraId="1E468D4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C6CF95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752C66F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noWrap w:val="0"/>
            <w:vAlign w:val="center"/>
          </w:tcPr>
          <w:p w14:paraId="5EFC837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设备用电成本</w:t>
            </w:r>
          </w:p>
        </w:tc>
        <w:tc>
          <w:tcPr>
            <w:tcW w:w="1134" w:type="dxa"/>
            <w:noWrap w:val="0"/>
            <w:vAlign w:val="center"/>
          </w:tcPr>
          <w:p w14:paraId="6CC74CD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32万元</w:t>
            </w:r>
          </w:p>
        </w:tc>
        <w:tc>
          <w:tcPr>
            <w:tcW w:w="1134" w:type="dxa"/>
            <w:noWrap w:val="0"/>
            <w:vAlign w:val="center"/>
          </w:tcPr>
          <w:p w14:paraId="7B5B9F2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未超预算</w:t>
            </w:r>
          </w:p>
        </w:tc>
        <w:tc>
          <w:tcPr>
            <w:tcW w:w="828" w:type="dxa"/>
            <w:noWrap w:val="0"/>
            <w:vAlign w:val="center"/>
          </w:tcPr>
          <w:p w14:paraId="1393D7C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w:t>
            </w:r>
          </w:p>
        </w:tc>
        <w:tc>
          <w:tcPr>
            <w:tcW w:w="873" w:type="dxa"/>
            <w:noWrap w:val="0"/>
            <w:vAlign w:val="center"/>
          </w:tcPr>
          <w:p w14:paraId="58A750D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w:t>
            </w:r>
          </w:p>
        </w:tc>
        <w:tc>
          <w:tcPr>
            <w:tcW w:w="1418" w:type="dxa"/>
            <w:noWrap w:val="0"/>
            <w:vAlign w:val="center"/>
          </w:tcPr>
          <w:p w14:paraId="50CEC6C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C34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4166333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3C480287">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4E7C82B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37D3626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对自然生态环境造成的负面影响</w:t>
            </w:r>
          </w:p>
        </w:tc>
        <w:tc>
          <w:tcPr>
            <w:tcW w:w="1134" w:type="dxa"/>
            <w:noWrap w:val="0"/>
            <w:vAlign w:val="center"/>
          </w:tcPr>
          <w:p w14:paraId="38FAECB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1134" w:type="dxa"/>
            <w:noWrap w:val="0"/>
            <w:vAlign w:val="center"/>
          </w:tcPr>
          <w:p w14:paraId="689C12B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828" w:type="dxa"/>
            <w:noWrap w:val="0"/>
            <w:vAlign w:val="center"/>
          </w:tcPr>
          <w:p w14:paraId="5FC52EA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73" w:type="dxa"/>
            <w:noWrap w:val="0"/>
            <w:vAlign w:val="center"/>
          </w:tcPr>
          <w:p w14:paraId="5558851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18" w:type="dxa"/>
            <w:noWrap w:val="0"/>
            <w:vAlign w:val="center"/>
          </w:tcPr>
          <w:p w14:paraId="44D65C0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rPr>
            </w:pPr>
          </w:p>
        </w:tc>
      </w:tr>
      <w:tr w14:paraId="3798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6EB572D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76C521E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31AAD6C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2854C1E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对社会发展可能造成的负面影响</w:t>
            </w:r>
          </w:p>
        </w:tc>
        <w:tc>
          <w:tcPr>
            <w:tcW w:w="1134" w:type="dxa"/>
            <w:noWrap w:val="0"/>
            <w:vAlign w:val="center"/>
          </w:tcPr>
          <w:p w14:paraId="66B640B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1134" w:type="dxa"/>
            <w:noWrap w:val="0"/>
            <w:vAlign w:val="center"/>
          </w:tcPr>
          <w:p w14:paraId="2A2CC9B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无负面影响</w:t>
            </w:r>
          </w:p>
        </w:tc>
        <w:tc>
          <w:tcPr>
            <w:tcW w:w="828" w:type="dxa"/>
            <w:noWrap w:val="0"/>
            <w:vAlign w:val="center"/>
          </w:tcPr>
          <w:p w14:paraId="7393B7F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73" w:type="dxa"/>
            <w:noWrap w:val="0"/>
            <w:vAlign w:val="center"/>
          </w:tcPr>
          <w:p w14:paraId="58C3FEE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18" w:type="dxa"/>
            <w:noWrap w:val="0"/>
            <w:vAlign w:val="center"/>
          </w:tcPr>
          <w:p w14:paraId="12216F4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C3C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F90F66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73049E1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6BA127F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p w14:paraId="2E2DA16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4DD1124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noWrap w:val="0"/>
            <w:vAlign w:val="center"/>
          </w:tcPr>
          <w:p w14:paraId="0C1686C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5BB76A6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noWrap w:val="0"/>
            <w:vAlign w:val="center"/>
          </w:tcPr>
          <w:p w14:paraId="13862D0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不适用</w:t>
            </w:r>
          </w:p>
        </w:tc>
        <w:tc>
          <w:tcPr>
            <w:tcW w:w="1134" w:type="dxa"/>
            <w:noWrap w:val="0"/>
            <w:vAlign w:val="center"/>
          </w:tcPr>
          <w:p w14:paraId="5BB687B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不适用</w:t>
            </w:r>
          </w:p>
        </w:tc>
        <w:tc>
          <w:tcPr>
            <w:tcW w:w="1134" w:type="dxa"/>
            <w:noWrap w:val="0"/>
            <w:vAlign w:val="center"/>
          </w:tcPr>
          <w:p w14:paraId="3917186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不适用</w:t>
            </w:r>
          </w:p>
        </w:tc>
        <w:tc>
          <w:tcPr>
            <w:tcW w:w="828" w:type="dxa"/>
            <w:noWrap w:val="0"/>
            <w:vAlign w:val="center"/>
          </w:tcPr>
          <w:p w14:paraId="1012572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0</w:t>
            </w:r>
          </w:p>
        </w:tc>
        <w:tc>
          <w:tcPr>
            <w:tcW w:w="873" w:type="dxa"/>
            <w:noWrap w:val="0"/>
            <w:vAlign w:val="center"/>
          </w:tcPr>
          <w:p w14:paraId="0DA3465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0</w:t>
            </w:r>
          </w:p>
        </w:tc>
        <w:tc>
          <w:tcPr>
            <w:tcW w:w="1418" w:type="dxa"/>
            <w:noWrap w:val="0"/>
            <w:vAlign w:val="center"/>
          </w:tcPr>
          <w:p w14:paraId="7806478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C60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7574D08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5060D2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16FA8CB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23E0150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noWrap w:val="0"/>
            <w:vAlign w:val="center"/>
          </w:tcPr>
          <w:p w14:paraId="7A1D42C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提高城市管理水平</w:t>
            </w:r>
          </w:p>
        </w:tc>
        <w:tc>
          <w:tcPr>
            <w:tcW w:w="1134" w:type="dxa"/>
            <w:noWrap w:val="0"/>
            <w:vAlign w:val="center"/>
          </w:tcPr>
          <w:p w14:paraId="6D6B581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提升城市管理水平</w:t>
            </w:r>
          </w:p>
        </w:tc>
        <w:tc>
          <w:tcPr>
            <w:tcW w:w="1134" w:type="dxa"/>
            <w:noWrap w:val="0"/>
            <w:vAlign w:val="center"/>
          </w:tcPr>
          <w:p w14:paraId="4602B7A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有效提升</w:t>
            </w:r>
            <w:r>
              <w:rPr>
                <w:rFonts w:hint="eastAsia" w:ascii="仿宋_GB2312" w:hAnsi="仿宋_GB2312" w:eastAsia="仿宋_GB2312" w:cs="仿宋_GB2312"/>
                <w:color w:val="000000"/>
                <w:sz w:val="20"/>
                <w:szCs w:val="20"/>
                <w:highlight w:val="none"/>
              </w:rPr>
              <w:t>　</w:t>
            </w:r>
          </w:p>
        </w:tc>
        <w:tc>
          <w:tcPr>
            <w:tcW w:w="828" w:type="dxa"/>
            <w:noWrap w:val="0"/>
            <w:vAlign w:val="center"/>
          </w:tcPr>
          <w:p w14:paraId="0EDBEDD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648D4E8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68EA5BB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200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3A460E1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143193D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0416D5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7746D7D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改善</w:t>
            </w:r>
            <w:r>
              <w:rPr>
                <w:rFonts w:hint="eastAsia" w:ascii="仿宋_GB2312" w:hAnsi="仿宋_GB2312" w:eastAsia="仿宋_GB2312" w:cs="仿宋_GB2312"/>
                <w:color w:val="000000"/>
                <w:sz w:val="20"/>
                <w:szCs w:val="20"/>
                <w:highlight w:val="none"/>
              </w:rPr>
              <w:t>辖区居民舒适</w:t>
            </w:r>
            <w:r>
              <w:rPr>
                <w:rFonts w:hint="eastAsia" w:ascii="仿宋_GB2312" w:hAnsi="仿宋_GB2312" w:eastAsia="仿宋_GB2312" w:cs="仿宋_GB2312"/>
                <w:color w:val="000000"/>
                <w:sz w:val="20"/>
                <w:szCs w:val="20"/>
                <w:highlight w:val="none"/>
                <w:lang w:eastAsia="zh-CN"/>
              </w:rPr>
              <w:t>感</w:t>
            </w:r>
          </w:p>
        </w:tc>
        <w:tc>
          <w:tcPr>
            <w:tcW w:w="1134" w:type="dxa"/>
            <w:noWrap w:val="0"/>
            <w:vAlign w:val="center"/>
          </w:tcPr>
          <w:p w14:paraId="0DE8C91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有效改善</w:t>
            </w:r>
          </w:p>
        </w:tc>
        <w:tc>
          <w:tcPr>
            <w:tcW w:w="1134" w:type="dxa"/>
            <w:noWrap w:val="0"/>
            <w:vAlign w:val="center"/>
          </w:tcPr>
          <w:p w14:paraId="2C7BFEF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有效改善</w:t>
            </w:r>
          </w:p>
        </w:tc>
        <w:tc>
          <w:tcPr>
            <w:tcW w:w="828" w:type="dxa"/>
            <w:noWrap w:val="0"/>
            <w:vAlign w:val="center"/>
          </w:tcPr>
          <w:p w14:paraId="23EE3B4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419E096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7A248B7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6C1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8FC11B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D9C450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51B2575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358EF45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noWrap w:val="0"/>
            <w:vAlign w:val="center"/>
          </w:tcPr>
          <w:p w14:paraId="4DA468D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配置低能耗设备，节约能耗</w:t>
            </w:r>
          </w:p>
        </w:tc>
        <w:tc>
          <w:tcPr>
            <w:tcW w:w="1134" w:type="dxa"/>
            <w:noWrap w:val="0"/>
            <w:vAlign w:val="center"/>
          </w:tcPr>
          <w:p w14:paraId="70CDE2D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配置低能耗设备，减少能耗造成环境影响</w:t>
            </w:r>
          </w:p>
        </w:tc>
        <w:tc>
          <w:tcPr>
            <w:tcW w:w="1134" w:type="dxa"/>
            <w:noWrap w:val="0"/>
            <w:vAlign w:val="center"/>
          </w:tcPr>
          <w:p w14:paraId="55A3DDB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有效改善</w:t>
            </w:r>
          </w:p>
        </w:tc>
        <w:tc>
          <w:tcPr>
            <w:tcW w:w="828" w:type="dxa"/>
            <w:noWrap w:val="0"/>
            <w:vAlign w:val="center"/>
          </w:tcPr>
          <w:p w14:paraId="5827A34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3F33ECE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noWrap w:val="0"/>
            <w:vAlign w:val="center"/>
          </w:tcPr>
          <w:p w14:paraId="2AD4874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加强设备能耗管理，节约能源。</w:t>
            </w:r>
          </w:p>
        </w:tc>
      </w:tr>
      <w:tr w14:paraId="5FE2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707DC2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75E8C7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noWrap w:val="0"/>
            <w:vAlign w:val="center"/>
          </w:tcPr>
          <w:p w14:paraId="7B4EF18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noWrap w:val="0"/>
            <w:vAlign w:val="center"/>
          </w:tcPr>
          <w:p w14:paraId="4504E2D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提升工作效率</w:t>
            </w:r>
          </w:p>
        </w:tc>
        <w:tc>
          <w:tcPr>
            <w:tcW w:w="1134" w:type="dxa"/>
            <w:noWrap w:val="0"/>
            <w:vAlign w:val="center"/>
          </w:tcPr>
          <w:p w14:paraId="79D3342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有所提升</w:t>
            </w:r>
          </w:p>
        </w:tc>
        <w:tc>
          <w:tcPr>
            <w:tcW w:w="1134" w:type="dxa"/>
            <w:noWrap w:val="0"/>
            <w:vAlign w:val="center"/>
          </w:tcPr>
          <w:p w14:paraId="181E6D1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有所提升</w:t>
            </w:r>
          </w:p>
        </w:tc>
        <w:tc>
          <w:tcPr>
            <w:tcW w:w="828" w:type="dxa"/>
            <w:noWrap w:val="0"/>
            <w:vAlign w:val="center"/>
          </w:tcPr>
          <w:p w14:paraId="1E48592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1010E78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7A3B14D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7E1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1D1A162C">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04D2B3E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noWrap w:val="0"/>
            <w:vAlign w:val="center"/>
          </w:tcPr>
          <w:p w14:paraId="28B2B69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224" w:type="dxa"/>
            <w:noWrap w:val="0"/>
            <w:vAlign w:val="center"/>
          </w:tcPr>
          <w:p w14:paraId="0065758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保障</w:t>
            </w:r>
            <w:r>
              <w:rPr>
                <w:rFonts w:hint="eastAsia" w:ascii="仿宋_GB2312" w:hAnsi="仿宋_GB2312" w:eastAsia="仿宋_GB2312" w:cs="仿宋_GB2312"/>
                <w:color w:val="000000"/>
                <w:sz w:val="20"/>
                <w:szCs w:val="20"/>
                <w:lang w:eastAsia="zh-CN"/>
              </w:rPr>
              <w:t>信息化</w:t>
            </w:r>
            <w:r>
              <w:rPr>
                <w:rFonts w:hint="eastAsia" w:ascii="仿宋_GB2312" w:hAnsi="仿宋_GB2312" w:eastAsia="仿宋_GB2312" w:cs="仿宋_GB2312"/>
                <w:color w:val="000000"/>
                <w:sz w:val="20"/>
                <w:szCs w:val="20"/>
              </w:rPr>
              <w:t>城</w:t>
            </w:r>
            <w:r>
              <w:rPr>
                <w:rFonts w:hint="eastAsia" w:ascii="仿宋_GB2312" w:hAnsi="仿宋_GB2312" w:eastAsia="仿宋_GB2312" w:cs="仿宋_GB2312"/>
                <w:color w:val="000000"/>
                <w:sz w:val="20"/>
                <w:szCs w:val="20"/>
                <w:lang w:eastAsia="zh-CN"/>
              </w:rPr>
              <w:t>市</w:t>
            </w:r>
            <w:r>
              <w:rPr>
                <w:rFonts w:hint="eastAsia" w:ascii="仿宋_GB2312" w:hAnsi="仿宋_GB2312" w:eastAsia="仿宋_GB2312" w:cs="仿宋_GB2312"/>
                <w:color w:val="000000"/>
                <w:sz w:val="20"/>
                <w:szCs w:val="20"/>
              </w:rPr>
              <w:t>管</w:t>
            </w:r>
            <w:r>
              <w:rPr>
                <w:rFonts w:hint="eastAsia" w:ascii="仿宋_GB2312" w:hAnsi="仿宋_GB2312" w:eastAsia="仿宋_GB2312" w:cs="仿宋_GB2312"/>
                <w:color w:val="000000"/>
                <w:sz w:val="20"/>
                <w:szCs w:val="20"/>
                <w:lang w:eastAsia="zh-CN"/>
              </w:rPr>
              <w:t>理工作</w:t>
            </w:r>
            <w:r>
              <w:rPr>
                <w:rFonts w:hint="eastAsia" w:ascii="仿宋_GB2312" w:hAnsi="仿宋_GB2312" w:eastAsia="仿宋_GB2312" w:cs="仿宋_GB2312"/>
                <w:color w:val="000000"/>
                <w:sz w:val="20"/>
                <w:szCs w:val="20"/>
                <w:lang w:val="en-US" w:eastAsia="zh-CN"/>
              </w:rPr>
              <w:t>有效推进</w:t>
            </w:r>
          </w:p>
        </w:tc>
        <w:tc>
          <w:tcPr>
            <w:tcW w:w="1134" w:type="dxa"/>
            <w:noWrap w:val="0"/>
            <w:vAlign w:val="center"/>
          </w:tcPr>
          <w:p w14:paraId="33B6563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保障信息化</w:t>
            </w:r>
            <w:r>
              <w:rPr>
                <w:rFonts w:hint="eastAsia" w:ascii="仿宋_GB2312" w:hAnsi="仿宋_GB2312" w:eastAsia="仿宋_GB2312" w:cs="仿宋_GB2312"/>
                <w:color w:val="000000"/>
                <w:sz w:val="20"/>
                <w:szCs w:val="20"/>
              </w:rPr>
              <w:t>城</w:t>
            </w:r>
            <w:r>
              <w:rPr>
                <w:rFonts w:hint="eastAsia" w:ascii="仿宋_GB2312" w:hAnsi="仿宋_GB2312" w:eastAsia="仿宋_GB2312" w:cs="仿宋_GB2312"/>
                <w:color w:val="000000"/>
                <w:sz w:val="20"/>
                <w:szCs w:val="20"/>
                <w:lang w:eastAsia="zh-CN"/>
              </w:rPr>
              <w:t>市</w:t>
            </w:r>
            <w:r>
              <w:rPr>
                <w:rFonts w:hint="eastAsia" w:ascii="仿宋_GB2312" w:hAnsi="仿宋_GB2312" w:eastAsia="仿宋_GB2312" w:cs="仿宋_GB2312"/>
                <w:color w:val="000000"/>
                <w:sz w:val="20"/>
                <w:szCs w:val="20"/>
              </w:rPr>
              <w:t>管</w:t>
            </w:r>
            <w:r>
              <w:rPr>
                <w:rFonts w:hint="eastAsia" w:ascii="仿宋_GB2312" w:hAnsi="仿宋_GB2312" w:eastAsia="仿宋_GB2312" w:cs="仿宋_GB2312"/>
                <w:color w:val="000000"/>
                <w:sz w:val="20"/>
                <w:szCs w:val="20"/>
                <w:lang w:eastAsia="zh-CN"/>
              </w:rPr>
              <w:t>理设备</w:t>
            </w:r>
            <w:r>
              <w:rPr>
                <w:rFonts w:hint="eastAsia" w:ascii="仿宋_GB2312" w:hAnsi="仿宋_GB2312" w:eastAsia="仿宋_GB2312" w:cs="仿宋_GB2312"/>
                <w:color w:val="000000"/>
                <w:sz w:val="20"/>
                <w:szCs w:val="20"/>
                <w:lang w:val="en-US" w:eastAsia="zh-CN"/>
              </w:rPr>
              <w:t>正常运行</w:t>
            </w:r>
          </w:p>
        </w:tc>
        <w:tc>
          <w:tcPr>
            <w:tcW w:w="1134" w:type="dxa"/>
            <w:noWrap w:val="0"/>
            <w:vAlign w:val="center"/>
          </w:tcPr>
          <w:p w14:paraId="051C726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eastAsia="zh-CN"/>
              </w:rPr>
              <w:t>信息化设备正常运行</w:t>
            </w:r>
          </w:p>
        </w:tc>
        <w:tc>
          <w:tcPr>
            <w:tcW w:w="828" w:type="dxa"/>
            <w:noWrap w:val="0"/>
            <w:vAlign w:val="center"/>
          </w:tcPr>
          <w:p w14:paraId="2E85138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noWrap w:val="0"/>
            <w:vAlign w:val="center"/>
          </w:tcPr>
          <w:p w14:paraId="45241BA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18" w:type="dxa"/>
            <w:noWrap w:val="0"/>
            <w:vAlign w:val="center"/>
          </w:tcPr>
          <w:p w14:paraId="1DDC830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F42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noWrap w:val="0"/>
            <w:vAlign w:val="center"/>
          </w:tcPr>
          <w:p w14:paraId="5AFB6C3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noWrap w:val="0"/>
            <w:vAlign w:val="center"/>
          </w:tcPr>
          <w:p w14:paraId="32F57CE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0D13895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3D06040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noWrap w:val="0"/>
            <w:vAlign w:val="center"/>
          </w:tcPr>
          <w:p w14:paraId="349478F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noWrap w:val="0"/>
            <w:vAlign w:val="center"/>
          </w:tcPr>
          <w:p w14:paraId="7BF39F9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群众满意度</w:t>
            </w:r>
          </w:p>
        </w:tc>
        <w:tc>
          <w:tcPr>
            <w:tcW w:w="1134" w:type="dxa"/>
            <w:noWrap w:val="0"/>
            <w:vAlign w:val="center"/>
          </w:tcPr>
          <w:p w14:paraId="7579912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98%以上</w:t>
            </w:r>
          </w:p>
        </w:tc>
        <w:tc>
          <w:tcPr>
            <w:tcW w:w="1134" w:type="dxa"/>
            <w:noWrap w:val="0"/>
            <w:vAlign w:val="center"/>
          </w:tcPr>
          <w:p w14:paraId="31CBFB2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98.5%</w:t>
            </w:r>
          </w:p>
        </w:tc>
        <w:tc>
          <w:tcPr>
            <w:tcW w:w="828" w:type="dxa"/>
            <w:noWrap w:val="0"/>
            <w:vAlign w:val="center"/>
          </w:tcPr>
          <w:p w14:paraId="210E68F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noWrap w:val="0"/>
            <w:vAlign w:val="center"/>
          </w:tcPr>
          <w:p w14:paraId="0DFFD0D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noWrap w:val="0"/>
            <w:vAlign w:val="center"/>
          </w:tcPr>
          <w:p w14:paraId="3D5AEAC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D02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732" w:type="dxa"/>
            <w:gridSpan w:val="6"/>
            <w:noWrap w:val="0"/>
            <w:vAlign w:val="center"/>
          </w:tcPr>
          <w:p w14:paraId="0B5C289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noWrap w:val="0"/>
            <w:vAlign w:val="center"/>
          </w:tcPr>
          <w:p w14:paraId="2D2692C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noWrap w:val="0"/>
            <w:vAlign w:val="center"/>
          </w:tcPr>
          <w:p w14:paraId="32A67A5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99</w:t>
            </w:r>
          </w:p>
        </w:tc>
        <w:tc>
          <w:tcPr>
            <w:tcW w:w="1418" w:type="dxa"/>
            <w:noWrap w:val="0"/>
            <w:vAlign w:val="center"/>
          </w:tcPr>
          <w:p w14:paraId="47A75DD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5F057B02">
      <w:pPr>
        <w:rPr>
          <w:rFonts w:hint="default" w:ascii="Times New Roman" w:hAnsi="Times New Roman" w:eastAsia="仿宋_GB2312" w:cs="Times New Roman"/>
          <w:sz w:val="18"/>
          <w:szCs w:val="18"/>
          <w:highlight w:val="none"/>
        </w:rPr>
      </w:pPr>
    </w:p>
    <w:p w14:paraId="3A919165">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填表人：</w:t>
      </w:r>
      <w:r>
        <w:rPr>
          <w:rFonts w:hint="eastAsia" w:ascii="仿宋_GB2312" w:hAnsi="仿宋_GB2312" w:eastAsia="仿宋_GB2312" w:cs="仿宋_GB2312"/>
          <w:sz w:val="22"/>
          <w:szCs w:val="22"/>
          <w:lang w:eastAsia="zh-CN"/>
        </w:rPr>
        <w:t>禹荣</w:t>
      </w:r>
      <w:r>
        <w:rPr>
          <w:rFonts w:hint="eastAsia" w:ascii="仿宋_GB2312" w:hAnsi="仿宋_GB2312" w:eastAsia="仿宋_GB2312" w:cs="仿宋_GB2312"/>
          <w:sz w:val="22"/>
          <w:szCs w:val="22"/>
          <w:lang w:val="en"/>
        </w:rPr>
        <w:t xml:space="preserve"> </w:t>
      </w:r>
      <w:r>
        <w:rPr>
          <w:rFonts w:hint="eastAsia" w:ascii="仿宋_GB2312" w:hAnsi="仿宋_GB2312" w:eastAsia="仿宋_GB2312" w:cs="仿宋_GB2312"/>
          <w:sz w:val="22"/>
          <w:szCs w:val="22"/>
        </w:rPr>
        <w:t xml:space="preserve"> 填报日期：</w:t>
      </w:r>
      <w:r>
        <w:rPr>
          <w:rFonts w:hint="eastAsia" w:ascii="仿宋_GB2312" w:hAnsi="仿宋_GB2312" w:eastAsia="仿宋_GB2312" w:cs="仿宋_GB2312"/>
          <w:sz w:val="22"/>
          <w:szCs w:val="22"/>
          <w:lang w:val="en-US" w:eastAsia="zh-CN"/>
        </w:rPr>
        <w:t>2026.6.23</w:t>
      </w:r>
      <w:r>
        <w:rPr>
          <w:rFonts w:hint="eastAsia" w:ascii="仿宋_GB2312" w:hAnsi="仿宋_GB2312" w:eastAsia="仿宋_GB2312" w:cs="仿宋_GB2312"/>
          <w:sz w:val="22"/>
          <w:szCs w:val="22"/>
        </w:rPr>
        <w:t xml:space="preserve"> 联系电话：</w:t>
      </w:r>
      <w:r>
        <w:rPr>
          <w:rFonts w:hint="eastAsia" w:ascii="仿宋_GB2312" w:hAnsi="仿宋_GB2312" w:eastAsia="仿宋_GB2312" w:cs="仿宋_GB2312"/>
          <w:sz w:val="22"/>
          <w:szCs w:val="22"/>
          <w:lang w:val="en-US" w:eastAsia="zh-CN"/>
        </w:rPr>
        <w:t>0730-8690022</w:t>
      </w:r>
      <w:r>
        <w:rPr>
          <w:rFonts w:hint="eastAsia" w:ascii="仿宋_GB2312" w:hAnsi="仿宋_GB2312" w:eastAsia="仿宋_GB2312" w:cs="仿宋_GB2312"/>
          <w:sz w:val="22"/>
          <w:szCs w:val="22"/>
        </w:rPr>
        <w:t xml:space="preserve">  单位负责人</w:t>
      </w:r>
      <w:r>
        <w:rPr>
          <w:rFonts w:hint="eastAsia" w:ascii="仿宋_GB2312" w:hAnsi="仿宋_GB2312" w:eastAsia="仿宋_GB2312" w:cs="仿宋_GB2312"/>
          <w:sz w:val="22"/>
          <w:szCs w:val="22"/>
          <w:lang w:eastAsia="zh-CN"/>
        </w:rPr>
        <w:t>：</w:t>
      </w:r>
    </w:p>
    <w:p w14:paraId="02ED627D">
      <w:pPr>
        <w:widowControl/>
        <w:spacing w:line="600" w:lineRule="exact"/>
        <w:jc w:val="left"/>
        <w:rPr>
          <w:rFonts w:hint="eastAsia" w:ascii="黑体" w:hAnsi="黑体" w:eastAsia="黑体" w:cs="黑体"/>
          <w:sz w:val="32"/>
          <w:szCs w:val="32"/>
          <w:highlight w:val="none"/>
        </w:rPr>
      </w:pPr>
    </w:p>
    <w:p w14:paraId="13A495CC">
      <w:pPr>
        <w:widowControl/>
        <w:spacing w:line="600" w:lineRule="exact"/>
        <w:jc w:val="left"/>
        <w:rPr>
          <w:rFonts w:hint="eastAsia" w:ascii="黑体" w:hAnsi="黑体" w:eastAsia="黑体" w:cs="黑体"/>
          <w:sz w:val="32"/>
          <w:szCs w:val="32"/>
          <w:highlight w:val="none"/>
        </w:rPr>
      </w:pPr>
    </w:p>
    <w:p w14:paraId="62579EC4">
      <w:pPr>
        <w:keepNext w:val="0"/>
        <w:keepLines w:val="0"/>
        <w:pageBreakBefore w:val="0"/>
        <w:widowControl w:val="0"/>
        <w:kinsoku/>
        <w:wordWrap/>
        <w:overflowPunct/>
        <w:topLinePunct w:val="0"/>
        <w:autoSpaceDE/>
        <w:autoSpaceDN/>
        <w:bidi w:val="0"/>
        <w:adjustRightInd/>
        <w:snapToGrid/>
        <w:spacing w:afterLines="0" w:line="360" w:lineRule="auto"/>
        <w:ind w:right="0" w:rightChars="0"/>
        <w:jc w:val="both"/>
        <w:textAlignment w:val="auto"/>
        <w:rPr>
          <w:rFonts w:hint="eastAsia" w:ascii="仿宋_GB2312" w:hAnsi="仿宋_GB2312" w:eastAsia="仿宋_GB2312" w:cs="仿宋_GB2312"/>
          <w:sz w:val="32"/>
          <w:szCs w:val="32"/>
          <w:highlight w:val="none"/>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18030">
    <w:altName w:val="URW Bookman"/>
    <w:panose1 w:val="00000000000000000000"/>
    <w:charset w:val="00"/>
    <w:family w:val="auto"/>
    <w:pitch w:val="default"/>
    <w:sig w:usb0="00000000" w:usb1="00000000" w:usb2="00000000" w:usb3="00000000" w:csb0="00000001" w:csb1="00000000"/>
  </w:font>
  <w:font w:name="URW Book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FangSong_GB2312">
    <w:altName w:val="方正仿宋_GBK"/>
    <w:panose1 w:val="02010609030101010101"/>
    <w:charset w:val="86"/>
    <w:family w:val="auto"/>
    <w:pitch w:val="default"/>
    <w:sig w:usb0="00000000" w:usb1="00000000" w:usb2="00000000" w:usb3="00000000" w:csb0="00040000" w:csb1="00000000"/>
  </w:font>
  <w:font w:name="KaiTi_GB2312">
    <w:altName w:val="华文仿宋"/>
    <w:panose1 w:val="02010609030101010101"/>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2544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3F4E5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3F4E5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F83A7B"/>
    <w:multiLevelType w:val="singleLevel"/>
    <w:tmpl w:val="33F83A7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886344"/>
    <w:rsid w:val="00247343"/>
    <w:rsid w:val="01641DCA"/>
    <w:rsid w:val="031606E2"/>
    <w:rsid w:val="03912F41"/>
    <w:rsid w:val="047C28FE"/>
    <w:rsid w:val="055714C2"/>
    <w:rsid w:val="07CF4038"/>
    <w:rsid w:val="07EB2BC8"/>
    <w:rsid w:val="08634780"/>
    <w:rsid w:val="090E0B90"/>
    <w:rsid w:val="098D1967"/>
    <w:rsid w:val="09C61F92"/>
    <w:rsid w:val="0BFDD69D"/>
    <w:rsid w:val="0C48260B"/>
    <w:rsid w:val="0DDFB3B8"/>
    <w:rsid w:val="0DFF0347"/>
    <w:rsid w:val="0E3966AF"/>
    <w:rsid w:val="0E6F5E40"/>
    <w:rsid w:val="0EFB7889"/>
    <w:rsid w:val="0F0C7CEB"/>
    <w:rsid w:val="0F1E389D"/>
    <w:rsid w:val="0F4A6ABA"/>
    <w:rsid w:val="0F7E536E"/>
    <w:rsid w:val="0FBF8B3B"/>
    <w:rsid w:val="0FD20B69"/>
    <w:rsid w:val="0FEDC698"/>
    <w:rsid w:val="0FF9048C"/>
    <w:rsid w:val="121151A2"/>
    <w:rsid w:val="14AA20B4"/>
    <w:rsid w:val="14FD240D"/>
    <w:rsid w:val="15BFC22F"/>
    <w:rsid w:val="16F7FF2F"/>
    <w:rsid w:val="176FCD33"/>
    <w:rsid w:val="17763486"/>
    <w:rsid w:val="17777180"/>
    <w:rsid w:val="177F76A5"/>
    <w:rsid w:val="179FFF6E"/>
    <w:rsid w:val="17F56292"/>
    <w:rsid w:val="17FA4EDC"/>
    <w:rsid w:val="184812E2"/>
    <w:rsid w:val="187EDF18"/>
    <w:rsid w:val="194C01BE"/>
    <w:rsid w:val="199D5F29"/>
    <w:rsid w:val="19BE5338"/>
    <w:rsid w:val="19FFE8CE"/>
    <w:rsid w:val="1A073B05"/>
    <w:rsid w:val="1AF94D60"/>
    <w:rsid w:val="1B2E450C"/>
    <w:rsid w:val="1B7F07FF"/>
    <w:rsid w:val="1B9C4323"/>
    <w:rsid w:val="1BBFE576"/>
    <w:rsid w:val="1BDFE838"/>
    <w:rsid w:val="1BFED546"/>
    <w:rsid w:val="1C4A7CD9"/>
    <w:rsid w:val="1C4E1577"/>
    <w:rsid w:val="1CFF502C"/>
    <w:rsid w:val="1D6F0942"/>
    <w:rsid w:val="1DBFE024"/>
    <w:rsid w:val="1DDE299E"/>
    <w:rsid w:val="1DEDE986"/>
    <w:rsid w:val="1DFE1B5B"/>
    <w:rsid w:val="1DFF2257"/>
    <w:rsid w:val="1DFF9C88"/>
    <w:rsid w:val="1E0D7210"/>
    <w:rsid w:val="1EB73BB1"/>
    <w:rsid w:val="1EBF068E"/>
    <w:rsid w:val="1EDEE23C"/>
    <w:rsid w:val="1EEF1766"/>
    <w:rsid w:val="1EFB9FB5"/>
    <w:rsid w:val="1FAF5BE1"/>
    <w:rsid w:val="1FD2A974"/>
    <w:rsid w:val="1FF545E1"/>
    <w:rsid w:val="1FFEC5A3"/>
    <w:rsid w:val="1FFEF5BE"/>
    <w:rsid w:val="1FFF589B"/>
    <w:rsid w:val="225B49EE"/>
    <w:rsid w:val="229B2DA2"/>
    <w:rsid w:val="23111551"/>
    <w:rsid w:val="23D305B4"/>
    <w:rsid w:val="2504136D"/>
    <w:rsid w:val="259A155B"/>
    <w:rsid w:val="25CDDFAD"/>
    <w:rsid w:val="269009DE"/>
    <w:rsid w:val="27EB1289"/>
    <w:rsid w:val="27F3738A"/>
    <w:rsid w:val="27F8A0A5"/>
    <w:rsid w:val="2A443FBA"/>
    <w:rsid w:val="2AE9690F"/>
    <w:rsid w:val="2B91322F"/>
    <w:rsid w:val="2BCE1E38"/>
    <w:rsid w:val="2BDFDAB4"/>
    <w:rsid w:val="2BE80DE3"/>
    <w:rsid w:val="2BFB146F"/>
    <w:rsid w:val="2BFE106F"/>
    <w:rsid w:val="2C8B83AB"/>
    <w:rsid w:val="2CBF3825"/>
    <w:rsid w:val="2D1C7470"/>
    <w:rsid w:val="2D962D7E"/>
    <w:rsid w:val="2DF5634E"/>
    <w:rsid w:val="2E5B27BD"/>
    <w:rsid w:val="2E6DB956"/>
    <w:rsid w:val="2E7F788C"/>
    <w:rsid w:val="2EDF1AD3"/>
    <w:rsid w:val="2EF718CD"/>
    <w:rsid w:val="2F5B8ECF"/>
    <w:rsid w:val="2F5C7FF7"/>
    <w:rsid w:val="2F7B6337"/>
    <w:rsid w:val="2F7FD54D"/>
    <w:rsid w:val="2FAC9206"/>
    <w:rsid w:val="2FB71C10"/>
    <w:rsid w:val="2FDEC40D"/>
    <w:rsid w:val="2FDFF612"/>
    <w:rsid w:val="2FF53271"/>
    <w:rsid w:val="2FFBAE80"/>
    <w:rsid w:val="2FFD6548"/>
    <w:rsid w:val="2FFF6343"/>
    <w:rsid w:val="2FFFEA84"/>
    <w:rsid w:val="30427C69"/>
    <w:rsid w:val="30607673"/>
    <w:rsid w:val="30874C00"/>
    <w:rsid w:val="30FFA157"/>
    <w:rsid w:val="31F3E9E1"/>
    <w:rsid w:val="31F63B48"/>
    <w:rsid w:val="324E3C27"/>
    <w:rsid w:val="327B2543"/>
    <w:rsid w:val="33C35A29"/>
    <w:rsid w:val="33D21F04"/>
    <w:rsid w:val="33DDF922"/>
    <w:rsid w:val="33FBCE28"/>
    <w:rsid w:val="35942299"/>
    <w:rsid w:val="35B325EF"/>
    <w:rsid w:val="35D1B424"/>
    <w:rsid w:val="35E11256"/>
    <w:rsid w:val="35FC1500"/>
    <w:rsid w:val="35FDF1E9"/>
    <w:rsid w:val="360F36CE"/>
    <w:rsid w:val="365B316D"/>
    <w:rsid w:val="365FD148"/>
    <w:rsid w:val="36806379"/>
    <w:rsid w:val="36BF15D1"/>
    <w:rsid w:val="36FCE3AE"/>
    <w:rsid w:val="375F31E4"/>
    <w:rsid w:val="379BD6C9"/>
    <w:rsid w:val="37B79F0F"/>
    <w:rsid w:val="37BE94EF"/>
    <w:rsid w:val="37FDF5AA"/>
    <w:rsid w:val="38835463"/>
    <w:rsid w:val="38C95E9F"/>
    <w:rsid w:val="390C2146"/>
    <w:rsid w:val="396F1D29"/>
    <w:rsid w:val="397E54A2"/>
    <w:rsid w:val="397F8C3C"/>
    <w:rsid w:val="3A371445"/>
    <w:rsid w:val="3AEED0F1"/>
    <w:rsid w:val="3B084B8F"/>
    <w:rsid w:val="3B1304D4"/>
    <w:rsid w:val="3B6DC358"/>
    <w:rsid w:val="3B6E25AA"/>
    <w:rsid w:val="3BB9583C"/>
    <w:rsid w:val="3BBF329D"/>
    <w:rsid w:val="3BED5609"/>
    <w:rsid w:val="3BEE1FD7"/>
    <w:rsid w:val="3BF15ADC"/>
    <w:rsid w:val="3BF7A50C"/>
    <w:rsid w:val="3BFD2D67"/>
    <w:rsid w:val="3BFF870B"/>
    <w:rsid w:val="3C1A3C0B"/>
    <w:rsid w:val="3C790F6C"/>
    <w:rsid w:val="3C9ABBCD"/>
    <w:rsid w:val="3D35D00D"/>
    <w:rsid w:val="3D4DAC05"/>
    <w:rsid w:val="3D57380F"/>
    <w:rsid w:val="3D770B95"/>
    <w:rsid w:val="3D7D974F"/>
    <w:rsid w:val="3D8D2FD3"/>
    <w:rsid w:val="3DCB25D0"/>
    <w:rsid w:val="3DCFEED9"/>
    <w:rsid w:val="3DDE286C"/>
    <w:rsid w:val="3DEA87E2"/>
    <w:rsid w:val="3DF1B932"/>
    <w:rsid w:val="3DFE4F9F"/>
    <w:rsid w:val="3E2F2F6E"/>
    <w:rsid w:val="3E730CFB"/>
    <w:rsid w:val="3EBDF5BF"/>
    <w:rsid w:val="3ECF234C"/>
    <w:rsid w:val="3EDD8225"/>
    <w:rsid w:val="3EE35516"/>
    <w:rsid w:val="3EE53DEC"/>
    <w:rsid w:val="3EFB0803"/>
    <w:rsid w:val="3EFD6A9B"/>
    <w:rsid w:val="3EFF5154"/>
    <w:rsid w:val="3EFF64AE"/>
    <w:rsid w:val="3EFF7398"/>
    <w:rsid w:val="3EFF81BB"/>
    <w:rsid w:val="3EFFBE69"/>
    <w:rsid w:val="3EFFFB0A"/>
    <w:rsid w:val="3F2B26C9"/>
    <w:rsid w:val="3F3E7611"/>
    <w:rsid w:val="3F3FC452"/>
    <w:rsid w:val="3F4B1223"/>
    <w:rsid w:val="3F6277D4"/>
    <w:rsid w:val="3F6B6649"/>
    <w:rsid w:val="3F7BFADA"/>
    <w:rsid w:val="3F7D34B7"/>
    <w:rsid w:val="3F7DD751"/>
    <w:rsid w:val="3F7E1454"/>
    <w:rsid w:val="3F7FB50E"/>
    <w:rsid w:val="3F9A1E89"/>
    <w:rsid w:val="3FBBDA45"/>
    <w:rsid w:val="3FBC4C84"/>
    <w:rsid w:val="3FBD40D8"/>
    <w:rsid w:val="3FDF6A27"/>
    <w:rsid w:val="3FDF6CFA"/>
    <w:rsid w:val="3FE36FEB"/>
    <w:rsid w:val="3FED83FB"/>
    <w:rsid w:val="3FF75575"/>
    <w:rsid w:val="3FF80208"/>
    <w:rsid w:val="3FFAD594"/>
    <w:rsid w:val="3FFB3801"/>
    <w:rsid w:val="3FFB6115"/>
    <w:rsid w:val="3FFEBC5A"/>
    <w:rsid w:val="3FFF0832"/>
    <w:rsid w:val="3FFF75C6"/>
    <w:rsid w:val="3FFFA7C5"/>
    <w:rsid w:val="403259CB"/>
    <w:rsid w:val="40A92971"/>
    <w:rsid w:val="412070D7"/>
    <w:rsid w:val="42424E2B"/>
    <w:rsid w:val="42AF4CD6"/>
    <w:rsid w:val="42C722FD"/>
    <w:rsid w:val="42CF5E08"/>
    <w:rsid w:val="4335E31F"/>
    <w:rsid w:val="43544E16"/>
    <w:rsid w:val="43CF9171"/>
    <w:rsid w:val="44CF8E00"/>
    <w:rsid w:val="456450B8"/>
    <w:rsid w:val="4572292F"/>
    <w:rsid w:val="459B31D0"/>
    <w:rsid w:val="45B50E1F"/>
    <w:rsid w:val="476F6529"/>
    <w:rsid w:val="47BF4B7D"/>
    <w:rsid w:val="47E0136E"/>
    <w:rsid w:val="47FF12CF"/>
    <w:rsid w:val="47FFE844"/>
    <w:rsid w:val="4999358E"/>
    <w:rsid w:val="49FFBF19"/>
    <w:rsid w:val="4AD30D16"/>
    <w:rsid w:val="4BBFA36F"/>
    <w:rsid w:val="4BDE5545"/>
    <w:rsid w:val="4BDEC5FA"/>
    <w:rsid w:val="4BEC34B5"/>
    <w:rsid w:val="4C5440D8"/>
    <w:rsid w:val="4C8B0FB5"/>
    <w:rsid w:val="4D115B26"/>
    <w:rsid w:val="4D5F8BCD"/>
    <w:rsid w:val="4D7B1DEF"/>
    <w:rsid w:val="4D7F02F6"/>
    <w:rsid w:val="4DEB0CA4"/>
    <w:rsid w:val="4DF3F961"/>
    <w:rsid w:val="4DFD1763"/>
    <w:rsid w:val="4E6751D2"/>
    <w:rsid w:val="4EAFAEF6"/>
    <w:rsid w:val="4EBDE5BE"/>
    <w:rsid w:val="4EC7C670"/>
    <w:rsid w:val="4EEF4CC6"/>
    <w:rsid w:val="4EFDA77F"/>
    <w:rsid w:val="4F5F7F5C"/>
    <w:rsid w:val="4F5F80C2"/>
    <w:rsid w:val="4F7B4954"/>
    <w:rsid w:val="4F96C152"/>
    <w:rsid w:val="4FAE3B00"/>
    <w:rsid w:val="4FD349DE"/>
    <w:rsid w:val="4FD78B7E"/>
    <w:rsid w:val="4FDF1E9F"/>
    <w:rsid w:val="4FFE8EF5"/>
    <w:rsid w:val="4FFF345F"/>
    <w:rsid w:val="50AF4A20"/>
    <w:rsid w:val="50DED30D"/>
    <w:rsid w:val="511AD439"/>
    <w:rsid w:val="527B5385"/>
    <w:rsid w:val="52A82A88"/>
    <w:rsid w:val="52BE7FBB"/>
    <w:rsid w:val="52D41ACF"/>
    <w:rsid w:val="52F67C97"/>
    <w:rsid w:val="538452A3"/>
    <w:rsid w:val="53DF27B1"/>
    <w:rsid w:val="53DF7C8D"/>
    <w:rsid w:val="53EE4978"/>
    <w:rsid w:val="53EFF465"/>
    <w:rsid w:val="54FF3A26"/>
    <w:rsid w:val="55784B87"/>
    <w:rsid w:val="55ADBBE0"/>
    <w:rsid w:val="55BB3811"/>
    <w:rsid w:val="55BDCB44"/>
    <w:rsid w:val="55D7CEBF"/>
    <w:rsid w:val="566C325B"/>
    <w:rsid w:val="56EE0C86"/>
    <w:rsid w:val="5727C4BD"/>
    <w:rsid w:val="576FBD0E"/>
    <w:rsid w:val="57777D4E"/>
    <w:rsid w:val="577DAB7D"/>
    <w:rsid w:val="577F88D5"/>
    <w:rsid w:val="57836BAF"/>
    <w:rsid w:val="57BE332E"/>
    <w:rsid w:val="57E51C23"/>
    <w:rsid w:val="57FF27A7"/>
    <w:rsid w:val="57FF7EE6"/>
    <w:rsid w:val="58730C08"/>
    <w:rsid w:val="597FEE5A"/>
    <w:rsid w:val="59886344"/>
    <w:rsid w:val="59A5D0AC"/>
    <w:rsid w:val="59B31939"/>
    <w:rsid w:val="59DFCBB8"/>
    <w:rsid w:val="59FF5935"/>
    <w:rsid w:val="5A32275E"/>
    <w:rsid w:val="5A7D97D2"/>
    <w:rsid w:val="5AA75995"/>
    <w:rsid w:val="5AAFB2E4"/>
    <w:rsid w:val="5AE752CB"/>
    <w:rsid w:val="5B3FDD4C"/>
    <w:rsid w:val="5B5D8313"/>
    <w:rsid w:val="5B5F65E0"/>
    <w:rsid w:val="5B5F852D"/>
    <w:rsid w:val="5B9F7A3C"/>
    <w:rsid w:val="5BBF1E22"/>
    <w:rsid w:val="5BD74E86"/>
    <w:rsid w:val="5BDD11DD"/>
    <w:rsid w:val="5BDFC6FD"/>
    <w:rsid w:val="5BE75D9B"/>
    <w:rsid w:val="5BF9ED4F"/>
    <w:rsid w:val="5BFB3706"/>
    <w:rsid w:val="5BFBAF23"/>
    <w:rsid w:val="5BFF32A7"/>
    <w:rsid w:val="5C8A5DE1"/>
    <w:rsid w:val="5CDB8E88"/>
    <w:rsid w:val="5D35B649"/>
    <w:rsid w:val="5D6F0D72"/>
    <w:rsid w:val="5D916F3A"/>
    <w:rsid w:val="5D988306"/>
    <w:rsid w:val="5DA6C333"/>
    <w:rsid w:val="5DCF0825"/>
    <w:rsid w:val="5DE725A8"/>
    <w:rsid w:val="5DEBB794"/>
    <w:rsid w:val="5DEFF5AF"/>
    <w:rsid w:val="5E6A0B41"/>
    <w:rsid w:val="5E79B992"/>
    <w:rsid w:val="5EEF0B71"/>
    <w:rsid w:val="5EFBE3E2"/>
    <w:rsid w:val="5EFF2831"/>
    <w:rsid w:val="5EFFA00E"/>
    <w:rsid w:val="5F3EBEAA"/>
    <w:rsid w:val="5F510B3F"/>
    <w:rsid w:val="5F55D5C3"/>
    <w:rsid w:val="5F690707"/>
    <w:rsid w:val="5F6B901E"/>
    <w:rsid w:val="5F6E014E"/>
    <w:rsid w:val="5F75D995"/>
    <w:rsid w:val="5F7708E4"/>
    <w:rsid w:val="5F7F44F3"/>
    <w:rsid w:val="5F7F9C9D"/>
    <w:rsid w:val="5F7FD99B"/>
    <w:rsid w:val="5F8FEEC8"/>
    <w:rsid w:val="5F9F9DBA"/>
    <w:rsid w:val="5FAE0C10"/>
    <w:rsid w:val="5FB4B72A"/>
    <w:rsid w:val="5FBDF86A"/>
    <w:rsid w:val="5FBF2B08"/>
    <w:rsid w:val="5FC5540C"/>
    <w:rsid w:val="5FD559D1"/>
    <w:rsid w:val="5FD60B95"/>
    <w:rsid w:val="5FDE42C2"/>
    <w:rsid w:val="5FE257D9"/>
    <w:rsid w:val="5FEF8D5C"/>
    <w:rsid w:val="5FF1658B"/>
    <w:rsid w:val="5FF2D8BA"/>
    <w:rsid w:val="5FFB20B1"/>
    <w:rsid w:val="5FFBC99A"/>
    <w:rsid w:val="5FFDA288"/>
    <w:rsid w:val="5FFEE4F8"/>
    <w:rsid w:val="5FFF4D20"/>
    <w:rsid w:val="5FFF9602"/>
    <w:rsid w:val="5FFFA2FA"/>
    <w:rsid w:val="5FFFBDBC"/>
    <w:rsid w:val="5FFFD648"/>
    <w:rsid w:val="5FFFE40F"/>
    <w:rsid w:val="619863BE"/>
    <w:rsid w:val="62143C96"/>
    <w:rsid w:val="62E97E69"/>
    <w:rsid w:val="630006BE"/>
    <w:rsid w:val="63F7C0B3"/>
    <w:rsid w:val="64E33305"/>
    <w:rsid w:val="65376664"/>
    <w:rsid w:val="657D47A2"/>
    <w:rsid w:val="65CB8C99"/>
    <w:rsid w:val="65DBD6FF"/>
    <w:rsid w:val="65DE95C6"/>
    <w:rsid w:val="66572450"/>
    <w:rsid w:val="668F4233"/>
    <w:rsid w:val="669F145C"/>
    <w:rsid w:val="66BF067E"/>
    <w:rsid w:val="66C2084A"/>
    <w:rsid w:val="66FF7BB2"/>
    <w:rsid w:val="66FFED7D"/>
    <w:rsid w:val="6740EC66"/>
    <w:rsid w:val="677EFC92"/>
    <w:rsid w:val="67A23AF2"/>
    <w:rsid w:val="67BC6CA7"/>
    <w:rsid w:val="67C841D9"/>
    <w:rsid w:val="67D546BD"/>
    <w:rsid w:val="67E75469"/>
    <w:rsid w:val="67EF0214"/>
    <w:rsid w:val="67F76D2F"/>
    <w:rsid w:val="67FE94E4"/>
    <w:rsid w:val="67FF3667"/>
    <w:rsid w:val="68BDD685"/>
    <w:rsid w:val="69731BEA"/>
    <w:rsid w:val="69AE677E"/>
    <w:rsid w:val="69CA161E"/>
    <w:rsid w:val="69D6D14E"/>
    <w:rsid w:val="69D7969C"/>
    <w:rsid w:val="69DA6E4C"/>
    <w:rsid w:val="69DB9E33"/>
    <w:rsid w:val="69ECE3B3"/>
    <w:rsid w:val="69F9560E"/>
    <w:rsid w:val="69FD8B13"/>
    <w:rsid w:val="6A4680CC"/>
    <w:rsid w:val="6AB3E285"/>
    <w:rsid w:val="6AC65D4A"/>
    <w:rsid w:val="6AD40467"/>
    <w:rsid w:val="6B39547A"/>
    <w:rsid w:val="6B4C31A5"/>
    <w:rsid w:val="6B5B0C90"/>
    <w:rsid w:val="6B6D5A3B"/>
    <w:rsid w:val="6B911302"/>
    <w:rsid w:val="6BCC2331"/>
    <w:rsid w:val="6BD79023"/>
    <w:rsid w:val="6BDF3852"/>
    <w:rsid w:val="6BDF58C6"/>
    <w:rsid w:val="6BEA2B9B"/>
    <w:rsid w:val="6BEF5E74"/>
    <w:rsid w:val="6BEF84C5"/>
    <w:rsid w:val="6BF7257D"/>
    <w:rsid w:val="6BF9A72C"/>
    <w:rsid w:val="6BFF4653"/>
    <w:rsid w:val="6C573390"/>
    <w:rsid w:val="6C634F33"/>
    <w:rsid w:val="6C6F7282"/>
    <w:rsid w:val="6C833268"/>
    <w:rsid w:val="6CF5E9AF"/>
    <w:rsid w:val="6CFD4960"/>
    <w:rsid w:val="6CFED853"/>
    <w:rsid w:val="6CFF5842"/>
    <w:rsid w:val="6D140FEE"/>
    <w:rsid w:val="6D3F786E"/>
    <w:rsid w:val="6D704DCC"/>
    <w:rsid w:val="6D9B0495"/>
    <w:rsid w:val="6DBFC2B5"/>
    <w:rsid w:val="6DC42A14"/>
    <w:rsid w:val="6DCA5A51"/>
    <w:rsid w:val="6DD34202"/>
    <w:rsid w:val="6DEE6ECD"/>
    <w:rsid w:val="6DF7F3E2"/>
    <w:rsid w:val="6DFB0992"/>
    <w:rsid w:val="6DFBDEAB"/>
    <w:rsid w:val="6E7F8479"/>
    <w:rsid w:val="6ECDDB5A"/>
    <w:rsid w:val="6EFE4D39"/>
    <w:rsid w:val="6EFEAD0E"/>
    <w:rsid w:val="6EFF8FAE"/>
    <w:rsid w:val="6F37AE7F"/>
    <w:rsid w:val="6F3F6922"/>
    <w:rsid w:val="6F4FABD4"/>
    <w:rsid w:val="6F5FC25C"/>
    <w:rsid w:val="6F7219C6"/>
    <w:rsid w:val="6F840D4E"/>
    <w:rsid w:val="6F8EBDFB"/>
    <w:rsid w:val="6FBB9D53"/>
    <w:rsid w:val="6FBEB59A"/>
    <w:rsid w:val="6FBF10AC"/>
    <w:rsid w:val="6FBF4764"/>
    <w:rsid w:val="6FD7BD67"/>
    <w:rsid w:val="6FDDFED0"/>
    <w:rsid w:val="6FDE0A35"/>
    <w:rsid w:val="6FDEB843"/>
    <w:rsid w:val="6FDF6562"/>
    <w:rsid w:val="6FDF9F69"/>
    <w:rsid w:val="6FE66A10"/>
    <w:rsid w:val="6FEBD931"/>
    <w:rsid w:val="6FF3548C"/>
    <w:rsid w:val="6FF505A1"/>
    <w:rsid w:val="6FF57345"/>
    <w:rsid w:val="6FF6AD38"/>
    <w:rsid w:val="6FF8DD12"/>
    <w:rsid w:val="6FFCAA06"/>
    <w:rsid w:val="6FFD9B01"/>
    <w:rsid w:val="6FFDA1AA"/>
    <w:rsid w:val="6FFE9795"/>
    <w:rsid w:val="6FFF0871"/>
    <w:rsid w:val="6FFF622E"/>
    <w:rsid w:val="6FFFFB0B"/>
    <w:rsid w:val="70E37655"/>
    <w:rsid w:val="70F738C0"/>
    <w:rsid w:val="721D0A90"/>
    <w:rsid w:val="72EE53A2"/>
    <w:rsid w:val="739369E5"/>
    <w:rsid w:val="73D21E61"/>
    <w:rsid w:val="73DC65DE"/>
    <w:rsid w:val="73EFC4D6"/>
    <w:rsid w:val="73F712CE"/>
    <w:rsid w:val="73FAB109"/>
    <w:rsid w:val="73FD1E57"/>
    <w:rsid w:val="73FF2FFD"/>
    <w:rsid w:val="73FF7A5D"/>
    <w:rsid w:val="74A569D0"/>
    <w:rsid w:val="74D5E3B3"/>
    <w:rsid w:val="74DF7846"/>
    <w:rsid w:val="74F203C2"/>
    <w:rsid w:val="74FBB286"/>
    <w:rsid w:val="755CD3B3"/>
    <w:rsid w:val="75678958"/>
    <w:rsid w:val="756F4A47"/>
    <w:rsid w:val="757B1AF4"/>
    <w:rsid w:val="757B7BF7"/>
    <w:rsid w:val="75BD3A58"/>
    <w:rsid w:val="75BE28B2"/>
    <w:rsid w:val="75BF4754"/>
    <w:rsid w:val="75E266C8"/>
    <w:rsid w:val="75EFDEF0"/>
    <w:rsid w:val="75F76CA2"/>
    <w:rsid w:val="75F821B1"/>
    <w:rsid w:val="75FD2252"/>
    <w:rsid w:val="75FD707D"/>
    <w:rsid w:val="75FF9304"/>
    <w:rsid w:val="75FFE055"/>
    <w:rsid w:val="765F6492"/>
    <w:rsid w:val="76AB8BA4"/>
    <w:rsid w:val="76B9A332"/>
    <w:rsid w:val="76BC6675"/>
    <w:rsid w:val="76D7E83E"/>
    <w:rsid w:val="76DFD95A"/>
    <w:rsid w:val="76EDAD0F"/>
    <w:rsid w:val="76FF24AD"/>
    <w:rsid w:val="76FF5BF3"/>
    <w:rsid w:val="76FFF445"/>
    <w:rsid w:val="773FEC35"/>
    <w:rsid w:val="775C9FF2"/>
    <w:rsid w:val="775D2787"/>
    <w:rsid w:val="776ED39D"/>
    <w:rsid w:val="777D4628"/>
    <w:rsid w:val="777D81CB"/>
    <w:rsid w:val="77874BA8"/>
    <w:rsid w:val="778F81EF"/>
    <w:rsid w:val="77AD168D"/>
    <w:rsid w:val="77B5C90E"/>
    <w:rsid w:val="77BDD1FF"/>
    <w:rsid w:val="77D18263"/>
    <w:rsid w:val="77DCB601"/>
    <w:rsid w:val="77DD1491"/>
    <w:rsid w:val="77DDBAD6"/>
    <w:rsid w:val="77DE2C27"/>
    <w:rsid w:val="77DFC451"/>
    <w:rsid w:val="77FF59B4"/>
    <w:rsid w:val="77FFC33B"/>
    <w:rsid w:val="78746DE5"/>
    <w:rsid w:val="787559F1"/>
    <w:rsid w:val="78A568E3"/>
    <w:rsid w:val="78E62BDC"/>
    <w:rsid w:val="78F24F8D"/>
    <w:rsid w:val="78FDFB12"/>
    <w:rsid w:val="78FEEE5F"/>
    <w:rsid w:val="7916882A"/>
    <w:rsid w:val="795F06CF"/>
    <w:rsid w:val="7995A3DF"/>
    <w:rsid w:val="799EAD38"/>
    <w:rsid w:val="79B749A4"/>
    <w:rsid w:val="79B9C392"/>
    <w:rsid w:val="79DDDE46"/>
    <w:rsid w:val="79EA2B75"/>
    <w:rsid w:val="79F59E4D"/>
    <w:rsid w:val="79FCDF09"/>
    <w:rsid w:val="79FD5E16"/>
    <w:rsid w:val="7A7FB193"/>
    <w:rsid w:val="7AA16713"/>
    <w:rsid w:val="7ABFA6E0"/>
    <w:rsid w:val="7ABFD940"/>
    <w:rsid w:val="7AFB9548"/>
    <w:rsid w:val="7AFF6E73"/>
    <w:rsid w:val="7AFFA050"/>
    <w:rsid w:val="7B5920F9"/>
    <w:rsid w:val="7B5A4458"/>
    <w:rsid w:val="7B5F4778"/>
    <w:rsid w:val="7B5FAC9D"/>
    <w:rsid w:val="7B7423E9"/>
    <w:rsid w:val="7B7781F5"/>
    <w:rsid w:val="7B7EF0B3"/>
    <w:rsid w:val="7B7F9860"/>
    <w:rsid w:val="7B9D7233"/>
    <w:rsid w:val="7B9E04AD"/>
    <w:rsid w:val="7B9E78B3"/>
    <w:rsid w:val="7BA7DE85"/>
    <w:rsid w:val="7BB51376"/>
    <w:rsid w:val="7BBE6240"/>
    <w:rsid w:val="7BBE6F6D"/>
    <w:rsid w:val="7BBF8678"/>
    <w:rsid w:val="7BCBEAB2"/>
    <w:rsid w:val="7BCD037E"/>
    <w:rsid w:val="7BCD9B31"/>
    <w:rsid w:val="7BCDD2D7"/>
    <w:rsid w:val="7BE27558"/>
    <w:rsid w:val="7BE7A222"/>
    <w:rsid w:val="7BEBBFFA"/>
    <w:rsid w:val="7BED2891"/>
    <w:rsid w:val="7BEEBB91"/>
    <w:rsid w:val="7BEF7521"/>
    <w:rsid w:val="7BEF8D90"/>
    <w:rsid w:val="7BEFDCE1"/>
    <w:rsid w:val="7BF411F2"/>
    <w:rsid w:val="7BF71023"/>
    <w:rsid w:val="7BF9A006"/>
    <w:rsid w:val="7BFB2951"/>
    <w:rsid w:val="7BFB9042"/>
    <w:rsid w:val="7BFB9EE4"/>
    <w:rsid w:val="7BFBBDC7"/>
    <w:rsid w:val="7BFBEA78"/>
    <w:rsid w:val="7BFE4C21"/>
    <w:rsid w:val="7BFEBEA7"/>
    <w:rsid w:val="7BFF2998"/>
    <w:rsid w:val="7BFF33CC"/>
    <w:rsid w:val="7BFF34E7"/>
    <w:rsid w:val="7BFF8FC1"/>
    <w:rsid w:val="7C174657"/>
    <w:rsid w:val="7C5E41FE"/>
    <w:rsid w:val="7C680787"/>
    <w:rsid w:val="7C6B916D"/>
    <w:rsid w:val="7C6FBBF0"/>
    <w:rsid w:val="7C7BC9FC"/>
    <w:rsid w:val="7C7DE802"/>
    <w:rsid w:val="7C864D79"/>
    <w:rsid w:val="7CB784CC"/>
    <w:rsid w:val="7CCF65DE"/>
    <w:rsid w:val="7CDFA9FA"/>
    <w:rsid w:val="7CE7CE65"/>
    <w:rsid w:val="7CFEF48B"/>
    <w:rsid w:val="7D3DDB90"/>
    <w:rsid w:val="7D4D5207"/>
    <w:rsid w:val="7D6BE49C"/>
    <w:rsid w:val="7D755D65"/>
    <w:rsid w:val="7D75E571"/>
    <w:rsid w:val="7D771A6F"/>
    <w:rsid w:val="7D7F485C"/>
    <w:rsid w:val="7D7F661B"/>
    <w:rsid w:val="7D7FFB23"/>
    <w:rsid w:val="7D915D59"/>
    <w:rsid w:val="7D967B99"/>
    <w:rsid w:val="7D9FE096"/>
    <w:rsid w:val="7DB7E63A"/>
    <w:rsid w:val="7DBF924F"/>
    <w:rsid w:val="7DBFCC68"/>
    <w:rsid w:val="7DCF684C"/>
    <w:rsid w:val="7DD969EB"/>
    <w:rsid w:val="7DDB07EB"/>
    <w:rsid w:val="7DDBEF4A"/>
    <w:rsid w:val="7DDF6C73"/>
    <w:rsid w:val="7DEBB32A"/>
    <w:rsid w:val="7DED6F3A"/>
    <w:rsid w:val="7DEDA760"/>
    <w:rsid w:val="7DEFC265"/>
    <w:rsid w:val="7DF11B67"/>
    <w:rsid w:val="7DF74F89"/>
    <w:rsid w:val="7DF8374A"/>
    <w:rsid w:val="7DFD7DC3"/>
    <w:rsid w:val="7DFEFBC6"/>
    <w:rsid w:val="7DFF131D"/>
    <w:rsid w:val="7DFF69E8"/>
    <w:rsid w:val="7DFF84FE"/>
    <w:rsid w:val="7DFFE617"/>
    <w:rsid w:val="7DFFFD21"/>
    <w:rsid w:val="7E1F7906"/>
    <w:rsid w:val="7E1FEDDB"/>
    <w:rsid w:val="7E56D2E1"/>
    <w:rsid w:val="7E7DEADB"/>
    <w:rsid w:val="7E7F49B3"/>
    <w:rsid w:val="7E7F697F"/>
    <w:rsid w:val="7E9F7319"/>
    <w:rsid w:val="7EA8F10B"/>
    <w:rsid w:val="7EAF0EBD"/>
    <w:rsid w:val="7EBD1AB9"/>
    <w:rsid w:val="7EDBE656"/>
    <w:rsid w:val="7EECE530"/>
    <w:rsid w:val="7EEFF3C9"/>
    <w:rsid w:val="7EF38053"/>
    <w:rsid w:val="7EF5CE1A"/>
    <w:rsid w:val="7EF643DB"/>
    <w:rsid w:val="7EF76732"/>
    <w:rsid w:val="7EF79581"/>
    <w:rsid w:val="7EF7C191"/>
    <w:rsid w:val="7EF82D8B"/>
    <w:rsid w:val="7EFBCE93"/>
    <w:rsid w:val="7EFD6209"/>
    <w:rsid w:val="7EFDD867"/>
    <w:rsid w:val="7EFE4DB8"/>
    <w:rsid w:val="7EFE61BE"/>
    <w:rsid w:val="7EFF1DFF"/>
    <w:rsid w:val="7EFFC4D2"/>
    <w:rsid w:val="7F0784C5"/>
    <w:rsid w:val="7F2B5784"/>
    <w:rsid w:val="7F2BE579"/>
    <w:rsid w:val="7F39B05D"/>
    <w:rsid w:val="7F3EBE2B"/>
    <w:rsid w:val="7F3F94F3"/>
    <w:rsid w:val="7F5B2E4C"/>
    <w:rsid w:val="7F5D040A"/>
    <w:rsid w:val="7F73FD06"/>
    <w:rsid w:val="7F745B59"/>
    <w:rsid w:val="7F790839"/>
    <w:rsid w:val="7F79E59D"/>
    <w:rsid w:val="7F7A91D7"/>
    <w:rsid w:val="7F7CA8A4"/>
    <w:rsid w:val="7F7DB3BD"/>
    <w:rsid w:val="7F7DE03A"/>
    <w:rsid w:val="7F7E79B5"/>
    <w:rsid w:val="7F7F20BB"/>
    <w:rsid w:val="7F7F363B"/>
    <w:rsid w:val="7F7F86C1"/>
    <w:rsid w:val="7F8EAE32"/>
    <w:rsid w:val="7F9AD864"/>
    <w:rsid w:val="7F9B34E3"/>
    <w:rsid w:val="7F9C2CD5"/>
    <w:rsid w:val="7F9F46A9"/>
    <w:rsid w:val="7F9FBD4E"/>
    <w:rsid w:val="7FA8E36B"/>
    <w:rsid w:val="7FAB927F"/>
    <w:rsid w:val="7FB5493C"/>
    <w:rsid w:val="7FB98872"/>
    <w:rsid w:val="7FBC2F67"/>
    <w:rsid w:val="7FBFE751"/>
    <w:rsid w:val="7FBFF3E3"/>
    <w:rsid w:val="7FC70386"/>
    <w:rsid w:val="7FCDD001"/>
    <w:rsid w:val="7FCF4DD5"/>
    <w:rsid w:val="7FD0E71A"/>
    <w:rsid w:val="7FD2AB14"/>
    <w:rsid w:val="7FD491B2"/>
    <w:rsid w:val="7FD60349"/>
    <w:rsid w:val="7FD7B93E"/>
    <w:rsid w:val="7FDBBEBA"/>
    <w:rsid w:val="7FDC58B2"/>
    <w:rsid w:val="7FDD289F"/>
    <w:rsid w:val="7FDF4425"/>
    <w:rsid w:val="7FDFC237"/>
    <w:rsid w:val="7FDFE9BB"/>
    <w:rsid w:val="7FE6B2D4"/>
    <w:rsid w:val="7FE727E9"/>
    <w:rsid w:val="7FE72FE8"/>
    <w:rsid w:val="7FE9A226"/>
    <w:rsid w:val="7FEB4BE2"/>
    <w:rsid w:val="7FEBCAC9"/>
    <w:rsid w:val="7FEC23D2"/>
    <w:rsid w:val="7FECAE52"/>
    <w:rsid w:val="7FECC014"/>
    <w:rsid w:val="7FED7034"/>
    <w:rsid w:val="7FEEC82B"/>
    <w:rsid w:val="7FF1D8D2"/>
    <w:rsid w:val="7FF3B0D5"/>
    <w:rsid w:val="7FF4BFC9"/>
    <w:rsid w:val="7FF50E4E"/>
    <w:rsid w:val="7FF61C59"/>
    <w:rsid w:val="7FF7E57E"/>
    <w:rsid w:val="7FF9E745"/>
    <w:rsid w:val="7FFCF26F"/>
    <w:rsid w:val="7FFD539B"/>
    <w:rsid w:val="7FFD57AA"/>
    <w:rsid w:val="7FFF61CE"/>
    <w:rsid w:val="7FFF6B5D"/>
    <w:rsid w:val="7FFFA4CB"/>
    <w:rsid w:val="7FFFB57D"/>
    <w:rsid w:val="7FFFB747"/>
    <w:rsid w:val="7FFFC79C"/>
    <w:rsid w:val="7FFFDE6B"/>
    <w:rsid w:val="7FFFE3D4"/>
    <w:rsid w:val="7FFFEC53"/>
    <w:rsid w:val="89B3D0B9"/>
    <w:rsid w:val="8BEB9515"/>
    <w:rsid w:val="8BFE9F19"/>
    <w:rsid w:val="8CB739FA"/>
    <w:rsid w:val="8D9EF9FC"/>
    <w:rsid w:val="8DB1FB3D"/>
    <w:rsid w:val="8DFD8475"/>
    <w:rsid w:val="8EF71A48"/>
    <w:rsid w:val="8EFF7E4D"/>
    <w:rsid w:val="8FCB83EE"/>
    <w:rsid w:val="924E53D3"/>
    <w:rsid w:val="97BF407F"/>
    <w:rsid w:val="97CF7609"/>
    <w:rsid w:val="97F7915B"/>
    <w:rsid w:val="97F80809"/>
    <w:rsid w:val="97FCEA8D"/>
    <w:rsid w:val="997F5360"/>
    <w:rsid w:val="9AD308A0"/>
    <w:rsid w:val="9AFE32E5"/>
    <w:rsid w:val="9B7DE181"/>
    <w:rsid w:val="9BCFA0C2"/>
    <w:rsid w:val="9BFF99C6"/>
    <w:rsid w:val="9BFFF9BE"/>
    <w:rsid w:val="9CF02FE5"/>
    <w:rsid w:val="9DD65D11"/>
    <w:rsid w:val="9EAB092B"/>
    <w:rsid w:val="9EAB803B"/>
    <w:rsid w:val="9EBC0393"/>
    <w:rsid w:val="9EDB2250"/>
    <w:rsid w:val="9EDEBF2F"/>
    <w:rsid w:val="9F7F075F"/>
    <w:rsid w:val="9F87C54C"/>
    <w:rsid w:val="9F97F410"/>
    <w:rsid w:val="9FCF5002"/>
    <w:rsid w:val="9FF3615A"/>
    <w:rsid w:val="9FF6A58C"/>
    <w:rsid w:val="9FF96474"/>
    <w:rsid w:val="9FFEE64F"/>
    <w:rsid w:val="9FFF42A0"/>
    <w:rsid w:val="9FFFFD35"/>
    <w:rsid w:val="A63751A3"/>
    <w:rsid w:val="A6B71C68"/>
    <w:rsid w:val="A77FC440"/>
    <w:rsid w:val="A7D93FFC"/>
    <w:rsid w:val="A7F7E235"/>
    <w:rsid w:val="A7FB036F"/>
    <w:rsid w:val="A975298F"/>
    <w:rsid w:val="AB66024C"/>
    <w:rsid w:val="ABDFE62D"/>
    <w:rsid w:val="AC97826E"/>
    <w:rsid w:val="AD669DAA"/>
    <w:rsid w:val="AD7321D4"/>
    <w:rsid w:val="ADDACBF1"/>
    <w:rsid w:val="ADEF2F7A"/>
    <w:rsid w:val="AE339811"/>
    <w:rsid w:val="AE5D12AB"/>
    <w:rsid w:val="AEDD7FBB"/>
    <w:rsid w:val="AEDF0085"/>
    <w:rsid w:val="AEDF19E7"/>
    <w:rsid w:val="AF66C811"/>
    <w:rsid w:val="AF7D895A"/>
    <w:rsid w:val="AFB71D1A"/>
    <w:rsid w:val="AFBF977D"/>
    <w:rsid w:val="AFD724D2"/>
    <w:rsid w:val="AFEF293B"/>
    <w:rsid w:val="AFFE64B3"/>
    <w:rsid w:val="AFFEAF99"/>
    <w:rsid w:val="AFFF5797"/>
    <w:rsid w:val="B07FAF89"/>
    <w:rsid w:val="B2FF9288"/>
    <w:rsid w:val="B37FF0B2"/>
    <w:rsid w:val="B3BF03F5"/>
    <w:rsid w:val="B3EBEB31"/>
    <w:rsid w:val="B3FA243C"/>
    <w:rsid w:val="B57FB7AA"/>
    <w:rsid w:val="B5BF1AA1"/>
    <w:rsid w:val="B5EFF62C"/>
    <w:rsid w:val="B5FF440D"/>
    <w:rsid w:val="B6B21338"/>
    <w:rsid w:val="B6DC5B62"/>
    <w:rsid w:val="B6F339A8"/>
    <w:rsid w:val="B6FFD9FE"/>
    <w:rsid w:val="B7457EE3"/>
    <w:rsid w:val="B7574525"/>
    <w:rsid w:val="B7897B91"/>
    <w:rsid w:val="B7BE8E24"/>
    <w:rsid w:val="B7CBEDD7"/>
    <w:rsid w:val="B7DD2753"/>
    <w:rsid w:val="B7FB7784"/>
    <w:rsid w:val="B8AF847F"/>
    <w:rsid w:val="B967A8E0"/>
    <w:rsid w:val="B97E1C78"/>
    <w:rsid w:val="B97FC3A6"/>
    <w:rsid w:val="B9FF7DD5"/>
    <w:rsid w:val="BA6F16AC"/>
    <w:rsid w:val="BAAA7A08"/>
    <w:rsid w:val="BABB3605"/>
    <w:rsid w:val="BAF4E41B"/>
    <w:rsid w:val="BAFCF89A"/>
    <w:rsid w:val="BB1E9258"/>
    <w:rsid w:val="BBDEB7D3"/>
    <w:rsid w:val="BBDF4C4C"/>
    <w:rsid w:val="BBEF3035"/>
    <w:rsid w:val="BBF60DB7"/>
    <w:rsid w:val="BBFC94BE"/>
    <w:rsid w:val="BBFE8DE4"/>
    <w:rsid w:val="BBFF749F"/>
    <w:rsid w:val="BCCF0E2F"/>
    <w:rsid w:val="BD2F958E"/>
    <w:rsid w:val="BD7C482D"/>
    <w:rsid w:val="BD7FA39F"/>
    <w:rsid w:val="BDDE25F2"/>
    <w:rsid w:val="BDDF2268"/>
    <w:rsid w:val="BDDF5EC0"/>
    <w:rsid w:val="BDDFD00E"/>
    <w:rsid w:val="BDF2BB50"/>
    <w:rsid w:val="BDF9227E"/>
    <w:rsid w:val="BDF92FED"/>
    <w:rsid w:val="BDFD5B5A"/>
    <w:rsid w:val="BDFF1194"/>
    <w:rsid w:val="BDFF9F73"/>
    <w:rsid w:val="BE7FCC1F"/>
    <w:rsid w:val="BEAF3D13"/>
    <w:rsid w:val="BEFE6099"/>
    <w:rsid w:val="BEFEE876"/>
    <w:rsid w:val="BEFF8E85"/>
    <w:rsid w:val="BF1D8A5A"/>
    <w:rsid w:val="BF3E4FB6"/>
    <w:rsid w:val="BF4AE094"/>
    <w:rsid w:val="BF734F64"/>
    <w:rsid w:val="BF772CDC"/>
    <w:rsid w:val="BF7B0D31"/>
    <w:rsid w:val="BF7FB9C9"/>
    <w:rsid w:val="BF8D96B4"/>
    <w:rsid w:val="BFB4CFE4"/>
    <w:rsid w:val="BFBA1E0E"/>
    <w:rsid w:val="BFBDE707"/>
    <w:rsid w:val="BFBDEFCC"/>
    <w:rsid w:val="BFBE64FE"/>
    <w:rsid w:val="BFCB26B2"/>
    <w:rsid w:val="BFD9E6FC"/>
    <w:rsid w:val="BFDBB76F"/>
    <w:rsid w:val="BFDE589B"/>
    <w:rsid w:val="BFEBD03D"/>
    <w:rsid w:val="BFEF47DA"/>
    <w:rsid w:val="BFEFC956"/>
    <w:rsid w:val="BFF122AB"/>
    <w:rsid w:val="BFF3CFD8"/>
    <w:rsid w:val="BFF7B889"/>
    <w:rsid w:val="BFFD745D"/>
    <w:rsid w:val="BFFE9E42"/>
    <w:rsid w:val="BFFF2573"/>
    <w:rsid w:val="BFFF40EA"/>
    <w:rsid w:val="BFFF710F"/>
    <w:rsid w:val="C17F5E68"/>
    <w:rsid w:val="C65F365C"/>
    <w:rsid w:val="C72F72B3"/>
    <w:rsid w:val="C7BB1E0B"/>
    <w:rsid w:val="C7BD72C9"/>
    <w:rsid w:val="C97C1D2C"/>
    <w:rsid w:val="CBDF3A82"/>
    <w:rsid w:val="CBEFFA33"/>
    <w:rsid w:val="CBF7121C"/>
    <w:rsid w:val="CCA9AC69"/>
    <w:rsid w:val="CD8BB21A"/>
    <w:rsid w:val="CDA2FEA2"/>
    <w:rsid w:val="CDD6C038"/>
    <w:rsid w:val="CDE9F251"/>
    <w:rsid w:val="CDFB5FCA"/>
    <w:rsid w:val="CE7759EF"/>
    <w:rsid w:val="CEAB463A"/>
    <w:rsid w:val="CED7017A"/>
    <w:rsid w:val="CEEF3E9A"/>
    <w:rsid w:val="CEFFECBA"/>
    <w:rsid w:val="CF1F3B43"/>
    <w:rsid w:val="CF69E5C0"/>
    <w:rsid w:val="CF6FF558"/>
    <w:rsid w:val="CF793570"/>
    <w:rsid w:val="CFAF79BC"/>
    <w:rsid w:val="CFB56DB3"/>
    <w:rsid w:val="CFBE64BB"/>
    <w:rsid w:val="CFDA6050"/>
    <w:rsid w:val="CFE7A3EB"/>
    <w:rsid w:val="CFEFBDB4"/>
    <w:rsid w:val="CFF9C76A"/>
    <w:rsid w:val="CFFDD0B9"/>
    <w:rsid w:val="CFFDFB17"/>
    <w:rsid w:val="CFFE7406"/>
    <w:rsid w:val="CFFF8796"/>
    <w:rsid w:val="D1973E5D"/>
    <w:rsid w:val="D34F4C70"/>
    <w:rsid w:val="D37CB755"/>
    <w:rsid w:val="D3B2281B"/>
    <w:rsid w:val="D3DE5160"/>
    <w:rsid w:val="D3DF1D05"/>
    <w:rsid w:val="D3F8305B"/>
    <w:rsid w:val="D3FB4468"/>
    <w:rsid w:val="D3FF2AE1"/>
    <w:rsid w:val="D56FA2E3"/>
    <w:rsid w:val="D59A8D51"/>
    <w:rsid w:val="D5BB8C46"/>
    <w:rsid w:val="D5ED5AAC"/>
    <w:rsid w:val="D5FA4C8F"/>
    <w:rsid w:val="D67FF52A"/>
    <w:rsid w:val="D6EF1B3D"/>
    <w:rsid w:val="D71FF57A"/>
    <w:rsid w:val="D75F3DFC"/>
    <w:rsid w:val="D75F62DA"/>
    <w:rsid w:val="D776DDEF"/>
    <w:rsid w:val="D777D967"/>
    <w:rsid w:val="D7AF0E25"/>
    <w:rsid w:val="D7BB9E0C"/>
    <w:rsid w:val="D7CF185F"/>
    <w:rsid w:val="D7D6C41B"/>
    <w:rsid w:val="D7DF90D1"/>
    <w:rsid w:val="D7EFB432"/>
    <w:rsid w:val="D7FB42CD"/>
    <w:rsid w:val="D81FB226"/>
    <w:rsid w:val="D83D34F1"/>
    <w:rsid w:val="D8B4C51A"/>
    <w:rsid w:val="D8FB74C1"/>
    <w:rsid w:val="D8FF5D3C"/>
    <w:rsid w:val="D97FF89C"/>
    <w:rsid w:val="D9BD40B7"/>
    <w:rsid w:val="D9DE8F90"/>
    <w:rsid w:val="D9EEA194"/>
    <w:rsid w:val="D9F7AE41"/>
    <w:rsid w:val="DA91A4DE"/>
    <w:rsid w:val="DABFF498"/>
    <w:rsid w:val="DAFA809D"/>
    <w:rsid w:val="DB2B2FA6"/>
    <w:rsid w:val="DB3AE5DE"/>
    <w:rsid w:val="DB7F473B"/>
    <w:rsid w:val="DB874363"/>
    <w:rsid w:val="DBDF4034"/>
    <w:rsid w:val="DBFAB0D1"/>
    <w:rsid w:val="DBFB6CE2"/>
    <w:rsid w:val="DC770E3A"/>
    <w:rsid w:val="DCE5C49C"/>
    <w:rsid w:val="DCEFC0B4"/>
    <w:rsid w:val="DD0C5C9E"/>
    <w:rsid w:val="DD3F3740"/>
    <w:rsid w:val="DD50BFBC"/>
    <w:rsid w:val="DD558E49"/>
    <w:rsid w:val="DD7DB51C"/>
    <w:rsid w:val="DD7EBF9A"/>
    <w:rsid w:val="DD9F48BD"/>
    <w:rsid w:val="DDBB9C42"/>
    <w:rsid w:val="DDCF4CF4"/>
    <w:rsid w:val="DDD6C4AE"/>
    <w:rsid w:val="DDDBEF2B"/>
    <w:rsid w:val="DDDD2611"/>
    <w:rsid w:val="DDDE1B18"/>
    <w:rsid w:val="DDDF8C9D"/>
    <w:rsid w:val="DDDFCD6B"/>
    <w:rsid w:val="DDE695EF"/>
    <w:rsid w:val="DDF5B572"/>
    <w:rsid w:val="DDF7988A"/>
    <w:rsid w:val="DDFF9743"/>
    <w:rsid w:val="DE6E698D"/>
    <w:rsid w:val="DE6F6650"/>
    <w:rsid w:val="DE78E779"/>
    <w:rsid w:val="DE7A3459"/>
    <w:rsid w:val="DE7E74FA"/>
    <w:rsid w:val="DE7FB170"/>
    <w:rsid w:val="DEB3DCF3"/>
    <w:rsid w:val="DECB6B51"/>
    <w:rsid w:val="DED57C46"/>
    <w:rsid w:val="DED9FF76"/>
    <w:rsid w:val="DEDF7F3B"/>
    <w:rsid w:val="DEEF300F"/>
    <w:rsid w:val="DEFDF52B"/>
    <w:rsid w:val="DEFF4CC6"/>
    <w:rsid w:val="DF3984C1"/>
    <w:rsid w:val="DF3F21CB"/>
    <w:rsid w:val="DF77E8DB"/>
    <w:rsid w:val="DF9FEB5D"/>
    <w:rsid w:val="DFAF069B"/>
    <w:rsid w:val="DFBE2AB1"/>
    <w:rsid w:val="DFDB2713"/>
    <w:rsid w:val="DFDDFBE3"/>
    <w:rsid w:val="DFDF787B"/>
    <w:rsid w:val="DFE72904"/>
    <w:rsid w:val="DFE754D9"/>
    <w:rsid w:val="DFED2371"/>
    <w:rsid w:val="DFEF884A"/>
    <w:rsid w:val="DFF975B4"/>
    <w:rsid w:val="DFFA0436"/>
    <w:rsid w:val="DFFF5916"/>
    <w:rsid w:val="DFFF5ADF"/>
    <w:rsid w:val="DFFF9E04"/>
    <w:rsid w:val="E0FFD83D"/>
    <w:rsid w:val="E20DF872"/>
    <w:rsid w:val="E35720DD"/>
    <w:rsid w:val="E35FC826"/>
    <w:rsid w:val="E399175A"/>
    <w:rsid w:val="E39F174D"/>
    <w:rsid w:val="E3ED016B"/>
    <w:rsid w:val="E3F6C6E9"/>
    <w:rsid w:val="E3FFCB26"/>
    <w:rsid w:val="E467DCB1"/>
    <w:rsid w:val="E4FB85DA"/>
    <w:rsid w:val="E5AA44AC"/>
    <w:rsid w:val="E5FF456E"/>
    <w:rsid w:val="E6AFE25B"/>
    <w:rsid w:val="E6D9692A"/>
    <w:rsid w:val="E6DA5407"/>
    <w:rsid w:val="E6F7AD0B"/>
    <w:rsid w:val="E7532F0B"/>
    <w:rsid w:val="E7A292AD"/>
    <w:rsid w:val="E7FF182A"/>
    <w:rsid w:val="E7FF764A"/>
    <w:rsid w:val="E7FFAF21"/>
    <w:rsid w:val="E86FFCBE"/>
    <w:rsid w:val="E9E63BFB"/>
    <w:rsid w:val="E9E756DE"/>
    <w:rsid w:val="E9F382A0"/>
    <w:rsid w:val="E9FE3927"/>
    <w:rsid w:val="E9FFAA25"/>
    <w:rsid w:val="EA7AE4F7"/>
    <w:rsid w:val="EA7D1344"/>
    <w:rsid w:val="EAF3D903"/>
    <w:rsid w:val="EB2BCD2C"/>
    <w:rsid w:val="EB70F1FF"/>
    <w:rsid w:val="EB7609C2"/>
    <w:rsid w:val="EB7E862F"/>
    <w:rsid w:val="EB97AF3C"/>
    <w:rsid w:val="EBAD2C91"/>
    <w:rsid w:val="EBBFB420"/>
    <w:rsid w:val="EBBFD06E"/>
    <w:rsid w:val="EBDB37B3"/>
    <w:rsid w:val="EBE6C286"/>
    <w:rsid w:val="EBEF951E"/>
    <w:rsid w:val="EBF31F23"/>
    <w:rsid w:val="EBF752B0"/>
    <w:rsid w:val="EBFB473B"/>
    <w:rsid w:val="EC79C310"/>
    <w:rsid w:val="ECADBC26"/>
    <w:rsid w:val="ECF706DC"/>
    <w:rsid w:val="ED3F8049"/>
    <w:rsid w:val="ED53CB99"/>
    <w:rsid w:val="ED7E9F16"/>
    <w:rsid w:val="EDBBBBA1"/>
    <w:rsid w:val="EDC69F4C"/>
    <w:rsid w:val="EDCBA021"/>
    <w:rsid w:val="EDFCC1D4"/>
    <w:rsid w:val="EDFF8689"/>
    <w:rsid w:val="EE2B5576"/>
    <w:rsid w:val="EE63ECA8"/>
    <w:rsid w:val="EE73FE5E"/>
    <w:rsid w:val="EE77CD8E"/>
    <w:rsid w:val="EEBB3BBC"/>
    <w:rsid w:val="EEBDA904"/>
    <w:rsid w:val="EECC8373"/>
    <w:rsid w:val="EED784F4"/>
    <w:rsid w:val="EED7FACD"/>
    <w:rsid w:val="EEE72F6C"/>
    <w:rsid w:val="EEE74C18"/>
    <w:rsid w:val="EEEDCA24"/>
    <w:rsid w:val="EF1F8C43"/>
    <w:rsid w:val="EF2E904F"/>
    <w:rsid w:val="EF37F366"/>
    <w:rsid w:val="EF56CE3F"/>
    <w:rsid w:val="EF5B2286"/>
    <w:rsid w:val="EF5E3632"/>
    <w:rsid w:val="EF5EF18E"/>
    <w:rsid w:val="EF717BFD"/>
    <w:rsid w:val="EF7B5ADC"/>
    <w:rsid w:val="EF7C54F2"/>
    <w:rsid w:val="EF7CD153"/>
    <w:rsid w:val="EF7D7748"/>
    <w:rsid w:val="EF8E787F"/>
    <w:rsid w:val="EF9B3293"/>
    <w:rsid w:val="EF9DB8B7"/>
    <w:rsid w:val="EFA32614"/>
    <w:rsid w:val="EFBD9E1E"/>
    <w:rsid w:val="EFCA4C36"/>
    <w:rsid w:val="EFCB7DE5"/>
    <w:rsid w:val="EFCDBFEF"/>
    <w:rsid w:val="EFCF7D56"/>
    <w:rsid w:val="EFD47131"/>
    <w:rsid w:val="EFD712E4"/>
    <w:rsid w:val="EFDE2231"/>
    <w:rsid w:val="EFDF5FFF"/>
    <w:rsid w:val="EFF5BFE3"/>
    <w:rsid w:val="EFF762D2"/>
    <w:rsid w:val="EFF78AC9"/>
    <w:rsid w:val="EFF8072A"/>
    <w:rsid w:val="EFFBBE7F"/>
    <w:rsid w:val="EFFE0033"/>
    <w:rsid w:val="EFFE2DFD"/>
    <w:rsid w:val="EFFE596A"/>
    <w:rsid w:val="EFFE5AC0"/>
    <w:rsid w:val="EFFF05F6"/>
    <w:rsid w:val="EFFF0A66"/>
    <w:rsid w:val="EFFFEFED"/>
    <w:rsid w:val="F07BC14E"/>
    <w:rsid w:val="F0E58098"/>
    <w:rsid w:val="F1BF064C"/>
    <w:rsid w:val="F1F7E06B"/>
    <w:rsid w:val="F1FF3E1C"/>
    <w:rsid w:val="F1FFADDF"/>
    <w:rsid w:val="F2BE33FC"/>
    <w:rsid w:val="F2BF8DC0"/>
    <w:rsid w:val="F2DB786E"/>
    <w:rsid w:val="F2FCDE09"/>
    <w:rsid w:val="F36AF729"/>
    <w:rsid w:val="F37515D6"/>
    <w:rsid w:val="F3DB2400"/>
    <w:rsid w:val="F3DE1C69"/>
    <w:rsid w:val="F3EEBA52"/>
    <w:rsid w:val="F3F8A7A2"/>
    <w:rsid w:val="F3FB5803"/>
    <w:rsid w:val="F3FC8101"/>
    <w:rsid w:val="F4BBFD59"/>
    <w:rsid w:val="F4BD7B94"/>
    <w:rsid w:val="F4FD8DAA"/>
    <w:rsid w:val="F4FEDC7A"/>
    <w:rsid w:val="F4FFA8A4"/>
    <w:rsid w:val="F55B4628"/>
    <w:rsid w:val="F5B2C71F"/>
    <w:rsid w:val="F5B58C94"/>
    <w:rsid w:val="F5BF5A13"/>
    <w:rsid w:val="F5DD6C5C"/>
    <w:rsid w:val="F5ED1FBA"/>
    <w:rsid w:val="F5EFFF3B"/>
    <w:rsid w:val="F5F1AA80"/>
    <w:rsid w:val="F5FA9456"/>
    <w:rsid w:val="F5FDD497"/>
    <w:rsid w:val="F5FE05FE"/>
    <w:rsid w:val="F5FEA743"/>
    <w:rsid w:val="F5FECE47"/>
    <w:rsid w:val="F66F2A01"/>
    <w:rsid w:val="F6AFA129"/>
    <w:rsid w:val="F6C54566"/>
    <w:rsid w:val="F6D73FBF"/>
    <w:rsid w:val="F6DF11D8"/>
    <w:rsid w:val="F6F536B5"/>
    <w:rsid w:val="F6FCF2FF"/>
    <w:rsid w:val="F6FDAD38"/>
    <w:rsid w:val="F6FE82E2"/>
    <w:rsid w:val="F6FF9DC1"/>
    <w:rsid w:val="F73F45FB"/>
    <w:rsid w:val="F73F8923"/>
    <w:rsid w:val="F7578934"/>
    <w:rsid w:val="F75B499A"/>
    <w:rsid w:val="F78B6D6C"/>
    <w:rsid w:val="F79A838E"/>
    <w:rsid w:val="F7AD1A04"/>
    <w:rsid w:val="F7B7E7A0"/>
    <w:rsid w:val="F7B9DE50"/>
    <w:rsid w:val="F7BB6A92"/>
    <w:rsid w:val="F7BB7728"/>
    <w:rsid w:val="F7BE19BF"/>
    <w:rsid w:val="F7BF65B4"/>
    <w:rsid w:val="F7BFD0A7"/>
    <w:rsid w:val="F7C65662"/>
    <w:rsid w:val="F7C7F999"/>
    <w:rsid w:val="F7CF17D2"/>
    <w:rsid w:val="F7D7B261"/>
    <w:rsid w:val="F7EF519E"/>
    <w:rsid w:val="F7EFC465"/>
    <w:rsid w:val="F7EFFA29"/>
    <w:rsid w:val="F7F675CE"/>
    <w:rsid w:val="F7F7D444"/>
    <w:rsid w:val="F7FD5BF2"/>
    <w:rsid w:val="F7FD8340"/>
    <w:rsid w:val="F7FE455D"/>
    <w:rsid w:val="F7FF3770"/>
    <w:rsid w:val="F7FFF5D0"/>
    <w:rsid w:val="F85CAB29"/>
    <w:rsid w:val="F877F415"/>
    <w:rsid w:val="F8F744C4"/>
    <w:rsid w:val="F95E13D5"/>
    <w:rsid w:val="F96386ED"/>
    <w:rsid w:val="F96AF7C8"/>
    <w:rsid w:val="F99AA149"/>
    <w:rsid w:val="F9B76169"/>
    <w:rsid w:val="F9BF03EE"/>
    <w:rsid w:val="F9E583ED"/>
    <w:rsid w:val="F9E80338"/>
    <w:rsid w:val="F9F744C6"/>
    <w:rsid w:val="FA4EDBF5"/>
    <w:rsid w:val="FA6B39CE"/>
    <w:rsid w:val="FA7E2AA8"/>
    <w:rsid w:val="FA7FC4AB"/>
    <w:rsid w:val="FAB5D30E"/>
    <w:rsid w:val="FAEB68B5"/>
    <w:rsid w:val="FAED730F"/>
    <w:rsid w:val="FAED9D92"/>
    <w:rsid w:val="FAEF8D71"/>
    <w:rsid w:val="FAF387FB"/>
    <w:rsid w:val="FAFA31BE"/>
    <w:rsid w:val="FAFBED91"/>
    <w:rsid w:val="FB56F8EA"/>
    <w:rsid w:val="FB5707DC"/>
    <w:rsid w:val="FB67ABB6"/>
    <w:rsid w:val="FB77210E"/>
    <w:rsid w:val="FB7994EE"/>
    <w:rsid w:val="FB7DFFA6"/>
    <w:rsid w:val="FBB9A53A"/>
    <w:rsid w:val="FBBB41C0"/>
    <w:rsid w:val="FBBE710E"/>
    <w:rsid w:val="FBBF0EAE"/>
    <w:rsid w:val="FBBF7CBA"/>
    <w:rsid w:val="FBBFF335"/>
    <w:rsid w:val="FBCB1B82"/>
    <w:rsid w:val="FBCCDB01"/>
    <w:rsid w:val="FBDDCA2A"/>
    <w:rsid w:val="FBDEA8F7"/>
    <w:rsid w:val="FBDF3C2A"/>
    <w:rsid w:val="FBEB4C9E"/>
    <w:rsid w:val="FBEDE30F"/>
    <w:rsid w:val="FBEF5FCC"/>
    <w:rsid w:val="FBEFC01B"/>
    <w:rsid w:val="FBFC3B65"/>
    <w:rsid w:val="FBFE30D5"/>
    <w:rsid w:val="FBFF49CE"/>
    <w:rsid w:val="FBFFB940"/>
    <w:rsid w:val="FBFFBB85"/>
    <w:rsid w:val="FBFFE154"/>
    <w:rsid w:val="FBFFE773"/>
    <w:rsid w:val="FC6EDB10"/>
    <w:rsid w:val="FC7FD5B4"/>
    <w:rsid w:val="FCAD7135"/>
    <w:rsid w:val="FCBBA4E6"/>
    <w:rsid w:val="FCFF1F01"/>
    <w:rsid w:val="FD2787B5"/>
    <w:rsid w:val="FD2A12A7"/>
    <w:rsid w:val="FD39275E"/>
    <w:rsid w:val="FD3BB5AF"/>
    <w:rsid w:val="FD4F33BE"/>
    <w:rsid w:val="FD633EB5"/>
    <w:rsid w:val="FD6F250E"/>
    <w:rsid w:val="FD77245C"/>
    <w:rsid w:val="FD775837"/>
    <w:rsid w:val="FD7CB389"/>
    <w:rsid w:val="FD7F4A65"/>
    <w:rsid w:val="FD7F8E75"/>
    <w:rsid w:val="FD7FAFE3"/>
    <w:rsid w:val="FDAFE1E9"/>
    <w:rsid w:val="FDBB2581"/>
    <w:rsid w:val="FDBF78CC"/>
    <w:rsid w:val="FDBF9C09"/>
    <w:rsid w:val="FDC5AD69"/>
    <w:rsid w:val="FDD55B29"/>
    <w:rsid w:val="FDD7CEC9"/>
    <w:rsid w:val="FDDA1A30"/>
    <w:rsid w:val="FDDBC8CF"/>
    <w:rsid w:val="FDE820F2"/>
    <w:rsid w:val="FDEEFBA7"/>
    <w:rsid w:val="FDEF873C"/>
    <w:rsid w:val="FDF3F7A6"/>
    <w:rsid w:val="FDFA800B"/>
    <w:rsid w:val="FDFAFFAE"/>
    <w:rsid w:val="FDFBDA97"/>
    <w:rsid w:val="FDFDFC5C"/>
    <w:rsid w:val="FDFF1EAF"/>
    <w:rsid w:val="FDFF2A30"/>
    <w:rsid w:val="FE37E72E"/>
    <w:rsid w:val="FE57B057"/>
    <w:rsid w:val="FE5BDA9F"/>
    <w:rsid w:val="FE6B6A0F"/>
    <w:rsid w:val="FE6ED01B"/>
    <w:rsid w:val="FE7DC431"/>
    <w:rsid w:val="FE7E8EB1"/>
    <w:rsid w:val="FE8A01A4"/>
    <w:rsid w:val="FE992609"/>
    <w:rsid w:val="FEAF5ECD"/>
    <w:rsid w:val="FEB05EF1"/>
    <w:rsid w:val="FEB79761"/>
    <w:rsid w:val="FEBBB3AF"/>
    <w:rsid w:val="FEBF4AA1"/>
    <w:rsid w:val="FEBF9062"/>
    <w:rsid w:val="FECA9D7E"/>
    <w:rsid w:val="FECF7DBE"/>
    <w:rsid w:val="FECFB5DA"/>
    <w:rsid w:val="FEDF4422"/>
    <w:rsid w:val="FEDF6936"/>
    <w:rsid w:val="FEE78FD7"/>
    <w:rsid w:val="FEE84BA1"/>
    <w:rsid w:val="FEEB0C45"/>
    <w:rsid w:val="FEEB4BC0"/>
    <w:rsid w:val="FEEE1482"/>
    <w:rsid w:val="FEEE938D"/>
    <w:rsid w:val="FEEFDA3E"/>
    <w:rsid w:val="FEF3139F"/>
    <w:rsid w:val="FEF79233"/>
    <w:rsid w:val="FEF7AA4E"/>
    <w:rsid w:val="FEFF022B"/>
    <w:rsid w:val="FEFF193C"/>
    <w:rsid w:val="FEFF4187"/>
    <w:rsid w:val="FEFF6955"/>
    <w:rsid w:val="FEFFF738"/>
    <w:rsid w:val="FF1AAE3E"/>
    <w:rsid w:val="FF1F6906"/>
    <w:rsid w:val="FF31229F"/>
    <w:rsid w:val="FF3B1873"/>
    <w:rsid w:val="FF3FFFB4"/>
    <w:rsid w:val="FF4DCE69"/>
    <w:rsid w:val="FF5351E6"/>
    <w:rsid w:val="FF5B9BBD"/>
    <w:rsid w:val="FF5F6291"/>
    <w:rsid w:val="FF67996C"/>
    <w:rsid w:val="FF6B12BC"/>
    <w:rsid w:val="FF6D6F4A"/>
    <w:rsid w:val="FF6E63A0"/>
    <w:rsid w:val="FF6FEE40"/>
    <w:rsid w:val="FF71E595"/>
    <w:rsid w:val="FF73A108"/>
    <w:rsid w:val="FF7560B9"/>
    <w:rsid w:val="FF761966"/>
    <w:rsid w:val="FF7713B6"/>
    <w:rsid w:val="FF788D96"/>
    <w:rsid w:val="FF7BB3D4"/>
    <w:rsid w:val="FF7EDC98"/>
    <w:rsid w:val="FF7F5A8C"/>
    <w:rsid w:val="FF7F67FA"/>
    <w:rsid w:val="FF7FA340"/>
    <w:rsid w:val="FF7FCADC"/>
    <w:rsid w:val="FF834E39"/>
    <w:rsid w:val="FF8F7E04"/>
    <w:rsid w:val="FF9F0FAC"/>
    <w:rsid w:val="FF9F3866"/>
    <w:rsid w:val="FF9FB7DE"/>
    <w:rsid w:val="FFAF0D25"/>
    <w:rsid w:val="FFB36AF6"/>
    <w:rsid w:val="FFB5C37B"/>
    <w:rsid w:val="FFB9E5FA"/>
    <w:rsid w:val="FFBB6A91"/>
    <w:rsid w:val="FFBB87DC"/>
    <w:rsid w:val="FFBD9AB4"/>
    <w:rsid w:val="FFBE92CA"/>
    <w:rsid w:val="FFBF0C38"/>
    <w:rsid w:val="FFBF53B3"/>
    <w:rsid w:val="FFBF61DD"/>
    <w:rsid w:val="FFBF6E35"/>
    <w:rsid w:val="FFBFB248"/>
    <w:rsid w:val="FFBFF5C0"/>
    <w:rsid w:val="FFC9E238"/>
    <w:rsid w:val="FFCB47E9"/>
    <w:rsid w:val="FFCBCBC0"/>
    <w:rsid w:val="FFCBF44A"/>
    <w:rsid w:val="FFCFEA05"/>
    <w:rsid w:val="FFD3F962"/>
    <w:rsid w:val="FFDA8AAB"/>
    <w:rsid w:val="FFDB0E39"/>
    <w:rsid w:val="FFDBADE3"/>
    <w:rsid w:val="FFDBFB54"/>
    <w:rsid w:val="FFDE2902"/>
    <w:rsid w:val="FFDE7B73"/>
    <w:rsid w:val="FFDF21C0"/>
    <w:rsid w:val="FFDFCF64"/>
    <w:rsid w:val="FFE526F7"/>
    <w:rsid w:val="FFE7B077"/>
    <w:rsid w:val="FFE92FC8"/>
    <w:rsid w:val="FFEC63D7"/>
    <w:rsid w:val="FFEE7175"/>
    <w:rsid w:val="FFEF043E"/>
    <w:rsid w:val="FFEF977F"/>
    <w:rsid w:val="FFEFCEF4"/>
    <w:rsid w:val="FFF10E7A"/>
    <w:rsid w:val="FFF2524E"/>
    <w:rsid w:val="FFF59FE1"/>
    <w:rsid w:val="FFF63C7A"/>
    <w:rsid w:val="FFF73829"/>
    <w:rsid w:val="FFF84ABE"/>
    <w:rsid w:val="FFF9F56F"/>
    <w:rsid w:val="FFFAAAE5"/>
    <w:rsid w:val="FFFB148D"/>
    <w:rsid w:val="FFFB9530"/>
    <w:rsid w:val="FFFD1DE9"/>
    <w:rsid w:val="FFFD2D1F"/>
    <w:rsid w:val="FFFD88E9"/>
    <w:rsid w:val="FFFD9B74"/>
    <w:rsid w:val="FFFDB94B"/>
    <w:rsid w:val="FFFDEAB1"/>
    <w:rsid w:val="FFFE2F7C"/>
    <w:rsid w:val="FFFE9CDE"/>
    <w:rsid w:val="FFFEAC17"/>
    <w:rsid w:val="FFFEBF0A"/>
    <w:rsid w:val="FFFEEB1B"/>
    <w:rsid w:val="FFFF3469"/>
    <w:rsid w:val="FFFF3A77"/>
    <w:rsid w:val="FFFF3E17"/>
    <w:rsid w:val="FFFF430E"/>
    <w:rsid w:val="FFFF9709"/>
    <w:rsid w:val="FFFF99EE"/>
    <w:rsid w:val="FFFFC2AF"/>
    <w:rsid w:val="FFFFF36A"/>
    <w:rsid w:val="FFFFF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kern w:val="0"/>
      <w:sz w:val="28"/>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semiHidden/>
    <w:qFormat/>
    <w:uiPriority w:val="0"/>
    <w:rPr>
      <w:rFonts w:ascii="仿宋" w:hAnsi="仿宋" w:eastAsia="仿宋" w:cs="仿宋"/>
      <w:sz w:val="31"/>
      <w:szCs w:val="31"/>
      <w:lang w:val="en-US" w:eastAsia="en-US" w:bidi="ar-SA"/>
    </w:rPr>
  </w:style>
  <w:style w:type="paragraph" w:customStyle="1" w:styleId="5">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18030" w:hAnsi="???-18030" w:cs="???-18030"/>
      <w:kern w:val="0"/>
    </w:rPr>
  </w:style>
  <w:style w:type="paragraph" w:styleId="6">
    <w:name w:val="toc 5"/>
    <w:basedOn w:val="1"/>
    <w:next w:val="1"/>
    <w:qFormat/>
    <w:uiPriority w:val="0"/>
    <w:pPr>
      <w:ind w:left="1680" w:leftChars="8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12">
    <w:name w:val="列出段落1"/>
    <w:basedOn w:val="1"/>
    <w:qFormat/>
    <w:uiPriority w:val="34"/>
    <w:pPr>
      <w:ind w:firstLine="420" w:firstLineChars="200"/>
    </w:pPr>
  </w:style>
  <w:style w:type="paragraph" w:styleId="13">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5099</Words>
  <Characters>5660</Characters>
  <Lines>0</Lines>
  <Paragraphs>0</Paragraphs>
  <TotalTime>73</TotalTime>
  <ScaleCrop>false</ScaleCrop>
  <LinksUpToDate>false</LinksUpToDate>
  <CharactersWithSpaces>5830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2024-04-01T16:36:00Z</dcterms:created>
  <dc:creator>Administrator</dc:creator>
  <cp:lastModifiedBy>huawei</cp:lastModifiedBy>
  <cp:lastPrinted>2026-06-22T23:56:00Z</cp:lastPrinted>
  <dcterms:modified xsi:type="dcterms:W3CDTF">2026-06-25T10:54:47Z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6182D3A10D564617983F46DEE354AEAF</vt:lpwstr>
  </property>
  <property fmtid="{D5CDD505-2E9C-101B-9397-08002B2CF9AE}" pid="4" name="KSOTemplateDocerSaveRecord">
    <vt:lpwstr>eyJoZGlkIjoiMTQ5OTBlMjkxOGJkZTY2YWVjYTkxNWZjODEzNjkwZDciLCJ1c2VySWQiOiI3MzkwMTIwMjYifQ==</vt:lpwstr>
  </property>
</Properties>
</file>