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D4703D">
      <w:pPr>
        <w:jc w:val="center"/>
        <w:rPr>
          <w:rFonts w:hint="eastAsia" w:ascii="方正小标宋简体" w:hAnsi="方正小标宋简体" w:eastAsia="方正小标宋简体" w:cs="方正小标宋简体"/>
          <w:sz w:val="44"/>
          <w:szCs w:val="44"/>
        </w:rPr>
      </w:pPr>
    </w:p>
    <w:p w14:paraId="4819862D">
      <w:pPr>
        <w:jc w:val="center"/>
        <w:rPr>
          <w:rFonts w:hint="eastAsia" w:ascii="方正小标宋简体" w:hAnsi="方正小标宋简体" w:eastAsia="方正小标宋简体" w:cs="方正小标宋简体"/>
          <w:sz w:val="44"/>
          <w:szCs w:val="44"/>
        </w:rPr>
      </w:pPr>
    </w:p>
    <w:p w14:paraId="15CD7942">
      <w:pPr>
        <w:jc w:val="center"/>
        <w:rPr>
          <w:rFonts w:hint="eastAsia" w:ascii="方正小标宋简体" w:hAnsi="方正小标宋简体" w:eastAsia="方正小标宋简体" w:cs="方正小标宋简体"/>
          <w:sz w:val="44"/>
          <w:szCs w:val="44"/>
        </w:rPr>
      </w:pPr>
    </w:p>
    <w:p w14:paraId="2EFED6D5">
      <w:pPr>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color w:val="000000"/>
          <w:sz w:val="44"/>
          <w:szCs w:val="44"/>
        </w:rPr>
        <w:t>岳阳市智慧城管指挥中心</w:t>
      </w:r>
    </w:p>
    <w:p w14:paraId="2B39C007">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14:paraId="60E59557">
      <w:pPr>
        <w:jc w:val="both"/>
        <w:rPr>
          <w:rFonts w:hint="default" w:ascii="Times New Roman" w:hAnsi="Times New Roman" w:eastAsia="楷体_GB2312" w:cs="Times New Roman"/>
          <w:b/>
          <w:sz w:val="32"/>
          <w:szCs w:val="32"/>
        </w:rPr>
      </w:pPr>
    </w:p>
    <w:p w14:paraId="339F6292">
      <w:pPr>
        <w:jc w:val="center"/>
        <w:rPr>
          <w:rFonts w:hint="default" w:ascii="Times New Roman" w:hAnsi="Times New Roman" w:eastAsia="楷体_GB2312" w:cs="Times New Roman"/>
          <w:b/>
          <w:sz w:val="32"/>
          <w:szCs w:val="32"/>
        </w:rPr>
      </w:pPr>
    </w:p>
    <w:p w14:paraId="7DCA2814">
      <w:pPr>
        <w:jc w:val="center"/>
        <w:rPr>
          <w:rFonts w:hint="default" w:ascii="Times New Roman" w:hAnsi="Times New Roman" w:eastAsia="黑体" w:cs="Times New Roman"/>
          <w:sz w:val="32"/>
          <w:szCs w:val="32"/>
        </w:rPr>
      </w:pPr>
    </w:p>
    <w:p w14:paraId="3D0BB415">
      <w:pPr>
        <w:jc w:val="center"/>
        <w:rPr>
          <w:rFonts w:hint="default" w:ascii="Times New Roman" w:hAnsi="Times New Roman" w:eastAsia="黑体" w:cs="Times New Roman"/>
          <w:sz w:val="32"/>
          <w:szCs w:val="32"/>
        </w:rPr>
      </w:pPr>
    </w:p>
    <w:p w14:paraId="15BF696E">
      <w:pPr>
        <w:jc w:val="center"/>
        <w:rPr>
          <w:rFonts w:hint="default" w:ascii="Times New Roman" w:hAnsi="Times New Roman" w:eastAsia="黑体" w:cs="Times New Roman"/>
          <w:sz w:val="32"/>
          <w:szCs w:val="32"/>
        </w:rPr>
      </w:pPr>
    </w:p>
    <w:p w14:paraId="59496CCB">
      <w:pPr>
        <w:jc w:val="center"/>
        <w:rPr>
          <w:rFonts w:hint="default" w:ascii="Times New Roman" w:hAnsi="Times New Roman" w:eastAsia="黑体" w:cs="Times New Roman"/>
          <w:sz w:val="32"/>
          <w:szCs w:val="32"/>
        </w:rPr>
      </w:pPr>
    </w:p>
    <w:p w14:paraId="116EE721">
      <w:pPr>
        <w:jc w:val="both"/>
        <w:rPr>
          <w:rFonts w:hint="default" w:ascii="Times New Roman" w:hAnsi="Times New Roman" w:eastAsia="黑体" w:cs="Times New Roman"/>
          <w:sz w:val="32"/>
          <w:szCs w:val="32"/>
        </w:rPr>
      </w:pPr>
    </w:p>
    <w:p w14:paraId="33DF0BAB">
      <w:pPr>
        <w:jc w:val="both"/>
        <w:rPr>
          <w:rFonts w:hint="default" w:ascii="Times New Roman" w:hAnsi="Times New Roman" w:eastAsia="黑体" w:cs="Times New Roman"/>
          <w:sz w:val="32"/>
          <w:szCs w:val="32"/>
        </w:rPr>
      </w:pPr>
    </w:p>
    <w:p w14:paraId="1A1B8A5C">
      <w:pPr>
        <w:jc w:val="center"/>
        <w:rPr>
          <w:rFonts w:hint="default" w:ascii="Times New Roman" w:hAnsi="Times New Roman" w:eastAsia="黑体" w:cs="Times New Roman"/>
          <w:sz w:val="32"/>
          <w:szCs w:val="32"/>
        </w:rPr>
      </w:pPr>
    </w:p>
    <w:p w14:paraId="7AC71569">
      <w:pPr>
        <w:spacing w:line="600" w:lineRule="exact"/>
        <w:jc w:val="center"/>
        <w:rPr>
          <w:rFonts w:hint="eastAsia" w:asciiTheme="majorEastAsia" w:hAnsiTheme="majorEastAsia" w:eastAsiaTheme="majorEastAsia" w:cstheme="majorEastAsia"/>
          <w:b/>
          <w:bCs/>
          <w:sz w:val="32"/>
          <w:szCs w:val="32"/>
          <w:lang w:val="en-US" w:eastAsia="zh-CN"/>
        </w:rPr>
      </w:pPr>
      <w:r>
        <w:rPr>
          <w:rFonts w:hint="eastAsia" w:asciiTheme="majorEastAsia" w:hAnsiTheme="majorEastAsia" w:eastAsiaTheme="majorEastAsia" w:cstheme="majorEastAsia"/>
          <w:b/>
          <w:bCs/>
          <w:sz w:val="32"/>
          <w:szCs w:val="32"/>
        </w:rPr>
        <w:t>单位名称：</w:t>
      </w:r>
      <w:r>
        <w:rPr>
          <w:rFonts w:hint="eastAsia" w:asciiTheme="majorEastAsia" w:hAnsiTheme="majorEastAsia" w:eastAsiaTheme="majorEastAsia" w:cstheme="majorEastAsia"/>
          <w:b/>
          <w:bCs/>
          <w:color w:val="000000"/>
          <w:sz w:val="32"/>
          <w:szCs w:val="32"/>
          <w:u w:val="single"/>
        </w:rPr>
        <w:t>岳阳市智慧城管指挥中心</w:t>
      </w:r>
    </w:p>
    <w:p w14:paraId="7DBAC52D">
      <w:pPr>
        <w:spacing w:line="600" w:lineRule="exact"/>
        <w:jc w:val="center"/>
        <w:rPr>
          <w:rFonts w:hint="eastAsia" w:asciiTheme="majorEastAsia" w:hAnsiTheme="majorEastAsia" w:eastAsiaTheme="majorEastAsia" w:cstheme="majorEastAsia"/>
          <w:b/>
          <w:bCs/>
          <w:sz w:val="32"/>
          <w:szCs w:val="32"/>
          <w:lang w:val="en-US" w:eastAsia="zh-CN"/>
        </w:rPr>
      </w:pPr>
    </w:p>
    <w:p w14:paraId="7DA6ABCD">
      <w:pPr>
        <w:spacing w:line="600" w:lineRule="exact"/>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lang w:val="en-US" w:eastAsia="zh-CN"/>
        </w:rPr>
        <w:t>2025</w:t>
      </w:r>
      <w:r>
        <w:rPr>
          <w:rFonts w:hint="eastAsia" w:asciiTheme="majorEastAsia" w:hAnsiTheme="majorEastAsia" w:eastAsiaTheme="majorEastAsia" w:cstheme="majorEastAsia"/>
          <w:b/>
          <w:bCs/>
          <w:sz w:val="32"/>
          <w:szCs w:val="32"/>
        </w:rPr>
        <w:t>年</w:t>
      </w:r>
      <w:r>
        <w:rPr>
          <w:rFonts w:hint="eastAsia" w:asciiTheme="majorEastAsia" w:hAnsiTheme="majorEastAsia" w:eastAsiaTheme="majorEastAsia" w:cstheme="majorEastAsia"/>
          <w:b/>
          <w:bCs/>
          <w:sz w:val="32"/>
          <w:szCs w:val="32"/>
          <w:lang w:val="en-US" w:eastAsia="zh-CN"/>
        </w:rPr>
        <w:t>6</w:t>
      </w:r>
      <w:r>
        <w:rPr>
          <w:rFonts w:hint="eastAsia" w:asciiTheme="majorEastAsia" w:hAnsiTheme="majorEastAsia" w:eastAsiaTheme="majorEastAsia" w:cstheme="majorEastAsia"/>
          <w:b/>
          <w:bCs/>
          <w:sz w:val="32"/>
          <w:szCs w:val="32"/>
        </w:rPr>
        <w:t>月</w:t>
      </w:r>
      <w:r>
        <w:rPr>
          <w:rFonts w:hint="eastAsia" w:asciiTheme="majorEastAsia" w:hAnsiTheme="majorEastAsia" w:eastAsiaTheme="majorEastAsia" w:cstheme="majorEastAsia"/>
          <w:b/>
          <w:bCs/>
          <w:sz w:val="32"/>
          <w:szCs w:val="32"/>
          <w:lang w:val="en-US" w:eastAsia="zh-CN"/>
        </w:rPr>
        <w:t>23</w:t>
      </w:r>
      <w:r>
        <w:rPr>
          <w:rFonts w:hint="eastAsia" w:asciiTheme="majorEastAsia" w:hAnsiTheme="majorEastAsia" w:eastAsiaTheme="majorEastAsia" w:cstheme="majorEastAsia"/>
          <w:b/>
          <w:bCs/>
          <w:sz w:val="32"/>
          <w:szCs w:val="32"/>
        </w:rPr>
        <w:t>日</w:t>
      </w:r>
    </w:p>
    <w:p w14:paraId="68018520">
      <w:pPr>
        <w:jc w:val="center"/>
        <w:rPr>
          <w:rFonts w:hint="default" w:ascii="Times New Roman" w:hAnsi="Times New Roman" w:eastAsia="仿宋_GB2312" w:cs="Times New Roman"/>
          <w:sz w:val="32"/>
          <w:szCs w:val="32"/>
        </w:rPr>
      </w:pPr>
    </w:p>
    <w:p w14:paraId="5D2CEA1C">
      <w:pPr>
        <w:jc w:val="center"/>
        <w:rPr>
          <w:rFonts w:hint="eastAsia" w:ascii="方正小标宋简体" w:hAnsi="方正小标宋简体" w:eastAsia="方正小标宋简体" w:cs="方正小标宋简体"/>
          <w:color w:val="000000"/>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color w:val="000000"/>
          <w:sz w:val="44"/>
          <w:szCs w:val="44"/>
        </w:rPr>
        <w:t>岳阳市智慧城管指挥中心</w:t>
      </w:r>
    </w:p>
    <w:p w14:paraId="4394B2B9">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14:paraId="77178C9A">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rPr>
      </w:pPr>
    </w:p>
    <w:p w14:paraId="0E85802D">
      <w:pPr>
        <w:keepNext w:val="0"/>
        <w:keepLines w:val="0"/>
        <w:pageBreakBefore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单位基本情况</w:t>
      </w:r>
    </w:p>
    <w:p w14:paraId="715063BF">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（一）职能职责</w:t>
      </w:r>
    </w:p>
    <w:p w14:paraId="245E527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1、贯彻执行国家和省有关数字化城市管理的法律法规；</w:t>
      </w:r>
    </w:p>
    <w:p w14:paraId="65361906">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2、根据授权负责中心地区数字化城市管理监督、指挥、调度和协调工作；</w:t>
      </w:r>
    </w:p>
    <w:p w14:paraId="557560E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3、负责城市管理监督指挥系统市级平台的日常维护和管理；</w:t>
      </w:r>
    </w:p>
    <w:p w14:paraId="6F5798C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负责对各类城市管理信息的收集、分析和整理，为城市管理现状及市级责任部门、岳阳楼区政府、岳阳经济技术开发区管委会、湖南岳阳洞庭湖旅游度假区管委会和相关责任人履行城市管事职责和情况提供考核评价的依据；</w:t>
      </w:r>
    </w:p>
    <w:p w14:paraId="58E1BC8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5、负责对数字化城市管理信息采集工作和平台受理工作进行监督；</w:t>
      </w:r>
    </w:p>
    <w:p w14:paraId="396AB8A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6、负责受理数字化城市管理的投诉、举报等有关工作；</w:t>
      </w:r>
    </w:p>
    <w:p w14:paraId="6E54590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7、负责对县市区数字化城市管理工作的业务指导；</w:t>
      </w:r>
    </w:p>
    <w:p w14:paraId="211E573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8、完成市委、市政府和市城市管理局交办的其他工作。</w:t>
      </w:r>
    </w:p>
    <w:p w14:paraId="75FF26F2">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（二）机构设置</w:t>
      </w:r>
    </w:p>
    <w:p w14:paraId="6015EAD9">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本</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b w:val="0"/>
          <w:bCs w:val="0"/>
          <w:kern w:val="0"/>
          <w:sz w:val="32"/>
          <w:szCs w:val="32"/>
          <w:lang w:val="en-US" w:eastAsia="zh-CN"/>
        </w:rPr>
        <w:t>为岳阳市城市管理和综合执法局直属</w:t>
      </w:r>
      <w:r>
        <w:rPr>
          <w:rFonts w:hint="eastAsia" w:ascii="仿宋_GB2312" w:hAnsi="仿宋_GB2312" w:eastAsia="仿宋_GB2312" w:cs="仿宋_GB2312"/>
          <w:kern w:val="0"/>
          <w:sz w:val="32"/>
          <w:szCs w:val="32"/>
          <w:lang w:eastAsia="zh-CN"/>
        </w:rPr>
        <w:t>全额拨款</w:t>
      </w:r>
      <w:r>
        <w:rPr>
          <w:rFonts w:hint="eastAsia" w:ascii="仿宋_GB2312" w:hAnsi="仿宋_GB2312" w:eastAsia="仿宋_GB2312" w:cs="仿宋_GB2312"/>
          <w:sz w:val="32"/>
          <w:szCs w:val="32"/>
        </w:rPr>
        <w:t>公益一类</w:t>
      </w:r>
      <w:r>
        <w:rPr>
          <w:rFonts w:hint="eastAsia" w:ascii="仿宋_GB2312" w:hAnsi="仿宋_GB2312" w:eastAsia="仿宋_GB2312" w:cs="仿宋_GB2312"/>
          <w:kern w:val="0"/>
          <w:sz w:val="32"/>
          <w:szCs w:val="32"/>
          <w:lang w:eastAsia="zh-CN"/>
        </w:rPr>
        <w:t>事业单位，现有编制</w:t>
      </w:r>
      <w:r>
        <w:rPr>
          <w:rFonts w:hint="eastAsia" w:ascii="仿宋_GB2312" w:hAnsi="仿宋_GB2312" w:eastAsia="仿宋_GB2312" w:cs="仿宋_GB2312"/>
          <w:kern w:val="0"/>
          <w:sz w:val="32"/>
          <w:szCs w:val="32"/>
          <w:lang w:val="en-US" w:eastAsia="zh-CN"/>
        </w:rPr>
        <w:t>人数25人，</w:t>
      </w:r>
      <w:r>
        <w:rPr>
          <w:rFonts w:hint="eastAsia" w:ascii="仿宋_GB2312" w:hAnsi="仿宋_GB2312" w:eastAsia="仿宋_GB2312" w:cs="仿宋_GB2312"/>
          <w:sz w:val="32"/>
          <w:szCs w:val="32"/>
        </w:rPr>
        <w:t>下设部室：综合部、信息采集部、投诉受理部、技术保障部、网站管理部5个职能部室。</w:t>
      </w:r>
    </w:p>
    <w:p w14:paraId="2391039A">
      <w:pPr>
        <w:pStyle w:val="13"/>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二、一般公共预算支出情况</w:t>
      </w:r>
    </w:p>
    <w:p w14:paraId="56EC7FC3">
      <w:pPr>
        <w:pStyle w:val="13"/>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（一）基本支出情况</w:t>
      </w:r>
    </w:p>
    <w:p w14:paraId="76398CF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val="en-US" w:eastAsia="zh-CN"/>
        </w:rPr>
        <w:t>,单位</w:t>
      </w:r>
      <w:r>
        <w:rPr>
          <w:rFonts w:hint="eastAsia" w:ascii="仿宋_GB2312" w:hAnsi="仿宋_GB2312" w:eastAsia="仿宋_GB2312" w:cs="仿宋_GB2312"/>
          <w:bCs/>
          <w:sz w:val="32"/>
          <w:szCs w:val="32"/>
        </w:rPr>
        <w:t>基本支出</w:t>
      </w:r>
      <w:r>
        <w:rPr>
          <w:rFonts w:hint="eastAsia" w:ascii="仿宋_GB2312" w:hAnsi="仿宋_GB2312" w:eastAsia="仿宋_GB2312" w:cs="仿宋_GB2312"/>
          <w:bCs/>
          <w:sz w:val="32"/>
          <w:szCs w:val="32"/>
          <w:lang w:val="en-US" w:eastAsia="zh-CN"/>
        </w:rPr>
        <w:t>总额为403.25</w:t>
      </w:r>
      <w:r>
        <w:rPr>
          <w:rFonts w:hint="eastAsia" w:ascii="仿宋_GB2312" w:hAnsi="仿宋_GB2312" w:eastAsia="仿宋_GB2312" w:cs="仿宋_GB2312"/>
          <w:bCs/>
          <w:sz w:val="32"/>
          <w:szCs w:val="32"/>
        </w:rPr>
        <w:t>元，</w:t>
      </w:r>
      <w:r>
        <w:rPr>
          <w:rFonts w:hint="eastAsia" w:ascii="仿宋_GB2312" w:hAnsi="仿宋_GB2312" w:eastAsia="仿宋_GB2312" w:cs="仿宋_GB2312"/>
          <w:bCs/>
          <w:sz w:val="32"/>
          <w:szCs w:val="32"/>
          <w:lang w:eastAsia="zh-CN"/>
        </w:rPr>
        <w:t>其中人员经费支出</w:t>
      </w:r>
      <w:r>
        <w:rPr>
          <w:rFonts w:hint="eastAsia" w:ascii="仿宋_GB2312" w:hAnsi="仿宋_GB2312" w:eastAsia="仿宋_GB2312" w:cs="仿宋_GB2312"/>
          <w:bCs/>
          <w:sz w:val="32"/>
          <w:szCs w:val="32"/>
          <w:lang w:val="en-US" w:eastAsia="zh-CN"/>
        </w:rPr>
        <w:t>374.71万元，主要用于</w:t>
      </w:r>
      <w:r>
        <w:rPr>
          <w:rFonts w:hint="eastAsia" w:ascii="仿宋_GB2312" w:hAnsi="仿宋_GB2312" w:eastAsia="仿宋_GB2312" w:cs="仿宋_GB2312"/>
          <w:bCs/>
          <w:sz w:val="32"/>
          <w:szCs w:val="32"/>
          <w:highlight w:val="none"/>
          <w:lang w:val="en-US" w:eastAsia="zh-CN"/>
        </w:rPr>
        <w:t>职工基本工资、津补贴、绩效工资及社会保障缴费等支出。公用经费支出28.54万元，</w:t>
      </w:r>
      <w:r>
        <w:rPr>
          <w:rFonts w:hint="eastAsia" w:ascii="仿宋_GB2312" w:hAnsi="仿宋_GB2312" w:eastAsia="仿宋_GB2312" w:cs="仿宋_GB2312"/>
          <w:bCs/>
          <w:sz w:val="32"/>
          <w:szCs w:val="32"/>
          <w:lang w:val="en-US" w:eastAsia="zh-CN"/>
        </w:rPr>
        <w:t>主要用于办公费、印刷费、水电费、邮电费、物业费、差旅费、维修（护）费、租赁费、会议费、培训费、公务接待费、劳务费、委托业务费、工会经费、公务用车运行费、其他交通费用、其他商品和服务等</w:t>
      </w:r>
      <w:r>
        <w:rPr>
          <w:rFonts w:hint="eastAsia" w:ascii="仿宋_GB2312" w:hAnsi="仿宋_GB2312" w:eastAsia="仿宋_GB2312" w:cs="仿宋_GB2312"/>
          <w:bCs/>
          <w:sz w:val="32"/>
          <w:szCs w:val="32"/>
          <w:highlight w:val="none"/>
          <w:lang w:val="en-US" w:eastAsia="zh-CN"/>
        </w:rPr>
        <w:t>保障单位</w:t>
      </w:r>
      <w:r>
        <w:rPr>
          <w:rFonts w:hint="eastAsia" w:ascii="仿宋_GB2312" w:hAnsi="仿宋_GB2312" w:eastAsia="仿宋_GB2312" w:cs="仿宋_GB2312"/>
          <w:bCs/>
          <w:sz w:val="32"/>
          <w:szCs w:val="32"/>
          <w:lang w:val="en-US" w:eastAsia="zh-CN"/>
        </w:rPr>
        <w:t>运转</w:t>
      </w:r>
      <w:r>
        <w:rPr>
          <w:rFonts w:hint="eastAsia" w:ascii="仿宋_GB2312" w:hAnsi="仿宋_GB2312" w:eastAsia="仿宋_GB2312" w:cs="仿宋_GB2312"/>
          <w:bCs/>
          <w:sz w:val="32"/>
          <w:szCs w:val="32"/>
          <w:highlight w:val="none"/>
          <w:lang w:val="en-US" w:eastAsia="zh-CN"/>
        </w:rPr>
        <w:t>的</w:t>
      </w:r>
      <w:r>
        <w:rPr>
          <w:rFonts w:hint="eastAsia" w:ascii="仿宋_GB2312" w:hAnsi="仿宋_GB2312" w:eastAsia="仿宋_GB2312" w:cs="仿宋_GB2312"/>
          <w:bCs/>
          <w:sz w:val="32"/>
          <w:szCs w:val="32"/>
          <w:lang w:val="en-US" w:eastAsia="zh-CN"/>
        </w:rPr>
        <w:t>支出。</w:t>
      </w:r>
    </w:p>
    <w:p w14:paraId="0BCCC55C">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Cs/>
          <w:sz w:val="32"/>
          <w:szCs w:val="32"/>
        </w:rPr>
        <w:t>本年度公务接待费</w:t>
      </w:r>
      <w:r>
        <w:rPr>
          <w:rFonts w:hint="eastAsia" w:ascii="仿宋_GB2312" w:hAnsi="仿宋_GB2312" w:eastAsia="仿宋_GB2312" w:cs="仿宋_GB2312"/>
          <w:bCs/>
          <w:sz w:val="32"/>
          <w:szCs w:val="32"/>
          <w:lang w:eastAsia="zh-CN"/>
        </w:rPr>
        <w:t>预算</w:t>
      </w:r>
      <w:r>
        <w:rPr>
          <w:rFonts w:hint="eastAsia" w:ascii="仿宋_GB2312" w:hAnsi="仿宋_GB2312" w:eastAsia="仿宋_GB2312" w:cs="仿宋_GB2312"/>
          <w:bCs/>
          <w:sz w:val="32"/>
          <w:szCs w:val="32"/>
          <w:lang w:val="en-US" w:eastAsia="zh-CN"/>
        </w:rPr>
        <w:t>金额为0万元，实际</w:t>
      </w:r>
      <w:r>
        <w:rPr>
          <w:rFonts w:hint="eastAsia" w:ascii="仿宋_GB2312" w:hAnsi="仿宋_GB2312" w:eastAsia="仿宋_GB2312" w:cs="仿宋_GB2312"/>
          <w:bCs/>
          <w:sz w:val="32"/>
          <w:szCs w:val="32"/>
        </w:rPr>
        <w:t>支出0万元，</w:t>
      </w:r>
      <w:r>
        <w:rPr>
          <w:rFonts w:hint="eastAsia" w:ascii="仿宋_GB2312" w:hAnsi="仿宋_GB2312" w:eastAsia="仿宋_GB2312" w:cs="仿宋_GB2312"/>
          <w:bCs/>
          <w:sz w:val="32"/>
          <w:szCs w:val="32"/>
          <w:lang w:val="en-US" w:eastAsia="zh-CN"/>
        </w:rPr>
        <w:t>公务用车购置及</w:t>
      </w:r>
      <w:r>
        <w:rPr>
          <w:rFonts w:hint="eastAsia" w:ascii="仿宋_GB2312" w:hAnsi="仿宋_GB2312" w:eastAsia="仿宋_GB2312" w:cs="仿宋_GB2312"/>
          <w:bCs/>
          <w:sz w:val="32"/>
          <w:szCs w:val="32"/>
        </w:rPr>
        <w:t>公务用车运行维护费支出</w:t>
      </w:r>
      <w:r>
        <w:rPr>
          <w:rFonts w:hint="eastAsia" w:ascii="仿宋_GB2312" w:hAnsi="仿宋_GB2312" w:eastAsia="仿宋_GB2312" w:cs="仿宋_GB2312"/>
          <w:bCs/>
          <w:sz w:val="32"/>
          <w:szCs w:val="32"/>
          <w:lang w:eastAsia="zh-CN"/>
        </w:rPr>
        <w:t>预算</w:t>
      </w:r>
      <w:r>
        <w:rPr>
          <w:rFonts w:hint="eastAsia" w:ascii="仿宋_GB2312" w:hAnsi="仿宋_GB2312" w:eastAsia="仿宋_GB2312" w:cs="仿宋_GB2312"/>
          <w:bCs/>
          <w:sz w:val="32"/>
          <w:szCs w:val="32"/>
          <w:lang w:val="en-US" w:eastAsia="zh-CN"/>
        </w:rPr>
        <w:t>和实际支出数均为0</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，因</w:t>
      </w:r>
      <w:r>
        <w:rPr>
          <w:rFonts w:hint="eastAsia" w:ascii="仿宋_GB2312" w:hAnsi="仿宋_GB2312" w:eastAsia="仿宋_GB2312" w:cs="仿宋_GB2312"/>
          <w:bCs/>
          <w:sz w:val="32"/>
          <w:szCs w:val="32"/>
        </w:rPr>
        <w:t>公出国</w:t>
      </w:r>
      <w:r>
        <w:rPr>
          <w:rFonts w:hint="eastAsia" w:ascii="仿宋_GB2312" w:hAnsi="仿宋_GB2312" w:eastAsia="仿宋_GB2312" w:cs="仿宋_GB2312"/>
          <w:bCs/>
          <w:sz w:val="32"/>
          <w:szCs w:val="32"/>
          <w:lang w:eastAsia="zh-CN"/>
        </w:rPr>
        <w:t>费用</w:t>
      </w:r>
      <w:r>
        <w:rPr>
          <w:rFonts w:hint="eastAsia" w:ascii="仿宋_GB2312" w:hAnsi="仿宋_GB2312" w:eastAsia="仿宋_GB2312" w:cs="仿宋_GB2312"/>
          <w:bCs/>
          <w:sz w:val="32"/>
          <w:szCs w:val="32"/>
          <w:lang w:val="en-US" w:eastAsia="zh-CN"/>
        </w:rPr>
        <w:t>预算与实际</w:t>
      </w:r>
      <w:r>
        <w:rPr>
          <w:rFonts w:hint="eastAsia" w:ascii="仿宋_GB2312" w:hAnsi="仿宋_GB2312" w:eastAsia="仿宋_GB2312" w:cs="仿宋_GB2312"/>
          <w:bCs/>
          <w:sz w:val="32"/>
          <w:szCs w:val="32"/>
        </w:rPr>
        <w:t>支出</w:t>
      </w:r>
      <w:r>
        <w:rPr>
          <w:rFonts w:hint="eastAsia" w:ascii="仿宋_GB2312" w:hAnsi="仿宋_GB2312" w:eastAsia="仿宋_GB2312" w:cs="仿宋_GB2312"/>
          <w:bCs/>
          <w:sz w:val="32"/>
          <w:szCs w:val="32"/>
          <w:lang w:val="en-US" w:eastAsia="zh-CN"/>
        </w:rPr>
        <w:t>数均为</w:t>
      </w:r>
      <w:r>
        <w:rPr>
          <w:rFonts w:hint="eastAsia" w:ascii="仿宋_GB2312" w:hAnsi="仿宋_GB2312" w:eastAsia="仿宋_GB2312" w:cs="仿宋_GB2312"/>
          <w:bCs/>
          <w:sz w:val="32"/>
          <w:szCs w:val="32"/>
        </w:rPr>
        <w:t>0万元</w:t>
      </w:r>
      <w:r>
        <w:rPr>
          <w:rFonts w:hint="eastAsia" w:ascii="仿宋_GB2312" w:hAnsi="仿宋_GB2312" w:eastAsia="仿宋_GB2312" w:cs="仿宋_GB2312"/>
          <w:bCs/>
          <w:sz w:val="32"/>
          <w:szCs w:val="32"/>
          <w:lang w:eastAsia="zh-CN"/>
        </w:rPr>
        <w:t>，“三公经费”支出</w:t>
      </w:r>
      <w:r>
        <w:rPr>
          <w:rFonts w:hint="eastAsia" w:ascii="仿宋_GB2312" w:hAnsi="仿宋_GB2312" w:eastAsia="仿宋_GB2312" w:cs="仿宋_GB2312"/>
          <w:bCs/>
          <w:sz w:val="32"/>
          <w:szCs w:val="32"/>
          <w:lang w:val="en-US" w:eastAsia="zh-CN"/>
        </w:rPr>
        <w:t>总额0万元，</w:t>
      </w:r>
      <w:r>
        <w:rPr>
          <w:rFonts w:hint="eastAsia" w:ascii="仿宋_GB2312" w:hAnsi="仿宋_GB2312" w:eastAsia="仿宋_GB2312" w:cs="仿宋_GB2312"/>
          <w:bCs/>
          <w:sz w:val="32"/>
          <w:szCs w:val="32"/>
          <w:lang w:eastAsia="zh-CN"/>
        </w:rPr>
        <w:t>控制在年初预算之内</w:t>
      </w:r>
      <w:r>
        <w:rPr>
          <w:rFonts w:hint="eastAsia" w:ascii="仿宋_GB2312" w:hAnsi="仿宋_GB2312" w:eastAsia="仿宋_GB2312" w:cs="仿宋_GB2312"/>
          <w:bCs/>
          <w:sz w:val="32"/>
          <w:szCs w:val="32"/>
        </w:rPr>
        <w:t>。</w:t>
      </w:r>
    </w:p>
    <w:p w14:paraId="27BEBC9E">
      <w:pPr>
        <w:pStyle w:val="13"/>
        <w:keepNext w:val="0"/>
        <w:keepLines w:val="0"/>
        <w:pageBreakBefore w:val="0"/>
        <w:widowControl/>
        <w:numPr>
          <w:ilvl w:val="0"/>
          <w:numId w:val="2"/>
        </w:numPr>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项目支出情况</w:t>
      </w:r>
    </w:p>
    <w:p w14:paraId="3A42A83A">
      <w:pPr>
        <w:pStyle w:val="13"/>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项目资金预算</w:t>
      </w:r>
      <w:r>
        <w:rPr>
          <w:rFonts w:hint="eastAsia" w:ascii="仿宋_GB2312" w:hAnsi="仿宋_GB2312" w:eastAsia="仿宋_GB2312" w:cs="仿宋_GB2312"/>
          <w:bCs/>
          <w:sz w:val="32"/>
          <w:szCs w:val="32"/>
          <w:lang w:val="en-US" w:eastAsia="zh-CN"/>
        </w:rPr>
        <w:t>金额为562.86</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color w:val="auto"/>
          <w:sz w:val="32"/>
          <w:szCs w:val="32"/>
          <w:lang w:val="en-US" w:eastAsia="zh-CN"/>
        </w:rPr>
        <w:t>实际</w:t>
      </w:r>
      <w:r>
        <w:rPr>
          <w:rFonts w:hint="eastAsia" w:ascii="仿宋_GB2312" w:hAnsi="仿宋_GB2312" w:eastAsia="仿宋_GB2312" w:cs="仿宋_GB2312"/>
          <w:bCs/>
          <w:color w:val="auto"/>
          <w:sz w:val="32"/>
          <w:szCs w:val="32"/>
        </w:rPr>
        <w:t>支出</w:t>
      </w:r>
      <w:r>
        <w:rPr>
          <w:rFonts w:hint="eastAsia" w:ascii="仿宋_GB2312" w:hAnsi="仿宋_GB2312" w:eastAsia="仿宋_GB2312" w:cs="仿宋_GB2312"/>
          <w:bCs/>
          <w:color w:val="auto"/>
          <w:sz w:val="32"/>
          <w:szCs w:val="32"/>
          <w:lang w:val="en-US" w:eastAsia="zh-CN"/>
        </w:rPr>
        <w:t>总额为558.31</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val="en-US" w:eastAsia="zh-CN"/>
        </w:rPr>
        <w:t>其中</w:t>
      </w:r>
      <w:r>
        <w:rPr>
          <w:rFonts w:hint="eastAsia" w:ascii="仿宋_GB2312" w:hAnsi="仿宋_GB2312" w:eastAsia="仿宋_GB2312" w:cs="仿宋_GB2312"/>
          <w:bCs/>
          <w:sz w:val="32"/>
          <w:szCs w:val="32"/>
          <w:lang w:val="en-US" w:eastAsia="zh-CN"/>
        </w:rPr>
        <w:t>：中心平台坐席员劳务派遣服务费95.45万元，2025年城市事件和部件采集服务项目298.45万元,一、二期通讯运营租赁费71.00万元，软件、数据库及设备维护经费49万元，设备运行及办公用电费23.6万元，2025年专项工作经费20.81万元，主要用于保障单位</w:t>
      </w:r>
      <w:r>
        <w:rPr>
          <w:rFonts w:hint="eastAsia" w:ascii="仿宋_GB2312" w:hAnsi="仿宋_GB2312" w:eastAsia="仿宋_GB2312" w:cs="仿宋_GB2312"/>
          <w:color w:val="000000"/>
          <w:sz w:val="32"/>
          <w:szCs w:val="32"/>
          <w:highlight w:val="none"/>
        </w:rPr>
        <w:t>城市管理问题投诉、举报和12345公众服务热线转办件</w:t>
      </w:r>
      <w:r>
        <w:rPr>
          <w:rFonts w:hint="eastAsia" w:ascii="仿宋_GB2312" w:hAnsi="仿宋_GB2312" w:eastAsia="仿宋_GB2312" w:cs="仿宋_GB2312"/>
          <w:bCs/>
          <w:sz w:val="32"/>
          <w:szCs w:val="32"/>
          <w:lang w:val="en-US" w:eastAsia="zh-CN"/>
        </w:rPr>
        <w:t>和委托城市管理事部件信息采集费用、中心城区防涝、</w:t>
      </w:r>
      <w:bookmarkStart w:id="0" w:name="_GoBack"/>
      <w:bookmarkEnd w:id="0"/>
      <w:r>
        <w:rPr>
          <w:rFonts w:hint="eastAsia" w:ascii="仿宋_GB2312" w:hAnsi="仿宋_GB2312" w:eastAsia="仿宋_GB2312" w:cs="仿宋_GB2312"/>
          <w:bCs/>
          <w:sz w:val="32"/>
          <w:szCs w:val="32"/>
          <w:lang w:val="en-US" w:eastAsia="zh-CN"/>
        </w:rPr>
        <w:t>网络租赁、平台坐席人员劳务费以及设施设备维护和运行电费等支出。</w:t>
      </w:r>
    </w:p>
    <w:p w14:paraId="45B8598D">
      <w:pPr>
        <w:pStyle w:val="13"/>
        <w:keepNext w:val="0"/>
        <w:keepLines w:val="0"/>
        <w:pageBreakBefore w:val="0"/>
        <w:widowControl/>
        <w:numPr>
          <w:ilvl w:val="0"/>
          <w:numId w:val="0"/>
        </w:numPr>
        <w:kinsoku/>
        <w:wordWrap/>
        <w:overflowPunct/>
        <w:topLinePunct w:val="0"/>
        <w:autoSpaceDE/>
        <w:autoSpaceDN/>
        <w:bidi w:val="0"/>
        <w:adjustRightInd/>
        <w:snapToGrid/>
        <w:spacing w:line="600" w:lineRule="exact"/>
        <w:ind w:leftChars="200"/>
        <w:jc w:val="both"/>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三、</w:t>
      </w:r>
      <w:r>
        <w:rPr>
          <w:rFonts w:hint="default" w:ascii="Times New Roman" w:hAnsi="Times New Roman" w:eastAsia="黑体" w:cs="Times New Roman"/>
          <w:sz w:val="32"/>
          <w:szCs w:val="32"/>
        </w:rPr>
        <w:t>政府性基金预算</w:t>
      </w:r>
      <w:r>
        <w:rPr>
          <w:rFonts w:hint="eastAsia" w:ascii="Times New Roman" w:hAnsi="Times New Roman" w:eastAsia="黑体" w:cs="Times New Roman"/>
          <w:sz w:val="32"/>
          <w:szCs w:val="32"/>
          <w:lang w:eastAsia="zh-CN"/>
        </w:rPr>
        <w:t>支出情况</w:t>
      </w:r>
    </w:p>
    <w:p w14:paraId="112C4A30">
      <w:pPr>
        <w:pStyle w:val="13"/>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val="en-US" w:eastAsia="zh-CN"/>
        </w:rPr>
        <w:t>我单位无</w:t>
      </w:r>
      <w:r>
        <w:rPr>
          <w:rFonts w:hint="eastAsia" w:ascii="仿宋_GB2312" w:hAnsi="仿宋_GB2312" w:eastAsia="仿宋_GB2312" w:cs="仿宋_GB2312"/>
          <w:sz w:val="32"/>
          <w:szCs w:val="32"/>
        </w:rPr>
        <w:t>政府性基金预算</w:t>
      </w:r>
      <w:r>
        <w:rPr>
          <w:rFonts w:hint="eastAsia" w:ascii="仿宋_GB2312" w:hAnsi="仿宋_GB2312" w:eastAsia="仿宋_GB2312" w:cs="仿宋_GB2312"/>
          <w:sz w:val="32"/>
          <w:szCs w:val="32"/>
          <w:lang w:eastAsia="zh-CN"/>
        </w:rPr>
        <w:t>支出</w:t>
      </w:r>
    </w:p>
    <w:p w14:paraId="19232114">
      <w:pPr>
        <w:pStyle w:val="13"/>
        <w:keepNext w:val="0"/>
        <w:keepLines w:val="0"/>
        <w:pageBreakBefore w:val="0"/>
        <w:widowControl/>
        <w:numPr>
          <w:ilvl w:val="0"/>
          <w:numId w:val="0"/>
        </w:numPr>
        <w:kinsoku/>
        <w:wordWrap/>
        <w:overflowPunct/>
        <w:topLinePunct w:val="0"/>
        <w:autoSpaceDE/>
        <w:autoSpaceDN/>
        <w:bidi w:val="0"/>
        <w:adjustRightInd/>
        <w:snapToGrid/>
        <w:spacing w:line="600" w:lineRule="exact"/>
        <w:ind w:leftChars="200"/>
        <w:jc w:val="both"/>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四、</w:t>
      </w:r>
      <w:r>
        <w:rPr>
          <w:rFonts w:hint="default" w:ascii="Times New Roman" w:hAnsi="Times New Roman" w:eastAsia="黑体" w:cs="Times New Roman"/>
          <w:sz w:val="32"/>
          <w:szCs w:val="32"/>
        </w:rPr>
        <w:t>国有资本经营预算</w:t>
      </w:r>
      <w:r>
        <w:rPr>
          <w:rFonts w:hint="eastAsia" w:ascii="Times New Roman" w:hAnsi="Times New Roman" w:eastAsia="黑体" w:cs="Times New Roman"/>
          <w:sz w:val="32"/>
          <w:szCs w:val="32"/>
          <w:lang w:eastAsia="zh-CN"/>
        </w:rPr>
        <w:t>支出情况</w:t>
      </w:r>
    </w:p>
    <w:p w14:paraId="5D1AAFEB">
      <w:pPr>
        <w:pStyle w:val="13"/>
        <w:keepNext w:val="0"/>
        <w:keepLines w:val="0"/>
        <w:pageBreakBefore w:val="0"/>
        <w:widowControl/>
        <w:numPr>
          <w:ilvl w:val="0"/>
          <w:numId w:val="0"/>
        </w:numPr>
        <w:kinsoku/>
        <w:wordWrap/>
        <w:overflowPunct/>
        <w:topLinePunct w:val="0"/>
        <w:autoSpaceDE/>
        <w:autoSpaceDN/>
        <w:bidi w:val="0"/>
        <w:adjustRightInd/>
        <w:snapToGrid/>
        <w:spacing w:line="600" w:lineRule="exact"/>
        <w:ind w:left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我单位无</w:t>
      </w:r>
      <w:r>
        <w:rPr>
          <w:rFonts w:hint="eastAsia" w:ascii="仿宋_GB2312" w:hAnsi="仿宋_GB2312" w:eastAsia="仿宋_GB2312" w:cs="仿宋_GB2312"/>
          <w:sz w:val="32"/>
          <w:szCs w:val="32"/>
        </w:rPr>
        <w:t>国有资本经营预算</w:t>
      </w:r>
      <w:r>
        <w:rPr>
          <w:rFonts w:hint="eastAsia" w:ascii="仿宋_GB2312" w:hAnsi="仿宋_GB2312" w:eastAsia="仿宋_GB2312" w:cs="仿宋_GB2312"/>
          <w:sz w:val="32"/>
          <w:szCs w:val="32"/>
          <w:lang w:eastAsia="zh-CN"/>
        </w:rPr>
        <w:t>支出</w:t>
      </w:r>
    </w:p>
    <w:p w14:paraId="1D17FC2A">
      <w:pPr>
        <w:pStyle w:val="13"/>
        <w:keepNext w:val="0"/>
        <w:keepLines w:val="0"/>
        <w:pageBreakBefore w:val="0"/>
        <w:widowControl/>
        <w:numPr>
          <w:ilvl w:val="0"/>
          <w:numId w:val="0"/>
        </w:numPr>
        <w:kinsoku/>
        <w:wordWrap/>
        <w:overflowPunct/>
        <w:topLinePunct w:val="0"/>
        <w:autoSpaceDE/>
        <w:autoSpaceDN/>
        <w:bidi w:val="0"/>
        <w:adjustRightInd/>
        <w:snapToGrid/>
        <w:spacing w:line="600" w:lineRule="exact"/>
        <w:ind w:left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社会保险基金预算支出情况</w:t>
      </w:r>
    </w:p>
    <w:p w14:paraId="01D4CC10">
      <w:pPr>
        <w:pStyle w:val="13"/>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我单位无</w:t>
      </w:r>
      <w:r>
        <w:rPr>
          <w:rFonts w:hint="eastAsia" w:ascii="仿宋_GB2312" w:hAnsi="仿宋_GB2312" w:eastAsia="仿宋_GB2312" w:cs="仿宋_GB2312"/>
          <w:sz w:val="32"/>
          <w:szCs w:val="32"/>
        </w:rPr>
        <w:t>社会保险基金预算支出</w:t>
      </w:r>
    </w:p>
    <w:p w14:paraId="66D3949A">
      <w:pPr>
        <w:pStyle w:val="13"/>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lang w:eastAsia="zh-CN"/>
        </w:rPr>
        <w:t>六</w:t>
      </w:r>
      <w:r>
        <w:rPr>
          <w:rFonts w:hint="default" w:ascii="Times New Roman" w:hAnsi="Times New Roman" w:eastAsia="黑体" w:cs="Times New Roman"/>
          <w:color w:val="auto"/>
          <w:sz w:val="32"/>
          <w:szCs w:val="32"/>
        </w:rPr>
        <w:t>、部门整体支出绩效情况</w:t>
      </w:r>
    </w:p>
    <w:p w14:paraId="4C2CBB6E">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val="0"/>
          <w:color w:val="auto"/>
          <w:kern w:val="2"/>
          <w:sz w:val="32"/>
          <w:szCs w:val="32"/>
          <w:highlight w:val="none"/>
          <w:lang w:val="en-US" w:eastAsia="zh-CN" w:bidi="ar-SA"/>
        </w:rPr>
        <w:t>（一）年度绩效目标</w:t>
      </w:r>
    </w:p>
    <w:p w14:paraId="26586240">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完成市</w:t>
      </w:r>
      <w:r>
        <w:rPr>
          <w:rFonts w:hint="eastAsia" w:ascii="仿宋_GB2312" w:hAnsi="仿宋_GB2312" w:eastAsia="仿宋_GB2312" w:cs="仿宋_GB2312"/>
          <w:color w:val="000000"/>
          <w:sz w:val="32"/>
          <w:szCs w:val="32"/>
          <w:highlight w:val="none"/>
          <w:lang w:eastAsia="zh-CN"/>
        </w:rPr>
        <w:t>本</w:t>
      </w:r>
      <w:r>
        <w:rPr>
          <w:rFonts w:hint="eastAsia" w:ascii="仿宋_GB2312" w:hAnsi="仿宋_GB2312" w:eastAsia="仿宋_GB2312" w:cs="仿宋_GB2312"/>
          <w:color w:val="000000"/>
          <w:sz w:val="32"/>
          <w:szCs w:val="32"/>
          <w:highlight w:val="none"/>
        </w:rPr>
        <w:t>级智慧化城市管理系统的建设和日常维护管理工作；</w:t>
      </w:r>
    </w:p>
    <w:p w14:paraId="72B35173">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完成市城市管理信息网和岳阳城管微信公众号的建设和运行管理工作</w:t>
      </w:r>
      <w:r>
        <w:rPr>
          <w:rFonts w:hint="eastAsia" w:ascii="仿宋_GB2312" w:hAnsi="仿宋_GB2312" w:eastAsia="仿宋_GB2312" w:cs="仿宋_GB2312"/>
          <w:color w:val="000000"/>
          <w:sz w:val="32"/>
          <w:szCs w:val="32"/>
          <w:highlight w:val="none"/>
          <w:lang w:eastAsia="zh-CN"/>
        </w:rPr>
        <w:t>；</w:t>
      </w:r>
    </w:p>
    <w:p w14:paraId="5392C187">
      <w:pPr>
        <w:keepNext w:val="0"/>
        <w:keepLines w:val="0"/>
        <w:pageBreakBefore w:val="0"/>
        <w:widowControl/>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完成市城区智慧化城市管理监督、指挥、调度和考核的事务性工作</w:t>
      </w:r>
      <w:r>
        <w:rPr>
          <w:rFonts w:hint="eastAsia" w:ascii="仿宋_GB2312" w:hAnsi="仿宋_GB2312" w:eastAsia="仿宋_GB2312" w:cs="仿宋_GB2312"/>
          <w:color w:val="000000"/>
          <w:sz w:val="32"/>
          <w:szCs w:val="32"/>
          <w:highlight w:val="none"/>
          <w:lang w:eastAsia="zh-CN"/>
        </w:rPr>
        <w:t>，并完成</w:t>
      </w:r>
      <w:r>
        <w:rPr>
          <w:rFonts w:hint="eastAsia" w:ascii="仿宋_GB2312" w:hAnsi="仿宋_GB2312" w:eastAsia="仿宋_GB2312" w:cs="仿宋_GB2312"/>
          <w:color w:val="000000"/>
          <w:sz w:val="32"/>
          <w:szCs w:val="32"/>
          <w:highlight w:val="none"/>
        </w:rPr>
        <w:t>城市管理各类信息的收集、分析和整理</w:t>
      </w:r>
      <w:r>
        <w:rPr>
          <w:rFonts w:hint="eastAsia" w:ascii="仿宋_GB2312" w:hAnsi="仿宋_GB2312" w:eastAsia="仿宋_GB2312" w:cs="仿宋_GB2312"/>
          <w:color w:val="000000"/>
          <w:sz w:val="32"/>
          <w:szCs w:val="32"/>
          <w:highlight w:val="none"/>
          <w:lang w:eastAsia="zh-CN"/>
        </w:rPr>
        <w:t>；</w:t>
      </w:r>
    </w:p>
    <w:p w14:paraId="75429A3F">
      <w:pPr>
        <w:keepNext w:val="0"/>
        <w:keepLines w:val="0"/>
        <w:pageBreakBefore w:val="0"/>
        <w:widowControl/>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完成办理城市管理问题投诉、举报和12345公众服务热线转办件的行政辅助性工作</w:t>
      </w:r>
      <w:r>
        <w:rPr>
          <w:rFonts w:hint="eastAsia" w:ascii="仿宋_GB2312" w:hAnsi="仿宋_GB2312" w:eastAsia="仿宋_GB2312" w:cs="仿宋_GB2312"/>
          <w:color w:val="000000"/>
          <w:sz w:val="32"/>
          <w:szCs w:val="32"/>
          <w:highlight w:val="none"/>
          <w:lang w:eastAsia="zh-CN"/>
        </w:rPr>
        <w:t>；</w:t>
      </w:r>
    </w:p>
    <w:p w14:paraId="041BCE69">
      <w:pPr>
        <w:keepNext w:val="0"/>
        <w:keepLines w:val="0"/>
        <w:pageBreakBefore w:val="0"/>
        <w:widowControl/>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完成市城市管理和综合执法</w:t>
      </w:r>
      <w:r>
        <w:rPr>
          <w:rFonts w:hint="eastAsia" w:ascii="仿宋_GB2312" w:hAnsi="仿宋_GB2312" w:eastAsia="仿宋_GB2312" w:cs="仿宋_GB2312"/>
          <w:color w:val="000000"/>
          <w:sz w:val="32"/>
          <w:szCs w:val="32"/>
          <w:highlight w:val="none"/>
          <w:lang w:val="en-US" w:eastAsia="zh-CN"/>
        </w:rPr>
        <w:t>局</w:t>
      </w:r>
      <w:r>
        <w:rPr>
          <w:rFonts w:hint="eastAsia" w:ascii="仿宋_GB2312" w:hAnsi="仿宋_GB2312" w:eastAsia="仿宋_GB2312" w:cs="仿宋_GB2312"/>
          <w:color w:val="000000"/>
          <w:sz w:val="32"/>
          <w:szCs w:val="32"/>
          <w:highlight w:val="none"/>
        </w:rPr>
        <w:t>交办的其他工作。　　</w:t>
      </w:r>
    </w:p>
    <w:p w14:paraId="32F3E80B">
      <w:pPr>
        <w:pStyle w:val="4"/>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333333"/>
          <w:sz w:val="32"/>
          <w:szCs w:val="32"/>
          <w:shd w:val="clear" w:color="auto" w:fill="FFFFFF"/>
        </w:rPr>
      </w:pPr>
      <w:r>
        <w:rPr>
          <w:rFonts w:hint="eastAsia" w:ascii="仿宋_GB2312" w:hAnsi="仿宋_GB2312" w:eastAsia="仿宋_GB2312" w:cs="仿宋_GB2312"/>
          <w:b/>
          <w:bCs/>
          <w:color w:val="000000"/>
          <w:sz w:val="32"/>
          <w:szCs w:val="32"/>
          <w:lang w:val="en-US" w:eastAsia="zh-CN"/>
        </w:rPr>
        <w:t>（二）</w:t>
      </w:r>
      <w:r>
        <w:rPr>
          <w:rFonts w:hint="eastAsia" w:ascii="仿宋_GB2312" w:hAnsi="仿宋_GB2312" w:eastAsia="仿宋_GB2312" w:cs="仿宋_GB2312"/>
          <w:b/>
          <w:bCs/>
          <w:color w:val="333333"/>
          <w:sz w:val="32"/>
          <w:szCs w:val="32"/>
          <w:shd w:val="clear" w:color="auto" w:fill="FFFFFF"/>
        </w:rPr>
        <w:t>目标完成及取得效益情况</w:t>
      </w:r>
    </w:p>
    <w:p w14:paraId="2251E0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实际完成情况：</w:t>
      </w:r>
    </w:p>
    <w:p w14:paraId="69A073A9">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完成</w:t>
      </w:r>
      <w:r>
        <w:rPr>
          <w:rFonts w:hint="eastAsia" w:ascii="仿宋_GB2312" w:hAnsi="仿宋_GB2312" w:eastAsia="仿宋_GB2312" w:cs="仿宋_GB2312"/>
          <w:color w:val="000000"/>
          <w:sz w:val="32"/>
          <w:szCs w:val="32"/>
          <w:highlight w:val="none"/>
          <w:lang w:eastAsia="zh-CN"/>
        </w:rPr>
        <w:t>了</w:t>
      </w:r>
      <w:r>
        <w:rPr>
          <w:rFonts w:hint="eastAsia" w:ascii="仿宋_GB2312" w:hAnsi="仿宋_GB2312" w:eastAsia="仿宋_GB2312" w:cs="仿宋_GB2312"/>
          <w:color w:val="000000"/>
          <w:sz w:val="32"/>
          <w:szCs w:val="32"/>
          <w:highlight w:val="none"/>
        </w:rPr>
        <w:t>市</w:t>
      </w:r>
      <w:r>
        <w:rPr>
          <w:rFonts w:hint="eastAsia" w:ascii="仿宋_GB2312" w:hAnsi="仿宋_GB2312" w:eastAsia="仿宋_GB2312" w:cs="仿宋_GB2312"/>
          <w:color w:val="000000"/>
          <w:sz w:val="32"/>
          <w:szCs w:val="32"/>
          <w:highlight w:val="none"/>
          <w:lang w:eastAsia="zh-CN"/>
        </w:rPr>
        <w:t>本</w:t>
      </w:r>
      <w:r>
        <w:rPr>
          <w:rFonts w:hint="eastAsia" w:ascii="仿宋_GB2312" w:hAnsi="仿宋_GB2312" w:eastAsia="仿宋_GB2312" w:cs="仿宋_GB2312"/>
          <w:color w:val="000000"/>
          <w:sz w:val="32"/>
          <w:szCs w:val="32"/>
          <w:highlight w:val="none"/>
        </w:rPr>
        <w:t>级智慧化城市管理系统的建设和日常维护管理工作；</w:t>
      </w:r>
    </w:p>
    <w:p w14:paraId="05073E29">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市城市管理信息网和岳阳城管微信公众号的建设和运行管理工作</w:t>
      </w:r>
      <w:r>
        <w:rPr>
          <w:rFonts w:hint="eastAsia" w:ascii="仿宋_GB2312" w:hAnsi="仿宋_GB2312" w:eastAsia="仿宋_GB2312" w:cs="仿宋_GB2312"/>
          <w:color w:val="000000"/>
          <w:sz w:val="32"/>
          <w:szCs w:val="32"/>
          <w:highlight w:val="none"/>
          <w:lang w:eastAsia="zh-CN"/>
        </w:rPr>
        <w:t>稳步实施；</w:t>
      </w:r>
    </w:p>
    <w:p w14:paraId="3C2D95DD">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完成</w:t>
      </w:r>
      <w:r>
        <w:rPr>
          <w:rFonts w:hint="eastAsia" w:ascii="仿宋_GB2312" w:hAnsi="仿宋_GB2312" w:eastAsia="仿宋_GB2312" w:cs="仿宋_GB2312"/>
          <w:color w:val="000000"/>
          <w:sz w:val="32"/>
          <w:szCs w:val="32"/>
          <w:highlight w:val="none"/>
          <w:lang w:eastAsia="zh-CN"/>
        </w:rPr>
        <w:t>了</w:t>
      </w:r>
      <w:r>
        <w:rPr>
          <w:rFonts w:hint="eastAsia" w:ascii="仿宋_GB2312" w:hAnsi="仿宋_GB2312" w:eastAsia="仿宋_GB2312" w:cs="仿宋_GB2312"/>
          <w:color w:val="000000"/>
          <w:sz w:val="32"/>
          <w:szCs w:val="32"/>
          <w:highlight w:val="none"/>
        </w:rPr>
        <w:t>市城区智慧化城市管理监督、指挥、调度和考核的事务性工作</w:t>
      </w:r>
      <w:r>
        <w:rPr>
          <w:rFonts w:hint="eastAsia" w:ascii="仿宋_GB2312" w:hAnsi="仿宋_GB2312" w:eastAsia="仿宋_GB2312" w:cs="仿宋_GB2312"/>
          <w:color w:val="000000"/>
          <w:sz w:val="32"/>
          <w:szCs w:val="32"/>
          <w:highlight w:val="none"/>
          <w:lang w:eastAsia="zh-CN"/>
        </w:rPr>
        <w:t>，及时完成了</w:t>
      </w:r>
      <w:r>
        <w:rPr>
          <w:rFonts w:hint="eastAsia" w:ascii="仿宋_GB2312" w:hAnsi="仿宋_GB2312" w:eastAsia="仿宋_GB2312" w:cs="仿宋_GB2312"/>
          <w:color w:val="000000"/>
          <w:sz w:val="32"/>
          <w:szCs w:val="32"/>
          <w:highlight w:val="none"/>
        </w:rPr>
        <w:t>城市管理各类信息的收集、分析和整理</w:t>
      </w:r>
      <w:r>
        <w:rPr>
          <w:rFonts w:hint="eastAsia" w:ascii="仿宋_GB2312" w:hAnsi="仿宋_GB2312" w:eastAsia="仿宋_GB2312" w:cs="仿宋_GB2312"/>
          <w:color w:val="000000"/>
          <w:sz w:val="32"/>
          <w:szCs w:val="32"/>
          <w:highlight w:val="none"/>
          <w:lang w:eastAsia="zh-CN"/>
        </w:rPr>
        <w:t>工作；</w:t>
      </w:r>
    </w:p>
    <w:p w14:paraId="66432C5B">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4、及时</w:t>
      </w:r>
      <w:r>
        <w:rPr>
          <w:rFonts w:hint="eastAsia" w:ascii="仿宋_GB2312" w:hAnsi="仿宋_GB2312" w:eastAsia="仿宋_GB2312" w:cs="仿宋_GB2312"/>
          <w:color w:val="000000"/>
          <w:sz w:val="32"/>
          <w:szCs w:val="32"/>
          <w:highlight w:val="none"/>
        </w:rPr>
        <w:t>完成</w:t>
      </w:r>
      <w:r>
        <w:rPr>
          <w:rFonts w:hint="eastAsia" w:ascii="仿宋_GB2312" w:hAnsi="仿宋_GB2312" w:eastAsia="仿宋_GB2312" w:cs="仿宋_GB2312"/>
          <w:color w:val="000000"/>
          <w:sz w:val="32"/>
          <w:szCs w:val="32"/>
          <w:highlight w:val="none"/>
          <w:lang w:eastAsia="zh-CN"/>
        </w:rPr>
        <w:t>了</w:t>
      </w:r>
      <w:r>
        <w:rPr>
          <w:rFonts w:hint="eastAsia" w:ascii="仿宋_GB2312" w:hAnsi="仿宋_GB2312" w:eastAsia="仿宋_GB2312" w:cs="仿宋_GB2312"/>
          <w:color w:val="000000"/>
          <w:sz w:val="32"/>
          <w:szCs w:val="32"/>
          <w:highlight w:val="none"/>
        </w:rPr>
        <w:t>办理城市管理问题投诉、举报和12345公众服务热线转办件的行政辅助性工作</w:t>
      </w:r>
      <w:r>
        <w:rPr>
          <w:rFonts w:hint="eastAsia" w:ascii="仿宋_GB2312" w:hAnsi="仿宋_GB2312" w:eastAsia="仿宋_GB2312" w:cs="仿宋_GB2312"/>
          <w:color w:val="000000"/>
          <w:sz w:val="32"/>
          <w:szCs w:val="32"/>
          <w:highlight w:val="none"/>
          <w:lang w:eastAsia="zh-CN"/>
        </w:rPr>
        <w:t>；</w:t>
      </w:r>
    </w:p>
    <w:p w14:paraId="374E4375">
      <w:pPr>
        <w:keepNext w:val="0"/>
        <w:keepLines w:val="0"/>
        <w:pageBreakBefore w:val="0"/>
        <w:widowControl/>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5、高标准</w:t>
      </w:r>
      <w:r>
        <w:rPr>
          <w:rFonts w:hint="eastAsia" w:ascii="仿宋_GB2312" w:hAnsi="仿宋_GB2312" w:eastAsia="仿宋_GB2312" w:cs="仿宋_GB2312"/>
          <w:color w:val="000000"/>
          <w:sz w:val="32"/>
          <w:szCs w:val="32"/>
          <w:highlight w:val="none"/>
        </w:rPr>
        <w:t>完成</w:t>
      </w:r>
      <w:r>
        <w:rPr>
          <w:rFonts w:hint="eastAsia" w:ascii="仿宋_GB2312" w:hAnsi="仿宋_GB2312" w:eastAsia="仿宋_GB2312" w:cs="仿宋_GB2312"/>
          <w:color w:val="000000"/>
          <w:sz w:val="32"/>
          <w:szCs w:val="32"/>
          <w:highlight w:val="none"/>
          <w:lang w:eastAsia="zh-CN"/>
        </w:rPr>
        <w:t>了</w:t>
      </w:r>
      <w:r>
        <w:rPr>
          <w:rFonts w:hint="eastAsia" w:ascii="仿宋_GB2312" w:hAnsi="仿宋_GB2312" w:eastAsia="仿宋_GB2312" w:cs="仿宋_GB2312"/>
          <w:color w:val="000000"/>
          <w:sz w:val="32"/>
          <w:szCs w:val="32"/>
          <w:highlight w:val="none"/>
        </w:rPr>
        <w:t>市城市管理和综合执法</w:t>
      </w:r>
      <w:r>
        <w:rPr>
          <w:rFonts w:hint="eastAsia" w:ascii="仿宋_GB2312" w:hAnsi="仿宋_GB2312" w:eastAsia="仿宋_GB2312" w:cs="仿宋_GB2312"/>
          <w:color w:val="000000"/>
          <w:sz w:val="32"/>
          <w:szCs w:val="32"/>
          <w:highlight w:val="none"/>
          <w:lang w:val="en-US" w:eastAsia="zh-CN"/>
        </w:rPr>
        <w:t>局</w:t>
      </w:r>
      <w:r>
        <w:rPr>
          <w:rFonts w:hint="eastAsia" w:ascii="仿宋_GB2312" w:hAnsi="仿宋_GB2312" w:eastAsia="仿宋_GB2312" w:cs="仿宋_GB2312"/>
          <w:color w:val="000000"/>
          <w:sz w:val="32"/>
          <w:szCs w:val="32"/>
          <w:highlight w:val="none"/>
        </w:rPr>
        <w:t>交办的其他工作。　　</w:t>
      </w:r>
    </w:p>
    <w:p w14:paraId="2E85600A">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202</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年，市智慧城管在</w:t>
      </w:r>
      <w:r>
        <w:rPr>
          <w:rFonts w:hint="eastAsia" w:ascii="仿宋_GB2312" w:hAnsi="仿宋_GB2312" w:eastAsia="仿宋_GB2312" w:cs="仿宋_GB2312"/>
          <w:color w:val="000000"/>
          <w:sz w:val="32"/>
          <w:szCs w:val="32"/>
          <w:highlight w:val="none"/>
          <w:lang w:val="en-US" w:eastAsia="zh-CN"/>
        </w:rPr>
        <w:t>市城管局</w:t>
      </w:r>
      <w:r>
        <w:rPr>
          <w:rFonts w:hint="eastAsia" w:ascii="仿宋_GB2312" w:hAnsi="仿宋_GB2312" w:eastAsia="仿宋_GB2312" w:cs="仿宋_GB2312"/>
          <w:color w:val="000000"/>
          <w:sz w:val="32"/>
          <w:szCs w:val="32"/>
          <w:highlight w:val="none"/>
        </w:rPr>
        <w:t>的正确领导下，紧密围绕城市管理工作目标，充分发挥信息技术优势，</w:t>
      </w:r>
      <w:r>
        <w:rPr>
          <w:rFonts w:hint="eastAsia" w:ascii="仿宋_GB2312" w:hAnsi="仿宋_GB2312" w:eastAsia="仿宋_GB2312" w:cs="仿宋_GB2312"/>
          <w:color w:val="000000"/>
          <w:sz w:val="32"/>
          <w:szCs w:val="32"/>
          <w:highlight w:val="none"/>
          <w:lang w:eastAsia="zh-CN"/>
        </w:rPr>
        <w:t>以智慧城管信息平台管理为抓手，信息采集为耳目，</w:t>
      </w:r>
      <w:r>
        <w:rPr>
          <w:rFonts w:hint="eastAsia" w:ascii="仿宋_GB2312" w:hAnsi="仿宋_GB2312" w:eastAsia="仿宋_GB2312" w:cs="仿宋_GB2312"/>
          <w:color w:val="000000"/>
          <w:sz w:val="32"/>
          <w:szCs w:val="32"/>
          <w:highlight w:val="none"/>
        </w:rPr>
        <w:t>精准采集</w:t>
      </w:r>
      <w:r>
        <w:rPr>
          <w:rFonts w:hint="eastAsia" w:ascii="仿宋_GB2312" w:hAnsi="仿宋_GB2312" w:eastAsia="仿宋_GB2312" w:cs="仿宋_GB2312"/>
          <w:color w:val="000000"/>
          <w:sz w:val="32"/>
          <w:szCs w:val="32"/>
          <w:highlight w:val="none"/>
          <w:lang w:eastAsia="zh-CN"/>
        </w:rPr>
        <w:t>城市管理事部件问题</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为</w:t>
      </w:r>
      <w:r>
        <w:rPr>
          <w:rFonts w:hint="eastAsia" w:ascii="仿宋_GB2312" w:hAnsi="仿宋_GB2312" w:eastAsia="仿宋_GB2312" w:cs="仿宋_GB2312"/>
          <w:color w:val="000000"/>
          <w:sz w:val="32"/>
          <w:szCs w:val="32"/>
          <w:highlight w:val="none"/>
        </w:rPr>
        <w:t>城市管理决策服务中心支部牵头优化城市管理问题处置流程，构建“网格 +信息采集员+AI智能采集”三位一体问题发现体系，依托智慧城管平台实现“一图汇数据、一网通互联、一屏观全局”。</w:t>
      </w:r>
    </w:p>
    <w:p w14:paraId="2655CB77">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全年受理城市管理问题30</w:t>
      </w:r>
      <w:r>
        <w:rPr>
          <w:rFonts w:hint="eastAsia" w:ascii="仿宋_GB2312" w:hAnsi="仿宋_GB2312" w:eastAsia="仿宋_GB2312" w:cs="仿宋_GB2312"/>
          <w:color w:val="000000"/>
          <w:sz w:val="32"/>
          <w:szCs w:val="32"/>
          <w:highlight w:val="none"/>
          <w:lang w:eastAsia="zh-CN"/>
        </w:rPr>
        <w:t>万余</w:t>
      </w:r>
      <w:r>
        <w:rPr>
          <w:rFonts w:hint="eastAsia" w:ascii="仿宋_GB2312" w:hAnsi="仿宋_GB2312" w:eastAsia="仿宋_GB2312" w:cs="仿宋_GB2312"/>
          <w:color w:val="000000"/>
          <w:sz w:val="32"/>
          <w:szCs w:val="32"/>
          <w:highlight w:val="none"/>
        </w:rPr>
        <w:t>件、处置21</w:t>
      </w:r>
      <w:r>
        <w:rPr>
          <w:rFonts w:hint="eastAsia" w:ascii="仿宋_GB2312" w:hAnsi="仿宋_GB2312" w:eastAsia="仿宋_GB2312" w:cs="仿宋_GB2312"/>
          <w:color w:val="000000"/>
          <w:sz w:val="32"/>
          <w:szCs w:val="32"/>
          <w:highlight w:val="none"/>
          <w:lang w:val="en-US" w:eastAsia="zh-CN"/>
        </w:rPr>
        <w:t>.</w:t>
      </w:r>
      <w:r>
        <w:rPr>
          <w:rFonts w:hint="eastAsia" w:ascii="仿宋_GB2312" w:hAnsi="仿宋_GB2312" w:eastAsia="仿宋_GB2312" w:cs="仿宋_GB2312"/>
          <w:color w:val="000000"/>
          <w:sz w:val="32"/>
          <w:szCs w:val="32"/>
          <w:highlight w:val="none"/>
        </w:rPr>
        <w:t>6</w:t>
      </w:r>
      <w:r>
        <w:rPr>
          <w:rFonts w:hint="eastAsia" w:ascii="仿宋_GB2312" w:hAnsi="仿宋_GB2312" w:eastAsia="仿宋_GB2312" w:cs="仿宋_GB2312"/>
          <w:color w:val="000000"/>
          <w:sz w:val="32"/>
          <w:szCs w:val="32"/>
          <w:highlight w:val="none"/>
          <w:lang w:eastAsia="zh-CN"/>
        </w:rPr>
        <w:t>万余</w:t>
      </w:r>
      <w:r>
        <w:rPr>
          <w:rFonts w:hint="eastAsia" w:ascii="仿宋_GB2312" w:hAnsi="仿宋_GB2312" w:eastAsia="仿宋_GB2312" w:cs="仿宋_GB2312"/>
          <w:color w:val="000000"/>
          <w:sz w:val="32"/>
          <w:szCs w:val="32"/>
          <w:highlight w:val="none"/>
        </w:rPr>
        <w:t>件， 处置率达85.50%；受理转办12345政府热线问题8671件、结案 8508件，结案率98%，案件处置时间较往年进一步压缩，按期处置率稳步提升。连续3年参与12345政府热线“领导接听日”活动，获多方肯定，市民满意度持续攀升。</w:t>
      </w:r>
    </w:p>
    <w:p w14:paraId="3E4BE1A9">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67" w:firstLineChars="200"/>
        <w:jc w:val="both"/>
        <w:textAlignment w:val="auto"/>
        <w:rPr>
          <w:rFonts w:hint="eastAsia" w:ascii="仿宋_GB2312" w:hAnsi="仿宋_GB2312" w:eastAsia="仿宋_GB2312" w:cs="仿宋_GB2312"/>
          <w:b/>
          <w:bCs/>
          <w:color w:val="auto"/>
          <w:spacing w:val="6"/>
          <w:kern w:val="0"/>
          <w:sz w:val="32"/>
          <w:szCs w:val="32"/>
          <w:lang w:val="en-US" w:eastAsia="zh-CN"/>
        </w:rPr>
      </w:pPr>
      <w:r>
        <w:rPr>
          <w:rFonts w:hint="eastAsia" w:ascii="仿宋_GB2312" w:hAnsi="仿宋_GB2312" w:eastAsia="仿宋_GB2312" w:cs="仿宋_GB2312"/>
          <w:b/>
          <w:bCs/>
          <w:color w:val="auto"/>
          <w:spacing w:val="6"/>
          <w:kern w:val="0"/>
          <w:sz w:val="32"/>
          <w:szCs w:val="32"/>
          <w:lang w:val="en-US" w:eastAsia="zh-CN"/>
        </w:rPr>
        <w:t>（三）预算管理情况</w:t>
      </w:r>
    </w:p>
    <w:p w14:paraId="1C1EF821">
      <w:pPr>
        <w:pStyle w:val="4"/>
        <w:keepNext w:val="0"/>
        <w:keepLines w:val="0"/>
        <w:pageBreakBefore w:val="0"/>
        <w:numPr>
          <w:ilvl w:val="0"/>
          <w:numId w:val="0"/>
        </w:numPr>
        <w:wordWrap/>
        <w:overflowPunct/>
        <w:topLinePunct w:val="0"/>
        <w:bidi w:val="0"/>
        <w:spacing w:line="60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中共岳阳市委办公室</w:t>
      </w:r>
      <w:r>
        <w:rPr>
          <w:rFonts w:hint="eastAsia" w:ascii="仿宋_GB2312" w:hAnsi="仿宋_GB2312" w:eastAsia="仿宋_GB2312" w:cs="仿宋_GB2312"/>
          <w:sz w:val="32"/>
          <w:szCs w:val="32"/>
          <w:lang w:val="en-US" w:eastAsia="zh-CN"/>
        </w:rPr>
        <w:t xml:space="preserve"> 岳阳市人民政府办公室</w:t>
      </w:r>
      <w:r>
        <w:rPr>
          <w:rFonts w:hint="eastAsia" w:ascii="仿宋_GB2312" w:hAnsi="仿宋_GB2312" w:eastAsia="仿宋_GB2312" w:cs="仿宋_GB2312"/>
          <w:sz w:val="32"/>
          <w:szCs w:val="32"/>
        </w:rPr>
        <w:t>关于</w:t>
      </w:r>
      <w:r>
        <w:rPr>
          <w:rFonts w:hint="eastAsia" w:ascii="仿宋_GB2312" w:hAnsi="仿宋_GB2312" w:eastAsia="仿宋_GB2312" w:cs="仿宋_GB2312"/>
          <w:sz w:val="32"/>
          <w:szCs w:val="32"/>
          <w:lang w:eastAsia="zh-CN"/>
        </w:rPr>
        <w:t>印发〈岳阳市</w:t>
      </w:r>
      <w:r>
        <w:rPr>
          <w:rFonts w:hint="eastAsia" w:ascii="仿宋_GB2312" w:hAnsi="仿宋_GB2312" w:eastAsia="仿宋_GB2312" w:cs="仿宋_GB2312"/>
          <w:sz w:val="32"/>
          <w:szCs w:val="32"/>
        </w:rPr>
        <w:t>预算绩效管理</w:t>
      </w:r>
      <w:r>
        <w:rPr>
          <w:rFonts w:hint="eastAsia" w:ascii="仿宋_GB2312" w:hAnsi="仿宋_GB2312" w:eastAsia="仿宋_GB2312" w:cs="仿宋_GB2312"/>
          <w:sz w:val="32"/>
          <w:szCs w:val="32"/>
          <w:lang w:eastAsia="zh-CN"/>
        </w:rPr>
        <w:t>实施办法〉</w:t>
      </w:r>
      <w:r>
        <w:rPr>
          <w:rFonts w:hint="eastAsia" w:ascii="仿宋_GB2312" w:hAnsi="仿宋_GB2312" w:eastAsia="仿宋_GB2312" w:cs="仿宋_GB2312"/>
          <w:sz w:val="32"/>
          <w:szCs w:val="32"/>
        </w:rPr>
        <w:t>的通知》</w:t>
      </w:r>
      <w:r>
        <w:rPr>
          <w:rFonts w:hint="eastAsia" w:ascii="仿宋_GB2312" w:hAnsi="仿宋_GB2312" w:eastAsia="仿宋_GB2312" w:cs="仿宋_GB2312"/>
          <w:color w:val="auto"/>
          <w:sz w:val="32"/>
          <w:szCs w:val="32"/>
        </w:rPr>
        <w:t>（岳办</w:t>
      </w:r>
      <w:r>
        <w:rPr>
          <w:rFonts w:hint="eastAsia" w:ascii="仿宋_GB2312" w:hAnsi="仿宋_GB2312" w:eastAsia="仿宋_GB2312" w:cs="仿宋_GB2312"/>
          <w:color w:val="auto"/>
          <w:sz w:val="32"/>
          <w:szCs w:val="32"/>
          <w:lang w:eastAsia="zh-CN"/>
        </w:rPr>
        <w:t>发</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sz w:val="32"/>
          <w:szCs w:val="32"/>
          <w:lang w:val="en-US" w:eastAsia="zh-CN"/>
        </w:rPr>
        <w:t>和其他相关文件精神，中心成立了绩效评价及监督小组，定期开展相关工作。</w:t>
      </w:r>
    </w:p>
    <w:p w14:paraId="63A57382">
      <w:pPr>
        <w:pStyle w:val="6"/>
        <w:keepNext w:val="0"/>
        <w:keepLines w:val="0"/>
        <w:pageBreakBefore w:val="0"/>
        <w:wordWrap/>
        <w:overflowPunct/>
        <w:topLinePunct w:val="0"/>
        <w:bidi w:val="0"/>
        <w:spacing w:line="600"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1、资金预算及绩效管理</w:t>
      </w:r>
    </w:p>
    <w:p w14:paraId="09DA01F0">
      <w:pPr>
        <w:pStyle w:val="4"/>
        <w:keepNext w:val="0"/>
        <w:keepLines w:val="0"/>
        <w:pageBreakBefore w:val="0"/>
        <w:wordWrap/>
        <w:overflowPunct/>
        <w:topLinePunct w:val="0"/>
        <w:bidi w:val="0"/>
        <w:spacing w:line="600" w:lineRule="exact"/>
        <w:ind w:firstLine="664" w:firstLineChars="200"/>
        <w:rPr>
          <w:rFonts w:hint="eastAsia" w:ascii="仿宋_GB2312" w:hAnsi="仿宋_GB2312" w:eastAsia="仿宋_GB2312" w:cs="仿宋_GB2312"/>
          <w:spacing w:val="6"/>
          <w:kern w:val="0"/>
          <w:sz w:val="32"/>
          <w:szCs w:val="32"/>
          <w:lang w:eastAsia="zh-CN"/>
        </w:rPr>
      </w:pPr>
      <w:r>
        <w:rPr>
          <w:rFonts w:hint="eastAsia" w:ascii="仿宋_GB2312" w:hAnsi="仿宋_GB2312" w:eastAsia="仿宋_GB2312" w:cs="仿宋_GB2312"/>
          <w:spacing w:val="6"/>
          <w:kern w:val="0"/>
          <w:sz w:val="32"/>
          <w:szCs w:val="32"/>
          <w:lang w:val="en-US" w:eastAsia="zh-CN"/>
        </w:rPr>
        <w:t>为加强资金</w:t>
      </w:r>
      <w:r>
        <w:rPr>
          <w:rFonts w:hint="eastAsia" w:ascii="仿宋_GB2312" w:hAnsi="仿宋_GB2312" w:eastAsia="仿宋_GB2312" w:cs="仿宋_GB2312"/>
          <w:spacing w:val="6"/>
          <w:kern w:val="0"/>
          <w:sz w:val="32"/>
          <w:szCs w:val="32"/>
        </w:rPr>
        <w:t>管理</w:t>
      </w:r>
      <w:r>
        <w:rPr>
          <w:rFonts w:hint="eastAsia" w:ascii="仿宋_GB2312" w:hAnsi="仿宋_GB2312" w:eastAsia="仿宋_GB2312" w:cs="仿宋_GB2312"/>
          <w:spacing w:val="6"/>
          <w:kern w:val="0"/>
          <w:sz w:val="32"/>
          <w:szCs w:val="32"/>
          <w:lang w:val="en-US" w:eastAsia="zh-CN"/>
        </w:rPr>
        <w:t>，中心从预算编制环节入手，编制</w:t>
      </w:r>
      <w:r>
        <w:rPr>
          <w:rFonts w:hint="eastAsia" w:ascii="仿宋_GB2312" w:hAnsi="仿宋_GB2312" w:eastAsia="仿宋_GB2312" w:cs="仿宋_GB2312"/>
          <w:spacing w:val="6"/>
          <w:kern w:val="0"/>
          <w:sz w:val="32"/>
          <w:szCs w:val="32"/>
        </w:rPr>
        <w:t>资金预算</w:t>
      </w:r>
      <w:r>
        <w:rPr>
          <w:rFonts w:hint="eastAsia" w:ascii="仿宋_GB2312" w:hAnsi="仿宋_GB2312" w:eastAsia="仿宋_GB2312" w:cs="仿宋_GB2312"/>
          <w:spacing w:val="6"/>
          <w:kern w:val="0"/>
          <w:sz w:val="32"/>
          <w:szCs w:val="32"/>
          <w:lang w:val="en-US" w:eastAsia="zh-CN"/>
        </w:rPr>
        <w:t>必须先</w:t>
      </w:r>
      <w:r>
        <w:rPr>
          <w:rFonts w:hint="eastAsia" w:ascii="仿宋_GB2312" w:hAnsi="仿宋_GB2312" w:eastAsia="仿宋_GB2312" w:cs="仿宋_GB2312"/>
          <w:spacing w:val="6"/>
          <w:kern w:val="0"/>
          <w:sz w:val="32"/>
          <w:szCs w:val="32"/>
        </w:rPr>
        <w:t>编制</w:t>
      </w:r>
      <w:r>
        <w:rPr>
          <w:rFonts w:hint="eastAsia" w:ascii="仿宋_GB2312" w:hAnsi="仿宋_GB2312" w:eastAsia="仿宋_GB2312" w:cs="仿宋_GB2312"/>
          <w:spacing w:val="6"/>
          <w:kern w:val="0"/>
          <w:sz w:val="32"/>
          <w:szCs w:val="32"/>
          <w:lang w:val="en-US" w:eastAsia="zh-CN"/>
        </w:rPr>
        <w:t>预算绩效</w:t>
      </w:r>
      <w:r>
        <w:rPr>
          <w:rFonts w:hint="eastAsia" w:ascii="仿宋_GB2312" w:hAnsi="仿宋_GB2312" w:eastAsia="仿宋_GB2312" w:cs="仿宋_GB2312"/>
          <w:spacing w:val="6"/>
          <w:kern w:val="0"/>
          <w:sz w:val="32"/>
          <w:szCs w:val="32"/>
        </w:rPr>
        <w:t>目标</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lang w:val="en-US" w:eastAsia="zh-CN"/>
        </w:rPr>
        <w:t>做到资金预算有目标，为预算支出效益提升提供了保障。2025年11月，组织开展了2025年1至10月份</w:t>
      </w:r>
      <w:r>
        <w:rPr>
          <w:rFonts w:hint="eastAsia" w:ascii="仿宋_GB2312" w:hAnsi="仿宋_GB2312" w:eastAsia="仿宋_GB2312" w:cs="仿宋_GB2312"/>
          <w:spacing w:val="6"/>
          <w:kern w:val="0"/>
          <w:sz w:val="32"/>
          <w:szCs w:val="32"/>
        </w:rPr>
        <w:t>预算执行</w:t>
      </w:r>
      <w:r>
        <w:rPr>
          <w:rFonts w:hint="eastAsia" w:ascii="仿宋_GB2312" w:hAnsi="仿宋_GB2312" w:eastAsia="仿宋_GB2312" w:cs="仿宋_GB2312"/>
          <w:spacing w:val="6"/>
          <w:kern w:val="0"/>
          <w:sz w:val="32"/>
          <w:szCs w:val="32"/>
          <w:lang w:val="en-US" w:eastAsia="zh-CN"/>
        </w:rPr>
        <w:t>绩效</w:t>
      </w:r>
      <w:r>
        <w:rPr>
          <w:rFonts w:hint="eastAsia" w:ascii="仿宋_GB2312" w:hAnsi="仿宋_GB2312" w:eastAsia="仿宋_GB2312" w:cs="仿宋_GB2312"/>
          <w:spacing w:val="6"/>
          <w:kern w:val="0"/>
          <w:sz w:val="32"/>
          <w:szCs w:val="32"/>
        </w:rPr>
        <w:t>监控</w:t>
      </w:r>
      <w:r>
        <w:rPr>
          <w:rFonts w:hint="eastAsia" w:ascii="仿宋_GB2312" w:hAnsi="仿宋_GB2312" w:eastAsia="仿宋_GB2312" w:cs="仿宋_GB2312"/>
          <w:spacing w:val="6"/>
          <w:kern w:val="0"/>
          <w:sz w:val="32"/>
          <w:szCs w:val="32"/>
          <w:lang w:val="en-US" w:eastAsia="zh-CN"/>
        </w:rPr>
        <w:t>工作，2025年5月开始组织对上年度预算支出进行绩效自评工作，做到了</w:t>
      </w:r>
      <w:r>
        <w:rPr>
          <w:rFonts w:hint="eastAsia" w:ascii="仿宋_GB2312" w:hAnsi="仿宋_GB2312" w:eastAsia="仿宋_GB2312" w:cs="仿宋_GB2312"/>
          <w:spacing w:val="6"/>
          <w:kern w:val="0"/>
          <w:sz w:val="32"/>
          <w:szCs w:val="32"/>
        </w:rPr>
        <w:t>预算</w:t>
      </w:r>
      <w:r>
        <w:rPr>
          <w:rFonts w:hint="eastAsia" w:ascii="仿宋_GB2312" w:hAnsi="仿宋_GB2312" w:eastAsia="仿宋_GB2312" w:cs="仿宋_GB2312"/>
          <w:spacing w:val="6"/>
          <w:kern w:val="0"/>
          <w:sz w:val="32"/>
          <w:szCs w:val="32"/>
          <w:lang w:val="en-US" w:eastAsia="zh-CN"/>
        </w:rPr>
        <w:t>执行</w:t>
      </w:r>
      <w:r>
        <w:rPr>
          <w:rFonts w:hint="eastAsia" w:ascii="仿宋_GB2312" w:hAnsi="仿宋_GB2312" w:eastAsia="仿宋_GB2312" w:cs="仿宋_GB2312"/>
          <w:spacing w:val="6"/>
          <w:kern w:val="0"/>
          <w:sz w:val="32"/>
          <w:szCs w:val="32"/>
        </w:rPr>
        <w:t>完成有评价</w:t>
      </w:r>
      <w:r>
        <w:rPr>
          <w:rFonts w:hint="eastAsia" w:ascii="仿宋_GB2312" w:hAnsi="仿宋_GB2312" w:eastAsia="仿宋_GB2312" w:cs="仿宋_GB2312"/>
          <w:spacing w:val="6"/>
          <w:kern w:val="0"/>
          <w:sz w:val="32"/>
          <w:szCs w:val="32"/>
          <w:lang w:eastAsia="zh-CN"/>
        </w:rPr>
        <w:t>，增强了单位管理人员预算意识、绩效意识，</w:t>
      </w:r>
      <w:r>
        <w:rPr>
          <w:rFonts w:hint="eastAsia" w:ascii="仿宋_GB2312" w:hAnsi="仿宋_GB2312" w:eastAsia="仿宋_GB2312" w:cs="仿宋_GB2312"/>
          <w:spacing w:val="6"/>
          <w:kern w:val="0"/>
          <w:sz w:val="32"/>
          <w:szCs w:val="32"/>
        </w:rPr>
        <w:t>使单位经济业务从事前、事中、事后得到</w:t>
      </w:r>
      <w:r>
        <w:rPr>
          <w:rFonts w:hint="eastAsia" w:ascii="仿宋_GB2312" w:hAnsi="仿宋_GB2312" w:eastAsia="仿宋_GB2312" w:cs="仿宋_GB2312"/>
          <w:spacing w:val="6"/>
          <w:kern w:val="0"/>
          <w:sz w:val="32"/>
          <w:szCs w:val="32"/>
          <w:lang w:val="en-US" w:eastAsia="zh-CN"/>
        </w:rPr>
        <w:t>了</w:t>
      </w:r>
      <w:r>
        <w:rPr>
          <w:rFonts w:hint="eastAsia" w:ascii="仿宋_GB2312" w:hAnsi="仿宋_GB2312" w:eastAsia="仿宋_GB2312" w:cs="仿宋_GB2312"/>
          <w:spacing w:val="6"/>
          <w:kern w:val="0"/>
          <w:sz w:val="32"/>
          <w:szCs w:val="32"/>
        </w:rPr>
        <w:t>有效管控</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lang w:val="en-US" w:eastAsia="zh-CN"/>
        </w:rPr>
        <w:t>进一步提升了财政资金支出绩效</w:t>
      </w:r>
      <w:r>
        <w:rPr>
          <w:rFonts w:hint="eastAsia" w:ascii="仿宋_GB2312" w:hAnsi="仿宋_GB2312" w:eastAsia="仿宋_GB2312" w:cs="仿宋_GB2312"/>
          <w:spacing w:val="6"/>
          <w:kern w:val="0"/>
          <w:sz w:val="32"/>
          <w:szCs w:val="32"/>
          <w:lang w:eastAsia="zh-CN"/>
        </w:rPr>
        <w:t>。</w:t>
      </w:r>
    </w:p>
    <w:p w14:paraId="3FB299F7">
      <w:pPr>
        <w:pStyle w:val="4"/>
        <w:keepNext w:val="0"/>
        <w:keepLines w:val="0"/>
        <w:pageBreakBefore w:val="0"/>
        <w:wordWrap/>
        <w:overflowPunct/>
        <w:topLinePunct w:val="0"/>
        <w:bidi w:val="0"/>
        <w:spacing w:line="60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sz w:val="32"/>
          <w:szCs w:val="32"/>
          <w:highlight w:val="none"/>
          <w:lang w:val="en-US" w:eastAsia="zh-CN"/>
        </w:rPr>
        <w:t>2、资产管理情况</w:t>
      </w:r>
    </w:p>
    <w:p w14:paraId="431475D1">
      <w:pPr>
        <w:pStyle w:val="6"/>
        <w:keepNext w:val="0"/>
        <w:keepLines w:val="0"/>
        <w:pageBreakBefore w:val="0"/>
        <w:wordWrap/>
        <w:overflowPunct/>
        <w:topLinePunct w:val="0"/>
        <w:bidi w:val="0"/>
        <w:spacing w:line="600" w:lineRule="exact"/>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highlight w:val="none"/>
          <w:lang w:val="en-US" w:eastAsia="zh-CN"/>
        </w:rPr>
        <w:t xml:space="preserve">    中心定期开展资产清查盘点工作，确保了账实相符，并结合单位实际情况，修订了实物管理制度，加强实物资产管理。资产管理按照厉行节约、物尽其用的原则，闲置的资产，由办公室统一调整，合理流动，发挥其效益。日常管理采取统一建帐、统一核算，对每件固定资产使用明确保管职责。固定资产配置和处置，均按规定程序办理，并严格按固定资产管理办法进行核算与管理。</w:t>
      </w:r>
    </w:p>
    <w:p w14:paraId="6A4F1D3A">
      <w:pPr>
        <w:keepNext w:val="0"/>
        <w:keepLines w:val="0"/>
        <w:pageBreakBefore w:val="0"/>
        <w:wordWrap/>
        <w:overflowPunct/>
        <w:topLinePunct w:val="0"/>
        <w:bidi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3、政府采购管理情况</w:t>
      </w:r>
    </w:p>
    <w:p w14:paraId="4D1A26B3">
      <w:pPr>
        <w:pStyle w:val="4"/>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中心政府采购工作严格按照</w:t>
      </w:r>
      <w:r>
        <w:rPr>
          <w:rFonts w:hint="eastAsia" w:ascii="仿宋_GB2312" w:hAnsi="仿宋_GB2312" w:eastAsia="仿宋_GB2312" w:cs="仿宋_GB2312"/>
          <w:color w:val="auto"/>
          <w:sz w:val="32"/>
          <w:szCs w:val="32"/>
        </w:rPr>
        <w:t>《中华人民共和国政府采购法》</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lang w:val="en-US" w:eastAsia="zh-CN"/>
        </w:rPr>
        <w:t>岳阳市财政局关于印发《岳阳市预算单位政府集中采购目录及标准指引（2022版）》的通知（岳财发〔2022〕2号）和</w:t>
      </w:r>
      <w:r>
        <w:rPr>
          <w:rFonts w:hint="eastAsia" w:ascii="仿宋_GB2312" w:hAnsi="仿宋_GB2312" w:eastAsia="仿宋_GB2312" w:cs="仿宋_GB2312"/>
          <w:sz w:val="32"/>
          <w:szCs w:val="32"/>
        </w:rPr>
        <w:t>湖南省财政厅印发的《湖南省政府采购电子卖场管理办法》（湘财购［2019]27号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等文件规定的标准和程序执行。2025年城市事件和部件采集服务项目以公开招标方式进行了采购，</w:t>
      </w:r>
      <w:r>
        <w:rPr>
          <w:rFonts w:hint="eastAsia" w:ascii="仿宋_GB2312" w:hAnsi="仿宋_GB2312" w:eastAsia="仿宋_GB2312" w:cs="仿宋_GB2312"/>
          <w:color w:val="auto"/>
          <w:sz w:val="32"/>
          <w:szCs w:val="32"/>
          <w:lang w:val="en-US" w:eastAsia="zh-CN"/>
        </w:rPr>
        <w:t>成交供应商为政通智慧城市运营科技有限公司。智慧城管系统二期通迅运营租赁和岳阳市智慧城管一期系统通迅运营租赁服务项目以单一来源方式进行了采购成交供应商分别为中国电信股份有限价公司岳阳分公司和中移铁通有限公司岳阳分公司，其他采购限额以下项目均通过电子卖场进行采购，</w:t>
      </w:r>
      <w:r>
        <w:rPr>
          <w:rFonts w:hint="eastAsia" w:ascii="仿宋_GB2312" w:hAnsi="仿宋_GB2312" w:eastAsia="仿宋_GB2312" w:cs="仿宋_GB2312"/>
          <w:sz w:val="32"/>
          <w:szCs w:val="32"/>
          <w:lang w:val="en-US" w:eastAsia="zh-CN"/>
        </w:rPr>
        <w:t>2025年实际政府采购总金额为</w:t>
      </w:r>
      <w:r>
        <w:rPr>
          <w:rFonts w:hint="eastAsia" w:ascii="仿宋_GB2312" w:hAnsi="仿宋_GB2312" w:eastAsia="仿宋_GB2312" w:cs="仿宋_GB2312"/>
          <w:color w:val="auto"/>
          <w:sz w:val="32"/>
          <w:szCs w:val="32"/>
          <w:lang w:val="en-US" w:eastAsia="zh-CN"/>
        </w:rPr>
        <w:t>429.03</w:t>
      </w:r>
      <w:r>
        <w:rPr>
          <w:rFonts w:hint="eastAsia" w:ascii="仿宋_GB2312" w:hAnsi="仿宋_GB2312" w:eastAsia="仿宋_GB2312" w:cs="仿宋_GB2312"/>
          <w:sz w:val="32"/>
          <w:szCs w:val="32"/>
          <w:lang w:val="en-US" w:eastAsia="zh-CN"/>
        </w:rPr>
        <w:t xml:space="preserve">万元。  </w:t>
      </w:r>
    </w:p>
    <w:p w14:paraId="3A63E075">
      <w:pPr>
        <w:pStyle w:val="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4、专项管理情况</w:t>
      </w:r>
    </w:p>
    <w:p w14:paraId="1C8DBAC4">
      <w:pPr>
        <w:pStyle w:val="4"/>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Cs/>
          <w:sz w:val="32"/>
          <w:szCs w:val="32"/>
        </w:rPr>
        <w:t>单位制订了《政府采购业务管理制度》、《</w:t>
      </w:r>
      <w:r>
        <w:rPr>
          <w:rFonts w:hint="eastAsia" w:ascii="仿宋_GB2312" w:hAnsi="仿宋_GB2312" w:eastAsia="仿宋_GB2312" w:cs="仿宋_GB2312"/>
          <w:sz w:val="32"/>
          <w:szCs w:val="32"/>
        </w:rPr>
        <w:t>岳阳市智慧城管信息采集工作管理办法》和《12319城管热线工单办理规范》等规章制度，按程序对项目进行了管理。</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加强项目监管和考评，对信息采集业务进行月绩效评价及年度综合评价，</w:t>
      </w:r>
      <w:r>
        <w:rPr>
          <w:rFonts w:hint="eastAsia" w:ascii="仿宋_GB2312" w:hAnsi="仿宋_GB2312" w:eastAsia="仿宋_GB2312" w:cs="仿宋_GB2312"/>
          <w:sz w:val="32"/>
          <w:szCs w:val="32"/>
          <w:lang w:eastAsia="zh-CN"/>
        </w:rPr>
        <w:t>考评结果依据合同约定与委托服务期服务费用挂钩，</w:t>
      </w:r>
      <w:r>
        <w:rPr>
          <w:rFonts w:hint="eastAsia" w:ascii="仿宋_GB2312" w:hAnsi="仿宋_GB2312" w:eastAsia="仿宋_GB2312" w:cs="仿宋_GB2312"/>
          <w:sz w:val="32"/>
          <w:szCs w:val="32"/>
        </w:rPr>
        <w:t>对存在的问题及时指出，督促限时整改。</w:t>
      </w:r>
    </w:p>
    <w:p w14:paraId="72F4E1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5、运行成本和预算执行情况</w:t>
      </w:r>
    </w:p>
    <w:p w14:paraId="09CBAF38">
      <w:pPr>
        <w:pStyle w:val="4"/>
        <w:keepNext w:val="0"/>
        <w:keepLines w:val="0"/>
        <w:pageBreakBefore w:val="0"/>
        <w:numPr>
          <w:ilvl w:val="0"/>
          <w:numId w:val="0"/>
        </w:numPr>
        <w:wordWrap/>
        <w:overflowPunct/>
        <w:topLinePunct w:val="0"/>
        <w:bidi w:val="0"/>
        <w:spacing w:line="60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中心全年预算金额为983.1万元，均为一般公共预算拨款，实际支出金额为961.56万元，其中基本支出403.25万元、项目支出558.31万元，年度预算执行率为97.81%，预算执行率与上年基本持平，单位运行成本控制在年度预算金额内，资金周转利用效率高。</w:t>
      </w:r>
    </w:p>
    <w:p w14:paraId="4055DB45">
      <w:pPr>
        <w:pStyle w:val="6"/>
        <w:keepNext w:val="0"/>
        <w:keepLines w:val="0"/>
        <w:pageBreakBefore w:val="0"/>
        <w:wordWrap/>
        <w:overflowPunct/>
        <w:topLinePunct w:val="0"/>
        <w:bidi w:val="0"/>
        <w:spacing w:line="600" w:lineRule="exact"/>
        <w:ind w:left="0" w:leftChars="0" w:firstLine="643" w:firstLineChars="200"/>
        <w:jc w:val="left"/>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u w:val="none"/>
          <w:shd w:val="clear" w:color="auto" w:fill="FFFFFF"/>
          <w:lang w:eastAsia="zh-CN"/>
        </w:rPr>
        <w:t>（</w:t>
      </w:r>
      <w:r>
        <w:rPr>
          <w:rFonts w:hint="eastAsia" w:ascii="仿宋_GB2312" w:hAnsi="仿宋_GB2312" w:eastAsia="仿宋_GB2312" w:cs="仿宋_GB2312"/>
          <w:b/>
          <w:bCs/>
          <w:color w:val="auto"/>
          <w:sz w:val="32"/>
          <w:szCs w:val="32"/>
          <w:u w:val="none"/>
          <w:shd w:val="clear" w:color="auto" w:fill="FFFFFF"/>
          <w:lang w:val="en-US" w:eastAsia="zh-CN"/>
        </w:rPr>
        <w:t>四）</w:t>
      </w:r>
      <w:r>
        <w:rPr>
          <w:rFonts w:hint="eastAsia" w:ascii="仿宋_GB2312" w:hAnsi="仿宋_GB2312" w:eastAsia="仿宋_GB2312" w:cs="仿宋_GB2312"/>
          <w:b/>
          <w:bCs/>
          <w:color w:val="auto"/>
          <w:sz w:val="32"/>
          <w:szCs w:val="32"/>
          <w:u w:val="none"/>
          <w:shd w:val="clear" w:color="auto" w:fill="FFFFFF"/>
        </w:rPr>
        <w:t>预算支出主要绩效及评价结论</w:t>
      </w:r>
    </w:p>
    <w:p w14:paraId="18E362E2">
      <w:pPr>
        <w:keepNext w:val="0"/>
        <w:keepLines w:val="0"/>
        <w:pageBreakBefore w:val="0"/>
        <w:wordWrap/>
        <w:overflowPunct/>
        <w:topLinePunct w:val="0"/>
        <w:bidi w:val="0"/>
        <w:spacing w:line="600" w:lineRule="exact"/>
        <w:ind w:firstLine="688"/>
        <w:jc w:val="left"/>
        <w:rPr>
          <w:rFonts w:hint="eastAsia" w:ascii="仿宋_GB2312" w:hAnsi="仿宋_GB2312" w:eastAsia="仿宋_GB2312" w:cs="仿宋_GB2312"/>
          <w:b/>
          <w:bCs/>
          <w:color w:val="auto"/>
          <w:sz w:val="32"/>
          <w:szCs w:val="32"/>
          <w:u w:val="none"/>
          <w:shd w:val="clear" w:color="auto" w:fill="FFFFFF"/>
          <w:lang w:eastAsia="zh-CN"/>
        </w:rPr>
      </w:pPr>
      <w:r>
        <w:rPr>
          <w:rFonts w:hint="eastAsia" w:ascii="仿宋_GB2312" w:hAnsi="仿宋_GB2312" w:eastAsia="仿宋_GB2312" w:cs="仿宋_GB2312"/>
          <w:b/>
          <w:bCs/>
          <w:color w:val="auto"/>
          <w:sz w:val="32"/>
          <w:szCs w:val="32"/>
          <w:u w:val="none"/>
          <w:shd w:val="clear" w:color="auto" w:fill="FFFFFF"/>
        </w:rPr>
        <w:t>预算支出主要绩效</w:t>
      </w:r>
      <w:r>
        <w:rPr>
          <w:rFonts w:hint="eastAsia" w:ascii="仿宋_GB2312" w:hAnsi="仿宋_GB2312" w:eastAsia="仿宋_GB2312" w:cs="仿宋_GB2312"/>
          <w:b/>
          <w:bCs/>
          <w:color w:val="auto"/>
          <w:sz w:val="32"/>
          <w:szCs w:val="32"/>
          <w:u w:val="none"/>
          <w:shd w:val="clear" w:color="auto" w:fill="FFFFFF"/>
          <w:lang w:eastAsia="zh-CN"/>
        </w:rPr>
        <w:t>：</w:t>
      </w:r>
    </w:p>
    <w:p w14:paraId="6C1636C1">
      <w:pPr>
        <w:numPr>
          <w:ilvl w:val="0"/>
          <w:numId w:val="0"/>
        </w:numPr>
        <w:spacing w:before="5" w:line="330" w:lineRule="auto"/>
        <w:ind w:right="313" w:rightChars="0" w:firstLine="644" w:firstLineChars="200"/>
        <w:rPr>
          <w:rFonts w:hint="eastAsia" w:ascii="CESI仿宋-GB2312" w:hAnsi="CESI仿宋-GB2312" w:eastAsia="CESI仿宋-GB2312" w:cs="CESI仿宋-GB2312"/>
          <w:spacing w:val="13"/>
          <w:sz w:val="31"/>
          <w:szCs w:val="31"/>
          <w:lang w:eastAsia="zh-CN"/>
        </w:rPr>
      </w:pPr>
      <w:r>
        <w:rPr>
          <w:rFonts w:hint="eastAsia" w:ascii="CESI仿宋-GB2312" w:hAnsi="CESI仿宋-GB2312" w:eastAsia="CESI仿宋-GB2312" w:cs="CESI仿宋-GB2312"/>
          <w:b w:val="0"/>
          <w:bCs w:val="0"/>
          <w:spacing w:val="6"/>
          <w:sz w:val="31"/>
          <w:szCs w:val="31"/>
          <w:lang w:val="en-US" w:eastAsia="zh-CN"/>
        </w:rPr>
        <w:t>1</w:t>
      </w:r>
      <w:r>
        <w:rPr>
          <w:rFonts w:hint="eastAsia" w:ascii="CESI仿宋-GB2312" w:hAnsi="CESI仿宋-GB2312" w:eastAsia="CESI仿宋-GB2312" w:cs="CESI仿宋-GB2312"/>
          <w:b w:val="0"/>
          <w:bCs w:val="0"/>
          <w:spacing w:val="6"/>
          <w:sz w:val="31"/>
          <w:szCs w:val="31"/>
          <w:lang w:eastAsia="zh-CN"/>
        </w:rPr>
        <w:t>、</w:t>
      </w:r>
      <w:r>
        <w:rPr>
          <w:rFonts w:hint="eastAsia" w:ascii="CESI仿宋-GB2312" w:hAnsi="CESI仿宋-GB2312" w:eastAsia="CESI仿宋-GB2312" w:cs="CESI仿宋-GB2312"/>
          <w:b w:val="0"/>
          <w:bCs w:val="0"/>
          <w:spacing w:val="6"/>
          <w:sz w:val="31"/>
          <w:szCs w:val="31"/>
        </w:rPr>
        <w:t>常态履职稳运行，处置质效双提升。</w:t>
      </w:r>
      <w:r>
        <w:rPr>
          <w:rFonts w:hint="eastAsia" w:ascii="CESI仿宋-GB2312" w:hAnsi="CESI仿宋-GB2312" w:eastAsia="CESI仿宋-GB2312" w:cs="CESI仿宋-GB2312"/>
          <w:spacing w:val="6"/>
          <w:sz w:val="31"/>
          <w:szCs w:val="31"/>
        </w:rPr>
        <w:t>中心支部牵</w:t>
      </w:r>
      <w:r>
        <w:rPr>
          <w:rFonts w:hint="eastAsia" w:ascii="CESI仿宋-GB2312" w:hAnsi="CESI仿宋-GB2312" w:eastAsia="CESI仿宋-GB2312" w:cs="CESI仿宋-GB2312"/>
          <w:spacing w:val="3"/>
          <w:sz w:val="31"/>
          <w:szCs w:val="31"/>
        </w:rPr>
        <w:t>头优化城市管理问题处置流程，构建“网格 +信</w:t>
      </w:r>
      <w:r>
        <w:rPr>
          <w:rFonts w:hint="eastAsia" w:ascii="CESI仿宋-GB2312" w:hAnsi="CESI仿宋-GB2312" w:eastAsia="CESI仿宋-GB2312" w:cs="CESI仿宋-GB2312"/>
          <w:spacing w:val="2"/>
          <w:sz w:val="31"/>
          <w:szCs w:val="31"/>
        </w:rPr>
        <w:t>息采集员+</w:t>
      </w:r>
      <w:r>
        <w:rPr>
          <w:rFonts w:hint="eastAsia" w:ascii="CESI仿宋-GB2312" w:hAnsi="CESI仿宋-GB2312" w:eastAsia="CESI仿宋-GB2312" w:cs="CESI仿宋-GB2312"/>
          <w:sz w:val="31"/>
          <w:szCs w:val="31"/>
        </w:rPr>
        <w:t>AI</w:t>
      </w:r>
      <w:r>
        <w:rPr>
          <w:rFonts w:hint="eastAsia" w:ascii="CESI仿宋-GB2312" w:hAnsi="CESI仿宋-GB2312" w:eastAsia="CESI仿宋-GB2312" w:cs="CESI仿宋-GB2312"/>
          <w:spacing w:val="9"/>
          <w:sz w:val="31"/>
          <w:szCs w:val="31"/>
        </w:rPr>
        <w:t>智能采集”三位一体问题发现体系，依托智慧城管</w:t>
      </w:r>
      <w:r>
        <w:rPr>
          <w:rFonts w:hint="eastAsia" w:ascii="CESI仿宋-GB2312" w:hAnsi="CESI仿宋-GB2312" w:eastAsia="CESI仿宋-GB2312" w:cs="CESI仿宋-GB2312"/>
          <w:spacing w:val="8"/>
          <w:sz w:val="31"/>
          <w:szCs w:val="31"/>
        </w:rPr>
        <w:t>平台实现</w:t>
      </w:r>
      <w:r>
        <w:rPr>
          <w:rFonts w:hint="eastAsia" w:ascii="CESI仿宋-GB2312" w:hAnsi="CESI仿宋-GB2312" w:eastAsia="CESI仿宋-GB2312" w:cs="CESI仿宋-GB2312"/>
          <w:spacing w:val="5"/>
          <w:sz w:val="31"/>
          <w:szCs w:val="31"/>
        </w:rPr>
        <w:t>“一图汇数据、一网通互联、一屏观全局”。2</w:t>
      </w:r>
      <w:r>
        <w:rPr>
          <w:rFonts w:hint="eastAsia" w:ascii="CESI仿宋-GB2312" w:hAnsi="CESI仿宋-GB2312" w:eastAsia="CESI仿宋-GB2312" w:cs="CESI仿宋-GB2312"/>
          <w:spacing w:val="4"/>
          <w:sz w:val="31"/>
          <w:szCs w:val="31"/>
        </w:rPr>
        <w:t>025</w:t>
      </w:r>
      <w:r>
        <w:rPr>
          <w:rFonts w:hint="eastAsia" w:ascii="CESI仿宋-GB2312" w:hAnsi="CESI仿宋-GB2312" w:eastAsia="CESI仿宋-GB2312" w:cs="CESI仿宋-GB2312"/>
          <w:spacing w:val="-58"/>
          <w:sz w:val="31"/>
          <w:szCs w:val="31"/>
        </w:rPr>
        <w:t xml:space="preserve"> </w:t>
      </w:r>
      <w:r>
        <w:rPr>
          <w:rFonts w:hint="eastAsia" w:ascii="CESI仿宋-GB2312" w:hAnsi="CESI仿宋-GB2312" w:eastAsia="CESI仿宋-GB2312" w:cs="CESI仿宋-GB2312"/>
          <w:spacing w:val="4"/>
          <w:sz w:val="31"/>
          <w:szCs w:val="31"/>
        </w:rPr>
        <w:t>年全年受</w:t>
      </w:r>
      <w:r>
        <w:rPr>
          <w:rFonts w:hint="eastAsia" w:ascii="CESI仿宋-GB2312" w:hAnsi="CESI仿宋-GB2312" w:eastAsia="CESI仿宋-GB2312" w:cs="CESI仿宋-GB2312"/>
          <w:spacing w:val="13"/>
          <w:sz w:val="31"/>
          <w:szCs w:val="31"/>
        </w:rPr>
        <w:t>理城市管理问题 300019</w:t>
      </w:r>
      <w:r>
        <w:rPr>
          <w:rFonts w:hint="eastAsia" w:ascii="CESI仿宋-GB2312" w:hAnsi="CESI仿宋-GB2312" w:eastAsia="CESI仿宋-GB2312" w:cs="CESI仿宋-GB2312"/>
          <w:spacing w:val="-24"/>
          <w:sz w:val="31"/>
          <w:szCs w:val="31"/>
        </w:rPr>
        <w:t xml:space="preserve"> </w:t>
      </w:r>
      <w:r>
        <w:rPr>
          <w:rFonts w:hint="eastAsia" w:ascii="CESI仿宋-GB2312" w:hAnsi="CESI仿宋-GB2312" w:eastAsia="CESI仿宋-GB2312" w:cs="CESI仿宋-GB2312"/>
          <w:spacing w:val="13"/>
          <w:sz w:val="31"/>
          <w:szCs w:val="31"/>
        </w:rPr>
        <w:t>件、处置</w:t>
      </w:r>
      <w:r>
        <w:rPr>
          <w:rFonts w:hint="eastAsia" w:ascii="CESI仿宋-GB2312" w:hAnsi="CESI仿宋-GB2312" w:eastAsia="CESI仿宋-GB2312" w:cs="CESI仿宋-GB2312"/>
          <w:spacing w:val="76"/>
          <w:sz w:val="31"/>
          <w:szCs w:val="31"/>
        </w:rPr>
        <w:t xml:space="preserve"> </w:t>
      </w:r>
      <w:r>
        <w:rPr>
          <w:rFonts w:hint="eastAsia" w:ascii="CESI仿宋-GB2312" w:hAnsi="CESI仿宋-GB2312" w:eastAsia="CESI仿宋-GB2312" w:cs="CESI仿宋-GB2312"/>
          <w:spacing w:val="13"/>
          <w:sz w:val="31"/>
          <w:szCs w:val="31"/>
        </w:rPr>
        <w:t>216180 件，</w:t>
      </w:r>
      <w:r>
        <w:rPr>
          <w:rFonts w:hint="eastAsia" w:ascii="CESI仿宋-GB2312" w:hAnsi="CESI仿宋-GB2312" w:eastAsia="CESI仿宋-GB2312" w:cs="CESI仿宋-GB2312"/>
          <w:spacing w:val="-70"/>
          <w:sz w:val="31"/>
          <w:szCs w:val="31"/>
        </w:rPr>
        <w:t xml:space="preserve"> </w:t>
      </w:r>
      <w:r>
        <w:rPr>
          <w:rFonts w:hint="eastAsia" w:ascii="CESI仿宋-GB2312" w:hAnsi="CESI仿宋-GB2312" w:eastAsia="CESI仿宋-GB2312" w:cs="CESI仿宋-GB2312"/>
          <w:spacing w:val="13"/>
          <w:sz w:val="31"/>
          <w:szCs w:val="31"/>
        </w:rPr>
        <w:t>处置</w:t>
      </w:r>
      <w:r>
        <w:rPr>
          <w:rFonts w:hint="eastAsia" w:ascii="CESI仿宋-GB2312" w:hAnsi="CESI仿宋-GB2312" w:eastAsia="CESI仿宋-GB2312" w:cs="CESI仿宋-GB2312"/>
          <w:spacing w:val="13"/>
          <w:sz w:val="31"/>
          <w:szCs w:val="31"/>
          <w:lang w:eastAsia="zh-CN"/>
        </w:rPr>
        <w:t>率达</w:t>
      </w:r>
      <w:r>
        <w:rPr>
          <w:rFonts w:hint="eastAsia" w:ascii="CESI仿宋-GB2312" w:hAnsi="CESI仿宋-GB2312" w:eastAsia="CESI仿宋-GB2312" w:cs="CESI仿宋-GB2312"/>
          <w:spacing w:val="3"/>
          <w:sz w:val="31"/>
          <w:szCs w:val="31"/>
        </w:rPr>
        <w:t>85.50%；受理转办</w:t>
      </w:r>
      <w:r>
        <w:rPr>
          <w:rFonts w:hint="eastAsia" w:ascii="CESI仿宋-GB2312" w:hAnsi="CESI仿宋-GB2312" w:eastAsia="CESI仿宋-GB2312" w:cs="CESI仿宋-GB2312"/>
          <w:spacing w:val="-40"/>
          <w:sz w:val="31"/>
          <w:szCs w:val="31"/>
        </w:rPr>
        <w:t xml:space="preserve"> </w:t>
      </w:r>
      <w:r>
        <w:rPr>
          <w:rFonts w:hint="eastAsia" w:ascii="CESI仿宋-GB2312" w:hAnsi="CESI仿宋-GB2312" w:eastAsia="CESI仿宋-GB2312" w:cs="CESI仿宋-GB2312"/>
          <w:spacing w:val="3"/>
          <w:sz w:val="31"/>
          <w:szCs w:val="31"/>
        </w:rPr>
        <w:t>12345</w:t>
      </w:r>
      <w:r>
        <w:rPr>
          <w:rFonts w:hint="eastAsia" w:ascii="CESI仿宋-GB2312" w:hAnsi="CESI仿宋-GB2312" w:eastAsia="CESI仿宋-GB2312" w:cs="CESI仿宋-GB2312"/>
          <w:spacing w:val="-56"/>
          <w:sz w:val="31"/>
          <w:szCs w:val="31"/>
        </w:rPr>
        <w:t xml:space="preserve"> </w:t>
      </w:r>
      <w:r>
        <w:rPr>
          <w:rFonts w:hint="eastAsia" w:ascii="CESI仿宋-GB2312" w:hAnsi="CESI仿宋-GB2312" w:eastAsia="CESI仿宋-GB2312" w:cs="CESI仿宋-GB2312"/>
          <w:spacing w:val="3"/>
          <w:sz w:val="31"/>
          <w:szCs w:val="31"/>
        </w:rPr>
        <w:t>政府热线问题</w:t>
      </w:r>
      <w:r>
        <w:rPr>
          <w:rFonts w:hint="eastAsia" w:ascii="CESI仿宋-GB2312" w:hAnsi="CESI仿宋-GB2312" w:eastAsia="CESI仿宋-GB2312" w:cs="CESI仿宋-GB2312"/>
          <w:spacing w:val="-48"/>
          <w:sz w:val="31"/>
          <w:szCs w:val="31"/>
        </w:rPr>
        <w:t xml:space="preserve"> </w:t>
      </w:r>
      <w:r>
        <w:rPr>
          <w:rFonts w:hint="eastAsia" w:ascii="CESI仿宋-GB2312" w:hAnsi="CESI仿宋-GB2312" w:eastAsia="CESI仿宋-GB2312" w:cs="CESI仿宋-GB2312"/>
          <w:spacing w:val="3"/>
          <w:sz w:val="31"/>
          <w:szCs w:val="31"/>
        </w:rPr>
        <w:t>8671</w:t>
      </w:r>
      <w:r>
        <w:rPr>
          <w:rFonts w:hint="eastAsia" w:ascii="CESI仿宋-GB2312" w:hAnsi="CESI仿宋-GB2312" w:eastAsia="CESI仿宋-GB2312" w:cs="CESI仿宋-GB2312"/>
          <w:spacing w:val="-66"/>
          <w:sz w:val="31"/>
          <w:szCs w:val="31"/>
        </w:rPr>
        <w:t xml:space="preserve"> </w:t>
      </w:r>
      <w:r>
        <w:rPr>
          <w:rFonts w:hint="eastAsia" w:ascii="CESI仿宋-GB2312" w:hAnsi="CESI仿宋-GB2312" w:eastAsia="CESI仿宋-GB2312" w:cs="CESI仿宋-GB2312"/>
          <w:spacing w:val="3"/>
          <w:sz w:val="31"/>
          <w:szCs w:val="31"/>
        </w:rPr>
        <w:t>件、结</w:t>
      </w:r>
      <w:r>
        <w:rPr>
          <w:rFonts w:hint="eastAsia" w:ascii="CESI仿宋-GB2312" w:hAnsi="CESI仿宋-GB2312" w:eastAsia="CESI仿宋-GB2312" w:cs="CESI仿宋-GB2312"/>
          <w:spacing w:val="2"/>
          <w:sz w:val="31"/>
          <w:szCs w:val="31"/>
        </w:rPr>
        <w:t>案</w:t>
      </w:r>
      <w:r>
        <w:rPr>
          <w:rFonts w:hint="eastAsia" w:ascii="CESI仿宋-GB2312" w:hAnsi="CESI仿宋-GB2312" w:eastAsia="CESI仿宋-GB2312" w:cs="CESI仿宋-GB2312"/>
          <w:spacing w:val="-46"/>
          <w:sz w:val="31"/>
          <w:szCs w:val="31"/>
        </w:rPr>
        <w:t xml:space="preserve"> </w:t>
      </w:r>
      <w:r>
        <w:rPr>
          <w:rFonts w:hint="eastAsia" w:ascii="CESI仿宋-GB2312" w:hAnsi="CESI仿宋-GB2312" w:eastAsia="CESI仿宋-GB2312" w:cs="CESI仿宋-GB2312"/>
          <w:spacing w:val="2"/>
          <w:sz w:val="31"/>
          <w:szCs w:val="31"/>
        </w:rPr>
        <w:t>8508</w:t>
      </w:r>
      <w:r>
        <w:rPr>
          <w:rFonts w:hint="eastAsia" w:ascii="CESI仿宋-GB2312" w:hAnsi="CESI仿宋-GB2312" w:eastAsia="CESI仿宋-GB2312" w:cs="CESI仿宋-GB2312"/>
          <w:sz w:val="31"/>
          <w:szCs w:val="31"/>
        </w:rPr>
        <w:t xml:space="preserve"> </w:t>
      </w:r>
      <w:r>
        <w:rPr>
          <w:rFonts w:hint="eastAsia" w:ascii="CESI仿宋-GB2312" w:hAnsi="CESI仿宋-GB2312" w:eastAsia="CESI仿宋-GB2312" w:cs="CESI仿宋-GB2312"/>
          <w:spacing w:val="10"/>
          <w:sz w:val="31"/>
          <w:szCs w:val="31"/>
        </w:rPr>
        <w:t>件，结案率</w:t>
      </w:r>
      <w:r>
        <w:rPr>
          <w:rFonts w:hint="eastAsia" w:ascii="CESI仿宋-GB2312" w:hAnsi="CESI仿宋-GB2312" w:eastAsia="CESI仿宋-GB2312" w:cs="CESI仿宋-GB2312"/>
          <w:spacing w:val="-34"/>
          <w:sz w:val="31"/>
          <w:szCs w:val="31"/>
        </w:rPr>
        <w:t xml:space="preserve"> </w:t>
      </w:r>
      <w:r>
        <w:rPr>
          <w:rFonts w:hint="eastAsia" w:ascii="CESI仿宋-GB2312" w:hAnsi="CESI仿宋-GB2312" w:eastAsia="CESI仿宋-GB2312" w:cs="CESI仿宋-GB2312"/>
          <w:spacing w:val="10"/>
          <w:sz w:val="31"/>
          <w:szCs w:val="31"/>
        </w:rPr>
        <w:t>98%，案件处置时间较往年进一步压缩，按期处</w:t>
      </w:r>
      <w:r>
        <w:rPr>
          <w:rFonts w:hint="eastAsia" w:ascii="CESI仿宋-GB2312" w:hAnsi="CESI仿宋-GB2312" w:eastAsia="CESI仿宋-GB2312" w:cs="CESI仿宋-GB2312"/>
          <w:sz w:val="31"/>
          <w:szCs w:val="31"/>
        </w:rPr>
        <w:t xml:space="preserve"> </w:t>
      </w:r>
      <w:r>
        <w:rPr>
          <w:rFonts w:hint="eastAsia" w:ascii="CESI仿宋-GB2312" w:hAnsi="CESI仿宋-GB2312" w:eastAsia="CESI仿宋-GB2312" w:cs="CESI仿宋-GB2312"/>
          <w:spacing w:val="4"/>
          <w:sz w:val="31"/>
          <w:szCs w:val="31"/>
        </w:rPr>
        <w:t>置率稳步提升。连续</w:t>
      </w:r>
      <w:r>
        <w:rPr>
          <w:rFonts w:hint="eastAsia" w:ascii="CESI仿宋-GB2312" w:hAnsi="CESI仿宋-GB2312" w:eastAsia="CESI仿宋-GB2312" w:cs="CESI仿宋-GB2312"/>
          <w:spacing w:val="-30"/>
          <w:sz w:val="31"/>
          <w:szCs w:val="31"/>
        </w:rPr>
        <w:t xml:space="preserve"> </w:t>
      </w:r>
      <w:r>
        <w:rPr>
          <w:rFonts w:hint="eastAsia" w:ascii="CESI仿宋-GB2312" w:hAnsi="CESI仿宋-GB2312" w:eastAsia="CESI仿宋-GB2312" w:cs="CESI仿宋-GB2312"/>
          <w:spacing w:val="4"/>
          <w:sz w:val="31"/>
          <w:szCs w:val="31"/>
        </w:rPr>
        <w:t>3</w:t>
      </w:r>
      <w:r>
        <w:rPr>
          <w:rFonts w:hint="eastAsia" w:ascii="CESI仿宋-GB2312" w:hAnsi="CESI仿宋-GB2312" w:eastAsia="CESI仿宋-GB2312" w:cs="CESI仿宋-GB2312"/>
          <w:spacing w:val="-58"/>
          <w:sz w:val="31"/>
          <w:szCs w:val="31"/>
        </w:rPr>
        <w:t xml:space="preserve"> </w:t>
      </w:r>
      <w:r>
        <w:rPr>
          <w:rFonts w:hint="eastAsia" w:ascii="CESI仿宋-GB2312" w:hAnsi="CESI仿宋-GB2312" w:eastAsia="CESI仿宋-GB2312" w:cs="CESI仿宋-GB2312"/>
          <w:spacing w:val="4"/>
          <w:sz w:val="31"/>
          <w:szCs w:val="31"/>
        </w:rPr>
        <w:t>年参与</w:t>
      </w:r>
      <w:r>
        <w:rPr>
          <w:rFonts w:hint="eastAsia" w:ascii="CESI仿宋-GB2312" w:hAnsi="CESI仿宋-GB2312" w:eastAsia="CESI仿宋-GB2312" w:cs="CESI仿宋-GB2312"/>
          <w:spacing w:val="-43"/>
          <w:sz w:val="31"/>
          <w:szCs w:val="31"/>
        </w:rPr>
        <w:t xml:space="preserve"> </w:t>
      </w:r>
      <w:r>
        <w:rPr>
          <w:rFonts w:hint="eastAsia" w:ascii="CESI仿宋-GB2312" w:hAnsi="CESI仿宋-GB2312" w:eastAsia="CESI仿宋-GB2312" w:cs="CESI仿宋-GB2312"/>
          <w:spacing w:val="4"/>
          <w:sz w:val="31"/>
          <w:szCs w:val="31"/>
        </w:rPr>
        <w:t>12345</w:t>
      </w:r>
      <w:r>
        <w:rPr>
          <w:rFonts w:hint="eastAsia" w:ascii="CESI仿宋-GB2312" w:hAnsi="CESI仿宋-GB2312" w:eastAsia="CESI仿宋-GB2312" w:cs="CESI仿宋-GB2312"/>
          <w:spacing w:val="-56"/>
          <w:sz w:val="31"/>
          <w:szCs w:val="31"/>
        </w:rPr>
        <w:t xml:space="preserve"> </w:t>
      </w:r>
      <w:r>
        <w:rPr>
          <w:rFonts w:hint="eastAsia" w:ascii="CESI仿宋-GB2312" w:hAnsi="CESI仿宋-GB2312" w:eastAsia="CESI仿宋-GB2312" w:cs="CESI仿宋-GB2312"/>
          <w:spacing w:val="4"/>
          <w:sz w:val="31"/>
          <w:szCs w:val="31"/>
        </w:rPr>
        <w:t>政府热线“领导接听日”</w:t>
      </w:r>
      <w:r>
        <w:rPr>
          <w:rFonts w:hint="eastAsia" w:ascii="CESI仿宋-GB2312" w:hAnsi="CESI仿宋-GB2312" w:eastAsia="CESI仿宋-GB2312" w:cs="CESI仿宋-GB2312"/>
          <w:spacing w:val="9"/>
          <w:sz w:val="31"/>
          <w:szCs w:val="31"/>
        </w:rPr>
        <w:t>活动，获多方肯定，市民满意度持续攀升。</w:t>
      </w:r>
    </w:p>
    <w:p w14:paraId="3904E37E">
      <w:pPr>
        <w:numPr>
          <w:ilvl w:val="0"/>
          <w:numId w:val="0"/>
        </w:numPr>
        <w:spacing w:before="5" w:line="330" w:lineRule="auto"/>
        <w:ind w:right="313" w:rightChars="0" w:firstLine="664" w:firstLineChars="200"/>
        <w:rPr>
          <w:rFonts w:hint="eastAsia" w:ascii="CESI仿宋-GB2312" w:hAnsi="CESI仿宋-GB2312" w:eastAsia="CESI仿宋-GB2312" w:cs="CESI仿宋-GB2312"/>
          <w:spacing w:val="6"/>
          <w:kern w:val="0"/>
          <w:sz w:val="32"/>
          <w:szCs w:val="32"/>
          <w:lang w:val="en-US" w:eastAsia="zh-CN" w:bidi="ar-SA"/>
        </w:rPr>
      </w:pPr>
      <w:r>
        <w:rPr>
          <w:rFonts w:hint="eastAsia" w:ascii="CESI仿宋-GB2312" w:hAnsi="CESI仿宋-GB2312" w:eastAsia="CESI仿宋-GB2312" w:cs="CESI仿宋-GB2312"/>
          <w:spacing w:val="6"/>
          <w:kern w:val="0"/>
          <w:sz w:val="32"/>
          <w:szCs w:val="32"/>
          <w:lang w:val="en-US" w:eastAsia="zh-CN" w:bidi="ar-SA"/>
        </w:rPr>
        <w:t>2、精准破题解难题，协同共治见实效。针对城市管理中的推诿争议难点问题，班子成员牵头协调，组织市政维护管理中心、区住建局等责任单位，对竹荫街井盖异响、岳阳大道与枣子山路交叉口停车场围栏倒伏等 6 个问题开展现场确权，破除处置壁垒。聚焦全国文明城市创建工作，召开专题部署会 3 次，细化任务分工，启动视频监控点位专项巡查行动，调整信息采集重点区域，为创文迎检提供坚实数据支撑。</w:t>
      </w:r>
    </w:p>
    <w:p w14:paraId="4448E5F0">
      <w:pPr>
        <w:spacing w:before="213" w:line="324" w:lineRule="auto"/>
        <w:ind w:left="25" w:right="315" w:firstLine="634"/>
        <w:rPr>
          <w:rFonts w:hint="eastAsia" w:ascii="CESI仿宋-GB2312" w:hAnsi="CESI仿宋-GB2312" w:eastAsia="CESI仿宋-GB2312" w:cs="CESI仿宋-GB2312"/>
          <w:sz w:val="31"/>
          <w:szCs w:val="31"/>
        </w:rPr>
      </w:pPr>
      <w:r>
        <w:rPr>
          <w:rFonts w:hint="eastAsia" w:ascii="CESI仿宋-GB2312" w:hAnsi="CESI仿宋-GB2312" w:eastAsia="CESI仿宋-GB2312" w:cs="CESI仿宋-GB2312"/>
          <w:b w:val="0"/>
          <w:bCs w:val="0"/>
          <w:spacing w:val="6"/>
          <w:sz w:val="31"/>
          <w:szCs w:val="31"/>
          <w:lang w:val="en-US" w:eastAsia="zh-CN"/>
        </w:rPr>
        <w:t>3、</w:t>
      </w:r>
      <w:r>
        <w:rPr>
          <w:rFonts w:hint="eastAsia" w:ascii="CESI仿宋-GB2312" w:hAnsi="CESI仿宋-GB2312" w:eastAsia="CESI仿宋-GB2312" w:cs="CESI仿宋-GB2312"/>
          <w:b w:val="0"/>
          <w:bCs w:val="0"/>
          <w:spacing w:val="6"/>
          <w:sz w:val="31"/>
          <w:szCs w:val="31"/>
        </w:rPr>
        <w:t>创新驱动强支撑，智慧治理谱新篇。</w:t>
      </w:r>
      <w:r>
        <w:rPr>
          <w:rFonts w:hint="eastAsia" w:ascii="CESI仿宋-GB2312" w:hAnsi="CESI仿宋-GB2312" w:eastAsia="CESI仿宋-GB2312" w:cs="CESI仿宋-GB2312"/>
          <w:spacing w:val="6"/>
          <w:sz w:val="31"/>
          <w:szCs w:val="31"/>
        </w:rPr>
        <w:t>筑牢防涝安</w:t>
      </w:r>
      <w:r>
        <w:rPr>
          <w:rFonts w:hint="eastAsia" w:ascii="CESI仿宋-GB2312" w:hAnsi="CESI仿宋-GB2312" w:eastAsia="CESI仿宋-GB2312" w:cs="CESI仿宋-GB2312"/>
          <w:spacing w:val="8"/>
          <w:sz w:val="31"/>
          <w:szCs w:val="31"/>
        </w:rPr>
        <w:t>全屏障。持续优化智能防涝指挥系统，整合 22 个积水点监</w:t>
      </w:r>
      <w:r>
        <w:rPr>
          <w:rFonts w:hint="eastAsia" w:ascii="CESI仿宋-GB2312" w:hAnsi="CESI仿宋-GB2312" w:eastAsia="CESI仿宋-GB2312" w:cs="CESI仿宋-GB2312"/>
          <w:spacing w:val="9"/>
          <w:sz w:val="31"/>
          <w:szCs w:val="31"/>
        </w:rPr>
        <w:t>测、220 余个智能井盖、5</w:t>
      </w:r>
      <w:r>
        <w:rPr>
          <w:rFonts w:hint="eastAsia" w:ascii="CESI仿宋-GB2312" w:hAnsi="CESI仿宋-GB2312" w:eastAsia="CESI仿宋-GB2312" w:cs="CESI仿宋-GB2312"/>
          <w:spacing w:val="-33"/>
          <w:sz w:val="31"/>
          <w:szCs w:val="31"/>
        </w:rPr>
        <w:t xml:space="preserve"> </w:t>
      </w:r>
      <w:r>
        <w:rPr>
          <w:rFonts w:hint="eastAsia" w:ascii="CESI仿宋-GB2312" w:hAnsi="CESI仿宋-GB2312" w:eastAsia="CESI仿宋-GB2312" w:cs="CESI仿宋-GB2312"/>
          <w:spacing w:val="9"/>
          <w:sz w:val="31"/>
          <w:szCs w:val="31"/>
        </w:rPr>
        <w:t>大湖水位视频及鹰眼监控资源，完成</w:t>
      </w:r>
      <w:r>
        <w:rPr>
          <w:rFonts w:hint="eastAsia" w:ascii="CESI仿宋-GB2312" w:hAnsi="CESI仿宋-GB2312" w:eastAsia="CESI仿宋-GB2312" w:cs="CESI仿宋-GB2312"/>
          <w:spacing w:val="-36"/>
          <w:sz w:val="31"/>
          <w:szCs w:val="31"/>
        </w:rPr>
        <w:t xml:space="preserve"> </w:t>
      </w:r>
      <w:r>
        <w:rPr>
          <w:rFonts w:hint="eastAsia" w:ascii="CESI仿宋-GB2312" w:hAnsi="CESI仿宋-GB2312" w:eastAsia="CESI仿宋-GB2312" w:cs="CESI仿宋-GB2312"/>
          <w:spacing w:val="9"/>
          <w:sz w:val="31"/>
          <w:szCs w:val="31"/>
        </w:rPr>
        <w:t>10</w:t>
      </w:r>
      <w:r>
        <w:rPr>
          <w:rFonts w:hint="eastAsia" w:ascii="CESI仿宋-GB2312" w:hAnsi="CESI仿宋-GB2312" w:eastAsia="CESI仿宋-GB2312" w:cs="CESI仿宋-GB2312"/>
          <w:spacing w:val="-41"/>
          <w:sz w:val="31"/>
          <w:szCs w:val="31"/>
        </w:rPr>
        <w:t xml:space="preserve"> </w:t>
      </w:r>
      <w:r>
        <w:rPr>
          <w:rFonts w:hint="eastAsia" w:ascii="CESI仿宋-GB2312" w:hAnsi="CESI仿宋-GB2312" w:eastAsia="CESI仿宋-GB2312" w:cs="CESI仿宋-GB2312"/>
          <w:spacing w:val="9"/>
          <w:sz w:val="31"/>
          <w:szCs w:val="31"/>
        </w:rPr>
        <w:t>类城管要素数据对接。汛期来临之际，</w:t>
      </w:r>
      <w:r>
        <w:rPr>
          <w:rFonts w:hint="eastAsia" w:ascii="CESI仿宋-GB2312" w:hAnsi="CESI仿宋-GB2312" w:eastAsia="CESI仿宋-GB2312" w:cs="CESI仿宋-GB2312"/>
          <w:spacing w:val="-81"/>
          <w:sz w:val="31"/>
          <w:szCs w:val="31"/>
        </w:rPr>
        <w:t xml:space="preserve"> </w:t>
      </w:r>
      <w:r>
        <w:rPr>
          <w:rFonts w:hint="eastAsia" w:ascii="CESI仿宋-GB2312" w:hAnsi="CESI仿宋-GB2312" w:eastAsia="CESI仿宋-GB2312" w:cs="CESI仿宋-GB2312"/>
          <w:spacing w:val="9"/>
          <w:sz w:val="31"/>
          <w:szCs w:val="31"/>
        </w:rPr>
        <w:t>中心支部带头坚守岗位，组织干部职工通宵驻守指挥平台，精准</w:t>
      </w:r>
      <w:r>
        <w:rPr>
          <w:rFonts w:hint="eastAsia" w:ascii="CESI仿宋-GB2312" w:hAnsi="CESI仿宋-GB2312" w:eastAsia="CESI仿宋-GB2312" w:cs="CESI仿宋-GB2312"/>
          <w:spacing w:val="8"/>
          <w:sz w:val="31"/>
          <w:szCs w:val="31"/>
        </w:rPr>
        <w:t>调度排</w:t>
      </w:r>
      <w:r>
        <w:rPr>
          <w:rFonts w:hint="eastAsia" w:ascii="CESI仿宋-GB2312" w:hAnsi="CESI仿宋-GB2312" w:eastAsia="CESI仿宋-GB2312" w:cs="CESI仿宋-GB2312"/>
          <w:spacing w:val="9"/>
          <w:sz w:val="31"/>
          <w:szCs w:val="31"/>
        </w:rPr>
        <w:t>涝力量，发布预警信息数十次，全力保障市民出行安全。</w:t>
      </w:r>
    </w:p>
    <w:p w14:paraId="2009C5A7">
      <w:pPr>
        <w:spacing w:before="198" w:line="344" w:lineRule="auto"/>
        <w:ind w:left="26" w:firstLine="648"/>
        <w:jc w:val="both"/>
        <w:rPr>
          <w:rFonts w:ascii="FangSong_GB2312" w:hAnsi="FangSong_GB2312" w:eastAsia="FangSong_GB2312" w:cs="FangSong_GB2312"/>
          <w:sz w:val="31"/>
          <w:szCs w:val="31"/>
        </w:rPr>
      </w:pPr>
      <w:r>
        <w:rPr>
          <w:rFonts w:hint="eastAsia" w:ascii="CESI仿宋-GB2312" w:hAnsi="CESI仿宋-GB2312" w:eastAsia="CESI仿宋-GB2312" w:cs="CESI仿宋-GB2312"/>
          <w:spacing w:val="12"/>
          <w:sz w:val="31"/>
          <w:szCs w:val="31"/>
        </w:rPr>
        <w:t>推进生命线工程建设。在</w:t>
      </w:r>
      <w:r>
        <w:rPr>
          <w:rFonts w:hint="eastAsia" w:ascii="CESI仿宋-GB2312" w:hAnsi="CESI仿宋-GB2312" w:eastAsia="CESI仿宋-GB2312" w:cs="CESI仿宋-GB2312"/>
          <w:spacing w:val="-40"/>
          <w:sz w:val="31"/>
          <w:szCs w:val="31"/>
        </w:rPr>
        <w:t xml:space="preserve"> </w:t>
      </w:r>
      <w:r>
        <w:rPr>
          <w:rFonts w:hint="eastAsia" w:ascii="CESI仿宋-GB2312" w:hAnsi="CESI仿宋-GB2312" w:eastAsia="CESI仿宋-GB2312" w:cs="CESI仿宋-GB2312"/>
          <w:spacing w:val="12"/>
          <w:sz w:val="31"/>
          <w:szCs w:val="31"/>
        </w:rPr>
        <w:t>2024</w:t>
      </w:r>
      <w:r>
        <w:rPr>
          <w:rFonts w:hint="eastAsia" w:ascii="CESI仿宋-GB2312" w:hAnsi="CESI仿宋-GB2312" w:eastAsia="CESI仿宋-GB2312" w:cs="CESI仿宋-GB2312"/>
          <w:spacing w:val="-51"/>
          <w:sz w:val="31"/>
          <w:szCs w:val="31"/>
        </w:rPr>
        <w:t xml:space="preserve"> </w:t>
      </w:r>
      <w:r>
        <w:rPr>
          <w:rFonts w:hint="eastAsia" w:ascii="CESI仿宋-GB2312" w:hAnsi="CESI仿宋-GB2312" w:eastAsia="CESI仿宋-GB2312" w:cs="CESI仿宋-GB2312"/>
          <w:spacing w:val="12"/>
          <w:sz w:val="31"/>
          <w:szCs w:val="31"/>
        </w:rPr>
        <w:t>年成功申报全省城市基</w:t>
      </w:r>
      <w:r>
        <w:rPr>
          <w:rFonts w:hint="eastAsia" w:ascii="CESI仿宋-GB2312" w:hAnsi="CESI仿宋-GB2312" w:eastAsia="CESI仿宋-GB2312" w:cs="CESI仿宋-GB2312"/>
          <w:spacing w:val="5"/>
          <w:sz w:val="31"/>
          <w:szCs w:val="31"/>
        </w:rPr>
        <w:t>础设施生命线安全工程试点的基础上，2025</w:t>
      </w:r>
      <w:r>
        <w:rPr>
          <w:rFonts w:hint="eastAsia" w:ascii="CESI仿宋-GB2312" w:hAnsi="CESI仿宋-GB2312" w:eastAsia="CESI仿宋-GB2312" w:cs="CESI仿宋-GB2312"/>
          <w:spacing w:val="-58"/>
          <w:sz w:val="31"/>
          <w:szCs w:val="31"/>
        </w:rPr>
        <w:t xml:space="preserve"> </w:t>
      </w:r>
      <w:r>
        <w:rPr>
          <w:rFonts w:hint="eastAsia" w:ascii="CESI仿宋-GB2312" w:hAnsi="CESI仿宋-GB2312" w:eastAsia="CESI仿宋-GB2312" w:cs="CESI仿宋-GB2312"/>
          <w:spacing w:val="5"/>
          <w:sz w:val="31"/>
          <w:szCs w:val="31"/>
        </w:rPr>
        <w:t>年</w:t>
      </w:r>
      <w:r>
        <w:rPr>
          <w:rFonts w:hint="eastAsia" w:ascii="CESI仿宋-GB2312" w:hAnsi="CESI仿宋-GB2312" w:eastAsia="CESI仿宋-GB2312" w:cs="CESI仿宋-GB2312"/>
          <w:spacing w:val="4"/>
          <w:sz w:val="31"/>
          <w:szCs w:val="31"/>
        </w:rPr>
        <w:t>牵头推进城陵</w:t>
      </w:r>
      <w:r>
        <w:rPr>
          <w:rFonts w:hint="eastAsia" w:ascii="CESI仿宋-GB2312" w:hAnsi="CESI仿宋-GB2312" w:eastAsia="CESI仿宋-GB2312" w:cs="CESI仿宋-GB2312"/>
          <w:spacing w:val="2"/>
          <w:sz w:val="31"/>
          <w:szCs w:val="31"/>
        </w:rPr>
        <w:t>矶新港区</w:t>
      </w:r>
      <w:r>
        <w:rPr>
          <w:rFonts w:hint="eastAsia" w:ascii="CESI仿宋-GB2312" w:hAnsi="CESI仿宋-GB2312" w:eastAsia="CESI仿宋-GB2312" w:cs="CESI仿宋-GB2312"/>
          <w:spacing w:val="-26"/>
          <w:sz w:val="31"/>
          <w:szCs w:val="31"/>
        </w:rPr>
        <w:t xml:space="preserve"> </w:t>
      </w:r>
      <w:r>
        <w:rPr>
          <w:rFonts w:hint="eastAsia" w:ascii="CESI仿宋-GB2312" w:hAnsi="CESI仿宋-GB2312" w:eastAsia="CESI仿宋-GB2312" w:cs="CESI仿宋-GB2312"/>
          <w:spacing w:val="2"/>
          <w:sz w:val="31"/>
          <w:szCs w:val="31"/>
        </w:rPr>
        <w:t>100</w:t>
      </w:r>
      <w:r>
        <w:rPr>
          <w:rFonts w:hint="eastAsia" w:ascii="CESI仿宋-GB2312" w:hAnsi="CESI仿宋-GB2312" w:eastAsia="CESI仿宋-GB2312" w:cs="CESI仿宋-GB2312"/>
          <w:spacing w:val="-57"/>
          <w:sz w:val="31"/>
          <w:szCs w:val="31"/>
        </w:rPr>
        <w:t xml:space="preserve"> </w:t>
      </w:r>
      <w:r>
        <w:rPr>
          <w:rFonts w:hint="eastAsia" w:ascii="CESI仿宋-GB2312" w:hAnsi="CESI仿宋-GB2312" w:eastAsia="CESI仿宋-GB2312" w:cs="CESI仿宋-GB2312"/>
          <w:spacing w:val="2"/>
          <w:sz w:val="31"/>
          <w:szCs w:val="31"/>
        </w:rPr>
        <w:t>平方公里示范区建设，覆盖</w:t>
      </w:r>
      <w:r>
        <w:rPr>
          <w:rFonts w:hint="eastAsia" w:ascii="CESI仿宋-GB2312" w:hAnsi="CESI仿宋-GB2312" w:eastAsia="CESI仿宋-GB2312" w:cs="CESI仿宋-GB2312"/>
          <w:spacing w:val="-46"/>
          <w:sz w:val="31"/>
          <w:szCs w:val="31"/>
        </w:rPr>
        <w:t xml:space="preserve"> </w:t>
      </w:r>
      <w:r>
        <w:rPr>
          <w:rFonts w:hint="eastAsia" w:ascii="CESI仿宋-GB2312" w:hAnsi="CESI仿宋-GB2312" w:eastAsia="CESI仿宋-GB2312" w:cs="CESI仿宋-GB2312"/>
          <w:spacing w:val="2"/>
          <w:sz w:val="31"/>
          <w:szCs w:val="31"/>
        </w:rPr>
        <w:t>62</w:t>
      </w:r>
      <w:r>
        <w:rPr>
          <w:rFonts w:hint="eastAsia" w:ascii="CESI仿宋-GB2312" w:hAnsi="CESI仿宋-GB2312" w:eastAsia="CESI仿宋-GB2312" w:cs="CESI仿宋-GB2312"/>
          <w:spacing w:val="-63"/>
          <w:sz w:val="31"/>
          <w:szCs w:val="31"/>
        </w:rPr>
        <w:t xml:space="preserve"> </w:t>
      </w:r>
      <w:r>
        <w:rPr>
          <w:rFonts w:hint="eastAsia" w:ascii="CESI仿宋-GB2312" w:hAnsi="CESI仿宋-GB2312" w:eastAsia="CESI仿宋-GB2312" w:cs="CESI仿宋-GB2312"/>
          <w:spacing w:val="2"/>
          <w:sz w:val="31"/>
          <w:szCs w:val="31"/>
        </w:rPr>
        <w:t>公里燃气管网、</w:t>
      </w:r>
      <w:r>
        <w:rPr>
          <w:rFonts w:hint="eastAsia" w:ascii="CESI仿宋-GB2312" w:hAnsi="CESI仿宋-GB2312" w:eastAsia="CESI仿宋-GB2312" w:cs="CESI仿宋-GB2312"/>
          <w:sz w:val="31"/>
          <w:szCs w:val="31"/>
        </w:rPr>
        <w:t xml:space="preserve"> </w:t>
      </w:r>
      <w:r>
        <w:rPr>
          <w:rFonts w:hint="eastAsia" w:ascii="CESI仿宋-GB2312" w:hAnsi="CESI仿宋-GB2312" w:eastAsia="CESI仿宋-GB2312" w:cs="CESI仿宋-GB2312"/>
          <w:spacing w:val="7"/>
          <w:sz w:val="31"/>
          <w:szCs w:val="31"/>
        </w:rPr>
        <w:t>264</w:t>
      </w:r>
      <w:r>
        <w:rPr>
          <w:rFonts w:hint="eastAsia" w:ascii="CESI仿宋-GB2312" w:hAnsi="CESI仿宋-GB2312" w:eastAsia="CESI仿宋-GB2312" w:cs="CESI仿宋-GB2312"/>
          <w:spacing w:val="-54"/>
          <w:sz w:val="31"/>
          <w:szCs w:val="31"/>
        </w:rPr>
        <w:t xml:space="preserve"> </w:t>
      </w:r>
      <w:r>
        <w:rPr>
          <w:rFonts w:hint="eastAsia" w:ascii="CESI仿宋-GB2312" w:hAnsi="CESI仿宋-GB2312" w:eastAsia="CESI仿宋-GB2312" w:cs="CESI仿宋-GB2312"/>
          <w:spacing w:val="7"/>
          <w:sz w:val="31"/>
          <w:szCs w:val="31"/>
        </w:rPr>
        <w:t>公里排水管网、83</w:t>
      </w:r>
      <w:r>
        <w:rPr>
          <w:rFonts w:hint="eastAsia" w:ascii="CESI仿宋-GB2312" w:hAnsi="CESI仿宋-GB2312" w:eastAsia="CESI仿宋-GB2312" w:cs="CESI仿宋-GB2312"/>
          <w:spacing w:val="-66"/>
          <w:sz w:val="31"/>
          <w:szCs w:val="31"/>
        </w:rPr>
        <w:t xml:space="preserve"> </w:t>
      </w:r>
      <w:r>
        <w:rPr>
          <w:rFonts w:hint="eastAsia" w:ascii="CESI仿宋-GB2312" w:hAnsi="CESI仿宋-GB2312" w:eastAsia="CESI仿宋-GB2312" w:cs="CESI仿宋-GB2312"/>
          <w:spacing w:val="7"/>
          <w:sz w:val="31"/>
          <w:szCs w:val="31"/>
        </w:rPr>
        <w:t>公里供水主干管网，有力支撑城市安</w:t>
      </w:r>
      <w:r>
        <w:rPr>
          <w:rFonts w:hint="eastAsia" w:ascii="CESI仿宋-GB2312" w:hAnsi="CESI仿宋-GB2312" w:eastAsia="CESI仿宋-GB2312" w:cs="CESI仿宋-GB2312"/>
          <w:spacing w:val="6"/>
          <w:sz w:val="31"/>
          <w:szCs w:val="31"/>
        </w:rPr>
        <w:t>全运行监测。指导平江县争取专项资金</w:t>
      </w:r>
      <w:r>
        <w:rPr>
          <w:rFonts w:hint="eastAsia" w:ascii="CESI仿宋-GB2312" w:hAnsi="CESI仿宋-GB2312" w:eastAsia="CESI仿宋-GB2312" w:cs="CESI仿宋-GB2312"/>
          <w:spacing w:val="-36"/>
          <w:sz w:val="31"/>
          <w:szCs w:val="31"/>
        </w:rPr>
        <w:t xml:space="preserve"> </w:t>
      </w:r>
      <w:r>
        <w:rPr>
          <w:rFonts w:hint="eastAsia" w:ascii="CESI仿宋-GB2312" w:hAnsi="CESI仿宋-GB2312" w:eastAsia="CESI仿宋-GB2312" w:cs="CESI仿宋-GB2312"/>
          <w:spacing w:val="6"/>
          <w:sz w:val="31"/>
          <w:szCs w:val="31"/>
        </w:rPr>
        <w:t>330</w:t>
      </w:r>
      <w:r>
        <w:rPr>
          <w:rFonts w:hint="eastAsia" w:ascii="CESI仿宋-GB2312" w:hAnsi="CESI仿宋-GB2312" w:eastAsia="CESI仿宋-GB2312" w:cs="CESI仿宋-GB2312"/>
          <w:spacing w:val="-47"/>
          <w:sz w:val="31"/>
          <w:szCs w:val="31"/>
        </w:rPr>
        <w:t xml:space="preserve"> </w:t>
      </w:r>
      <w:r>
        <w:rPr>
          <w:rFonts w:hint="eastAsia" w:ascii="CESI仿宋-GB2312" w:hAnsi="CESI仿宋-GB2312" w:eastAsia="CESI仿宋-GB2312" w:cs="CESI仿宋-GB2312"/>
          <w:spacing w:val="6"/>
          <w:sz w:val="31"/>
          <w:szCs w:val="31"/>
        </w:rPr>
        <w:t>万元，超</w:t>
      </w:r>
      <w:r>
        <w:rPr>
          <w:rFonts w:hint="eastAsia" w:ascii="CESI仿宋-GB2312" w:hAnsi="CESI仿宋-GB2312" w:eastAsia="CESI仿宋-GB2312" w:cs="CESI仿宋-GB2312"/>
          <w:spacing w:val="5"/>
          <w:sz w:val="31"/>
          <w:szCs w:val="31"/>
        </w:rPr>
        <w:t>额完成</w:t>
      </w:r>
      <w:r>
        <w:rPr>
          <w:rFonts w:hint="eastAsia" w:ascii="CESI仿宋-GB2312" w:hAnsi="CESI仿宋-GB2312" w:eastAsia="CESI仿宋-GB2312" w:cs="CESI仿宋-GB2312"/>
          <w:spacing w:val="6"/>
          <w:sz w:val="31"/>
          <w:szCs w:val="31"/>
        </w:rPr>
        <w:t>争资争项目</w:t>
      </w:r>
      <w:r>
        <w:rPr>
          <w:rFonts w:ascii="FangSong_GB2312" w:hAnsi="FangSong_GB2312" w:eastAsia="FangSong_GB2312" w:cs="FangSong_GB2312"/>
          <w:spacing w:val="17"/>
          <w:sz w:val="31"/>
          <w:szCs w:val="31"/>
        </w:rPr>
        <w:t>斩获数据创新佳绩。精心组织团队参与“数据要素</w:t>
      </w:r>
      <w:r>
        <w:rPr>
          <w:rFonts w:ascii="FangSong_GB2312" w:hAnsi="FangSong_GB2312" w:eastAsia="FangSong_GB2312" w:cs="FangSong_GB2312"/>
          <w:spacing w:val="-52"/>
          <w:sz w:val="31"/>
          <w:szCs w:val="31"/>
        </w:rPr>
        <w:t xml:space="preserve"> </w:t>
      </w:r>
      <w:r>
        <w:rPr>
          <w:rFonts w:ascii="FangSong_GB2312" w:hAnsi="FangSong_GB2312" w:eastAsia="FangSong_GB2312" w:cs="FangSong_GB2312"/>
          <w:spacing w:val="17"/>
          <w:sz w:val="31"/>
          <w:szCs w:val="31"/>
        </w:rPr>
        <w:t>X”</w:t>
      </w:r>
      <w:r>
        <w:rPr>
          <w:rFonts w:ascii="FangSong_GB2312" w:hAnsi="FangSong_GB2312" w:eastAsia="FangSong_GB2312" w:cs="FangSong_GB2312"/>
          <w:spacing w:val="9"/>
          <w:sz w:val="31"/>
          <w:szCs w:val="31"/>
        </w:rPr>
        <w:t>专业比赛，凭借高质量参赛作品荣获市级三等奖，</w:t>
      </w:r>
      <w:r>
        <w:rPr>
          <w:rFonts w:ascii="FangSong_GB2312" w:hAnsi="FangSong_GB2312" w:eastAsia="FangSong_GB2312" w:cs="FangSong_GB2312"/>
          <w:spacing w:val="8"/>
          <w:sz w:val="31"/>
          <w:szCs w:val="31"/>
        </w:rPr>
        <w:t>充分展现智慧城管创新实力与专业素养。</w:t>
      </w:r>
    </w:p>
    <w:p w14:paraId="525ED2A2">
      <w:pPr>
        <w:pStyle w:val="6"/>
        <w:keepNext w:val="0"/>
        <w:keepLines w:val="0"/>
        <w:pageBreakBefore w:val="0"/>
        <w:wordWrap/>
        <w:overflowPunct/>
        <w:topLinePunct w:val="0"/>
        <w:bidi w:val="0"/>
        <w:spacing w:line="600" w:lineRule="exact"/>
        <w:ind w:left="0" w:leftChars="0" w:firstLine="643"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auto"/>
          <w:sz w:val="32"/>
          <w:szCs w:val="32"/>
          <w:u w:val="none"/>
          <w:shd w:val="clear" w:color="auto" w:fill="FFFFFF"/>
        </w:rPr>
        <w:t>评价结论</w:t>
      </w:r>
      <w:r>
        <w:rPr>
          <w:rFonts w:hint="eastAsia" w:ascii="仿宋_GB2312" w:hAnsi="仿宋_GB2312" w:eastAsia="仿宋_GB2312" w:cs="仿宋_GB2312"/>
          <w:b/>
          <w:bCs/>
          <w:color w:val="auto"/>
          <w:sz w:val="32"/>
          <w:szCs w:val="32"/>
          <w:u w:val="none"/>
          <w:shd w:val="clear" w:color="auto" w:fill="FFFFFF"/>
          <w:lang w:eastAsia="zh-CN"/>
        </w:rPr>
        <w:t>：</w:t>
      </w:r>
    </w:p>
    <w:p w14:paraId="7AA35AD7">
      <w:pPr>
        <w:pStyle w:val="6"/>
        <w:keepNext w:val="0"/>
        <w:keepLines w:val="0"/>
        <w:pageBreakBefore w:val="0"/>
        <w:wordWrap/>
        <w:overflowPunct/>
        <w:topLinePunct w:val="0"/>
        <w:bidi w:val="0"/>
        <w:spacing w:line="600" w:lineRule="exact"/>
        <w:ind w:left="0" w:leftChars="0" w:firstLine="640" w:firstLineChars="200"/>
        <w:jc w:val="both"/>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u w:val="none"/>
          <w:shd w:val="clear" w:color="auto" w:fill="FFFFFF"/>
        </w:rPr>
        <w:t>评价小组</w:t>
      </w:r>
      <w:r>
        <w:rPr>
          <w:rFonts w:hint="eastAsia" w:ascii="仿宋_GB2312" w:hAnsi="仿宋_GB2312" w:eastAsia="仿宋_GB2312" w:cs="仿宋_GB2312"/>
          <w:color w:val="333333"/>
          <w:sz w:val="32"/>
          <w:szCs w:val="32"/>
          <w:u w:val="none"/>
          <w:shd w:val="clear" w:color="auto" w:fill="FFFFFF"/>
          <w:lang w:val="en-US" w:eastAsia="zh-CN"/>
        </w:rPr>
        <w:t>对</w:t>
      </w:r>
      <w:r>
        <w:rPr>
          <w:rFonts w:hint="eastAsia" w:ascii="仿宋_GB2312" w:hAnsi="仿宋_GB2312" w:eastAsia="仿宋_GB2312" w:cs="仿宋_GB2312"/>
          <w:color w:val="000000"/>
          <w:sz w:val="32"/>
          <w:szCs w:val="32"/>
        </w:rPr>
        <w:t>岳阳市智慧城管指挥中心</w:t>
      </w:r>
      <w:r>
        <w:rPr>
          <w:rFonts w:hint="eastAsia" w:ascii="仿宋_GB2312" w:hAnsi="仿宋_GB2312" w:eastAsia="仿宋_GB2312" w:cs="仿宋_GB2312"/>
          <w:color w:val="333333"/>
          <w:sz w:val="32"/>
          <w:szCs w:val="32"/>
          <w:shd w:val="clear" w:color="auto" w:fill="FFFFFF"/>
        </w:rPr>
        <w:t>202</w:t>
      </w:r>
      <w:r>
        <w:rPr>
          <w:rFonts w:hint="eastAsia" w:ascii="仿宋_GB2312" w:hAnsi="仿宋_GB2312" w:eastAsia="仿宋_GB2312" w:cs="仿宋_GB2312"/>
          <w:color w:val="333333"/>
          <w:sz w:val="32"/>
          <w:szCs w:val="32"/>
          <w:shd w:val="clear" w:color="auto" w:fill="FFFFFF"/>
          <w:lang w:val="en-US" w:eastAsia="zh-CN"/>
        </w:rPr>
        <w:t>5</w:t>
      </w:r>
      <w:r>
        <w:rPr>
          <w:rFonts w:hint="eastAsia" w:ascii="仿宋_GB2312" w:hAnsi="仿宋_GB2312" w:eastAsia="仿宋_GB2312" w:cs="仿宋_GB2312"/>
          <w:color w:val="333333"/>
          <w:sz w:val="32"/>
          <w:szCs w:val="32"/>
          <w:shd w:val="clear" w:color="auto" w:fill="FFFFFF"/>
        </w:rPr>
        <w:t>年</w:t>
      </w:r>
      <w:r>
        <w:rPr>
          <w:rFonts w:hint="eastAsia" w:ascii="仿宋_GB2312" w:hAnsi="仿宋_GB2312" w:eastAsia="仿宋_GB2312" w:cs="仿宋_GB2312"/>
          <w:sz w:val="32"/>
          <w:szCs w:val="32"/>
          <w:lang w:val="en-US" w:eastAsia="zh-CN"/>
        </w:rPr>
        <w:t>资金支出情况</w:t>
      </w:r>
      <w:r>
        <w:rPr>
          <w:rFonts w:hint="eastAsia" w:ascii="仿宋_GB2312" w:hAnsi="仿宋_GB2312" w:eastAsia="仿宋_GB2312" w:cs="仿宋_GB2312"/>
          <w:color w:val="333333"/>
          <w:sz w:val="32"/>
          <w:szCs w:val="32"/>
          <w:u w:val="none"/>
          <w:shd w:val="clear" w:color="auto" w:fill="FFFFFF"/>
          <w:lang w:val="en-US" w:eastAsia="zh-CN"/>
        </w:rPr>
        <w:t>进行了</w:t>
      </w:r>
      <w:r>
        <w:rPr>
          <w:rFonts w:hint="eastAsia" w:ascii="仿宋_GB2312" w:hAnsi="仿宋_GB2312" w:eastAsia="仿宋_GB2312" w:cs="仿宋_GB2312"/>
          <w:color w:val="333333"/>
          <w:sz w:val="32"/>
          <w:szCs w:val="32"/>
          <w:u w:val="none"/>
          <w:shd w:val="clear" w:color="auto" w:fill="FFFFFF"/>
        </w:rPr>
        <w:t>定量和定性分析</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333333"/>
          <w:sz w:val="32"/>
          <w:szCs w:val="32"/>
          <w:shd w:val="clear" w:color="auto" w:fill="FFFFFF"/>
          <w:lang w:val="en-US" w:eastAsia="zh-CN"/>
        </w:rPr>
        <w:t>单位整体</w:t>
      </w:r>
      <w:r>
        <w:rPr>
          <w:rFonts w:hint="eastAsia" w:ascii="仿宋_GB2312" w:hAnsi="仿宋_GB2312" w:eastAsia="仿宋_GB2312" w:cs="仿宋_GB2312"/>
          <w:color w:val="333333"/>
          <w:sz w:val="32"/>
          <w:szCs w:val="32"/>
          <w:shd w:val="clear" w:color="auto" w:fill="FFFFFF"/>
        </w:rPr>
        <w:t>绩效</w:t>
      </w:r>
      <w:r>
        <w:rPr>
          <w:rFonts w:hint="eastAsia" w:ascii="仿宋_GB2312" w:hAnsi="仿宋_GB2312" w:eastAsia="仿宋_GB2312" w:cs="仿宋_GB2312"/>
          <w:color w:val="333333"/>
          <w:sz w:val="32"/>
          <w:szCs w:val="32"/>
          <w:shd w:val="clear" w:color="auto" w:fill="FFFFFF"/>
          <w:lang w:val="en-US" w:eastAsia="zh-CN"/>
        </w:rPr>
        <w:t>评价情况如下：</w:t>
      </w:r>
      <w:r>
        <w:rPr>
          <w:rFonts w:hint="eastAsia" w:ascii="仿宋_GB2312" w:hAnsi="仿宋_GB2312" w:eastAsia="仿宋_GB2312" w:cs="仿宋_GB2312"/>
          <w:color w:val="auto"/>
          <w:sz w:val="32"/>
          <w:szCs w:val="32"/>
          <w:lang w:val="en-US" w:eastAsia="zh-CN"/>
        </w:rPr>
        <w:t>预算执行率分项总分10分，评价得分9.78分；绩效目标-产出指标分项总分50分，评价得分48.8分；效益指标分项总分30分，评价得分29分；满意度指标10分，评价得分10分，</w:t>
      </w:r>
      <w:r>
        <w:rPr>
          <w:rFonts w:hint="eastAsia" w:ascii="仿宋_GB2312" w:hAnsi="仿宋_GB2312" w:eastAsia="仿宋_GB2312" w:cs="仿宋_GB2312"/>
          <w:color w:val="auto"/>
          <w:sz w:val="32"/>
          <w:szCs w:val="32"/>
          <w:shd w:val="clear" w:color="auto" w:fill="FFFFFF"/>
        </w:rPr>
        <w:t>绩效评价最后得分为</w:t>
      </w:r>
      <w:r>
        <w:rPr>
          <w:rFonts w:hint="eastAsia" w:ascii="仿宋_GB2312" w:hAnsi="仿宋_GB2312" w:eastAsia="仿宋_GB2312" w:cs="仿宋_GB2312"/>
          <w:color w:val="auto"/>
          <w:sz w:val="32"/>
          <w:szCs w:val="32"/>
          <w:shd w:val="clear" w:color="auto" w:fill="FFFFFF"/>
          <w:lang w:val="en-US" w:eastAsia="zh-CN"/>
        </w:rPr>
        <w:t>97.8分</w:t>
      </w:r>
      <w:r>
        <w:rPr>
          <w:rFonts w:hint="eastAsia" w:ascii="仿宋_GB2312" w:hAnsi="仿宋_GB2312" w:eastAsia="仿宋_GB2312" w:cs="仿宋_GB2312"/>
          <w:color w:val="333333"/>
          <w:sz w:val="32"/>
          <w:szCs w:val="32"/>
          <w:shd w:val="clear" w:color="auto" w:fill="FFFFFF"/>
          <w:lang w:val="en-US" w:eastAsia="zh-CN"/>
        </w:rPr>
        <w:t>（具体评分明细见附件2）。</w:t>
      </w:r>
    </w:p>
    <w:p w14:paraId="60F2ECFE">
      <w:pPr>
        <w:pStyle w:val="6"/>
        <w:keepNext w:val="0"/>
        <w:keepLines w:val="0"/>
        <w:pageBreakBefore w:val="0"/>
        <w:wordWrap/>
        <w:overflowPunct/>
        <w:topLinePunct w:val="0"/>
        <w:bidi w:val="0"/>
        <w:spacing w:line="600" w:lineRule="exact"/>
        <w:ind w:left="0" w:leftChars="0"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333333"/>
          <w:sz w:val="32"/>
          <w:szCs w:val="32"/>
          <w:shd w:val="clear" w:color="auto" w:fill="FFFFFF"/>
        </w:rPr>
        <w:t>从绩效评价总体情况来看，</w:t>
      </w:r>
      <w:r>
        <w:rPr>
          <w:rFonts w:hint="eastAsia" w:ascii="仿宋_GB2312" w:hAnsi="仿宋_GB2312" w:eastAsia="仿宋_GB2312" w:cs="仿宋_GB2312"/>
          <w:color w:val="333333"/>
          <w:sz w:val="32"/>
          <w:szCs w:val="32"/>
          <w:shd w:val="clear" w:color="auto" w:fill="FFFFFF"/>
          <w:lang w:val="en-US" w:eastAsia="zh-CN"/>
        </w:rPr>
        <w:t>单位</w:t>
      </w:r>
      <w:r>
        <w:rPr>
          <w:rFonts w:hint="eastAsia" w:ascii="仿宋_GB2312" w:hAnsi="仿宋_GB2312" w:eastAsia="仿宋_GB2312" w:cs="仿宋_GB2312"/>
          <w:color w:val="333333"/>
          <w:sz w:val="32"/>
          <w:szCs w:val="32"/>
          <w:shd w:val="clear" w:color="auto" w:fill="FFFFFF"/>
          <w:lang w:eastAsia="zh-CN"/>
        </w:rPr>
        <w:t>预算</w:t>
      </w:r>
      <w:r>
        <w:rPr>
          <w:rFonts w:hint="eastAsia" w:ascii="仿宋_GB2312" w:hAnsi="仿宋_GB2312" w:eastAsia="仿宋_GB2312" w:cs="仿宋_GB2312"/>
          <w:color w:val="333333"/>
          <w:sz w:val="32"/>
          <w:szCs w:val="32"/>
          <w:shd w:val="clear" w:color="auto" w:fill="FFFFFF"/>
        </w:rPr>
        <w:t>支出规范，</w:t>
      </w:r>
      <w:r>
        <w:rPr>
          <w:rFonts w:hint="eastAsia" w:ascii="仿宋_GB2312" w:hAnsi="仿宋_GB2312" w:eastAsia="仿宋_GB2312" w:cs="仿宋_GB2312"/>
          <w:color w:val="333333"/>
          <w:sz w:val="32"/>
          <w:szCs w:val="32"/>
          <w:shd w:val="clear" w:color="auto" w:fill="FFFFFF"/>
          <w:lang w:eastAsia="zh-CN"/>
        </w:rPr>
        <w:t>预算执行率高，资金支出效益较好。</w:t>
      </w:r>
      <w:r>
        <w:rPr>
          <w:rFonts w:hint="eastAsia" w:ascii="仿宋_GB2312" w:hAnsi="仿宋_GB2312" w:eastAsia="仿宋_GB2312" w:cs="仿宋_GB2312"/>
          <w:color w:val="auto"/>
          <w:sz w:val="32"/>
          <w:szCs w:val="32"/>
          <w:shd w:val="clear" w:color="auto" w:fill="FFFFFF"/>
          <w:lang w:val="en-US" w:eastAsia="zh-CN"/>
        </w:rPr>
        <w:t>智慧城管信息平台的正常运行</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日常考核工作的正常开展，</w:t>
      </w:r>
      <w:r>
        <w:rPr>
          <w:rFonts w:hint="eastAsia" w:ascii="仿宋_GB2312" w:hAnsi="仿宋_GB2312" w:eastAsia="仿宋_GB2312" w:cs="仿宋_GB2312"/>
          <w:color w:val="auto"/>
          <w:sz w:val="32"/>
          <w:szCs w:val="32"/>
          <w:lang w:val="en-US" w:eastAsia="zh-CN"/>
        </w:rPr>
        <w:t>为城市管理各相关单位提供了耳目和抓手作用，大大提升了城市管理工作效率，对</w:t>
      </w:r>
      <w:r>
        <w:rPr>
          <w:rFonts w:hint="eastAsia" w:ascii="仿宋_GB2312" w:hAnsi="仿宋_GB2312" w:eastAsia="仿宋_GB2312" w:cs="仿宋_GB2312"/>
          <w:color w:val="auto"/>
          <w:sz w:val="32"/>
          <w:szCs w:val="32"/>
          <w:shd w:val="clear" w:color="auto" w:fill="FFFFFF"/>
          <w:lang w:val="en-US" w:eastAsia="zh-CN"/>
        </w:rPr>
        <w:t>城市管理</w:t>
      </w:r>
      <w:r>
        <w:rPr>
          <w:rFonts w:hint="eastAsia" w:ascii="仿宋_GB2312" w:hAnsi="仿宋_GB2312" w:eastAsia="仿宋_GB2312" w:cs="仿宋_GB2312"/>
          <w:color w:val="auto"/>
          <w:sz w:val="32"/>
          <w:szCs w:val="32"/>
          <w:shd w:val="clear" w:color="auto" w:fill="FFFFFF"/>
        </w:rPr>
        <w:t>事业发展</w:t>
      </w:r>
      <w:r>
        <w:rPr>
          <w:rFonts w:hint="eastAsia" w:ascii="仿宋_GB2312" w:hAnsi="仿宋_GB2312" w:eastAsia="仿宋_GB2312" w:cs="仿宋_GB2312"/>
          <w:color w:val="auto"/>
          <w:sz w:val="32"/>
          <w:szCs w:val="32"/>
          <w:shd w:val="clear" w:color="auto" w:fill="FFFFFF"/>
          <w:lang w:val="en-US" w:eastAsia="zh-CN"/>
        </w:rPr>
        <w:t>起到了积极作用。城市公共服务质量和服务水平不断提升，增加了市民的获得感和幸福感，得到了各级领导和市民的普遍赞誉</w:t>
      </w:r>
      <w:r>
        <w:rPr>
          <w:rFonts w:hint="eastAsia" w:ascii="仿宋_GB2312" w:hAnsi="仿宋_GB2312" w:eastAsia="仿宋_GB2312" w:cs="仿宋_GB2312"/>
          <w:color w:val="auto"/>
          <w:sz w:val="32"/>
          <w:szCs w:val="32"/>
          <w:shd w:val="clear" w:color="auto" w:fill="FFFFFF"/>
        </w:rPr>
        <w:t>。</w:t>
      </w:r>
    </w:p>
    <w:p w14:paraId="45CAEB8C">
      <w:pPr>
        <w:pStyle w:val="13"/>
        <w:keepNext w:val="0"/>
        <w:keepLines w:val="0"/>
        <w:pageBreakBefore w:val="0"/>
        <w:widowControl/>
        <w:numPr>
          <w:ilvl w:val="0"/>
          <w:numId w:val="0"/>
        </w:numPr>
        <w:kinsoku/>
        <w:wordWrap/>
        <w:overflowPunct/>
        <w:topLinePunct w:val="0"/>
        <w:autoSpaceDE/>
        <w:autoSpaceDN/>
        <w:bidi w:val="0"/>
        <w:adjustRightInd/>
        <w:snapToGrid/>
        <w:spacing w:line="600" w:lineRule="exact"/>
        <w:ind w:firstLine="320" w:firstLineChars="1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七、</w:t>
      </w:r>
      <w:r>
        <w:rPr>
          <w:rFonts w:hint="default" w:ascii="Times New Roman" w:hAnsi="Times New Roman" w:eastAsia="黑体" w:cs="Times New Roman"/>
          <w:sz w:val="32"/>
          <w:szCs w:val="32"/>
        </w:rPr>
        <w:t>存在的问题及原因分析</w:t>
      </w:r>
    </w:p>
    <w:p w14:paraId="0D863674">
      <w:pPr>
        <w:spacing w:before="206" w:line="331" w:lineRule="auto"/>
        <w:ind w:left="27" w:right="152" w:firstLine="631"/>
        <w:rPr>
          <w:rFonts w:ascii="FangSong_GB2312" w:hAnsi="FangSong_GB2312" w:eastAsia="FangSong_GB2312" w:cs="FangSong_GB2312"/>
          <w:sz w:val="31"/>
          <w:szCs w:val="31"/>
        </w:rPr>
      </w:pPr>
      <w:r>
        <w:rPr>
          <w:rFonts w:ascii="KaiTi_GB2312" w:hAnsi="KaiTi_GB2312" w:eastAsia="KaiTi_GB2312" w:cs="KaiTi_GB2312"/>
          <w:b/>
          <w:bCs/>
          <w:spacing w:val="7"/>
          <w:sz w:val="31"/>
          <w:szCs w:val="31"/>
        </w:rPr>
        <w:t>（一）经费保障压力凸显。</w:t>
      </w:r>
      <w:r>
        <w:rPr>
          <w:rFonts w:ascii="FangSong_GB2312" w:hAnsi="FangSong_GB2312" w:eastAsia="FangSong_GB2312" w:cs="FangSong_GB2312"/>
          <w:spacing w:val="7"/>
          <w:sz w:val="31"/>
          <w:szCs w:val="31"/>
        </w:rPr>
        <w:t>市财政实行零基预算后，信</w:t>
      </w:r>
      <w:r>
        <w:rPr>
          <w:rFonts w:ascii="FangSong_GB2312" w:hAnsi="FangSong_GB2312" w:eastAsia="FangSong_GB2312" w:cs="FangSong_GB2312"/>
          <w:spacing w:val="9"/>
          <w:sz w:val="31"/>
          <w:szCs w:val="31"/>
        </w:rPr>
        <w:t>息采集劳务外包项目经费未纳入民生保障重点范畴，</w:t>
      </w:r>
      <w:r>
        <w:rPr>
          <w:rFonts w:ascii="FangSong_GB2312" w:hAnsi="FangSong_GB2312" w:eastAsia="FangSong_GB2312" w:cs="FangSong_GB2312"/>
          <w:spacing w:val="8"/>
          <w:sz w:val="31"/>
          <w:szCs w:val="31"/>
        </w:rPr>
        <w:t>面临大</w:t>
      </w:r>
      <w:r>
        <w:rPr>
          <w:rFonts w:ascii="FangSong_GB2312" w:hAnsi="FangSong_GB2312" w:eastAsia="FangSong_GB2312" w:cs="FangSong_GB2312"/>
          <w:spacing w:val="9"/>
          <w:sz w:val="31"/>
          <w:szCs w:val="31"/>
        </w:rPr>
        <w:t>幅压减或取消风险，影响问题发现源头效能；智慧城</w:t>
      </w:r>
      <w:r>
        <w:rPr>
          <w:rFonts w:ascii="FangSong_GB2312" w:hAnsi="FangSong_GB2312" w:eastAsia="FangSong_GB2312" w:cs="FangSong_GB2312"/>
          <w:spacing w:val="8"/>
          <w:sz w:val="31"/>
          <w:szCs w:val="31"/>
        </w:rPr>
        <w:t>管平台</w:t>
      </w:r>
      <w:r>
        <w:rPr>
          <w:rFonts w:ascii="FangSong_GB2312" w:hAnsi="FangSong_GB2312" w:eastAsia="FangSong_GB2312" w:cs="FangSong_GB2312"/>
          <w:spacing w:val="10"/>
          <w:sz w:val="31"/>
          <w:szCs w:val="31"/>
        </w:rPr>
        <w:t>运行经费缩减，导致坐席员人数减少</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0"/>
          <w:sz w:val="31"/>
          <w:szCs w:val="31"/>
        </w:rPr>
        <w:t>25%，工作人员长期超</w:t>
      </w:r>
      <w:r>
        <w:rPr>
          <w:rFonts w:ascii="FangSong_GB2312" w:hAnsi="FangSong_GB2312" w:eastAsia="FangSong_GB2312" w:cs="FangSong_GB2312"/>
          <w:spacing w:val="9"/>
          <w:sz w:val="31"/>
          <w:szCs w:val="31"/>
        </w:rPr>
        <w:t>负荷工作，制约人工研判效率与队伍稳定。剖析</w:t>
      </w:r>
      <w:r>
        <w:rPr>
          <w:rFonts w:ascii="FangSong_GB2312" w:hAnsi="FangSong_GB2312" w:eastAsia="FangSong_GB2312" w:cs="FangSong_GB2312"/>
          <w:spacing w:val="8"/>
          <w:sz w:val="31"/>
          <w:szCs w:val="31"/>
        </w:rPr>
        <w:t>压力来源的</w:t>
      </w:r>
      <w:r>
        <w:rPr>
          <w:rFonts w:ascii="FangSong_GB2312" w:hAnsi="FangSong_GB2312" w:eastAsia="FangSong_GB2312" w:cs="FangSong_GB2312"/>
          <w:spacing w:val="9"/>
          <w:sz w:val="31"/>
          <w:szCs w:val="31"/>
        </w:rPr>
        <w:t>主要原因，破解经费难题的思路不够开阔，面对</w:t>
      </w:r>
      <w:r>
        <w:rPr>
          <w:rFonts w:ascii="FangSong_GB2312" w:hAnsi="FangSong_GB2312" w:eastAsia="FangSong_GB2312" w:cs="FangSong_GB2312"/>
          <w:spacing w:val="8"/>
          <w:sz w:val="31"/>
          <w:szCs w:val="31"/>
        </w:rPr>
        <w:t>财政新形势</w:t>
      </w:r>
      <w:r>
        <w:rPr>
          <w:rFonts w:ascii="FangSong_GB2312" w:hAnsi="FangSong_GB2312" w:eastAsia="FangSong_GB2312" w:cs="FangSong_GB2312"/>
          <w:spacing w:val="9"/>
          <w:sz w:val="31"/>
          <w:szCs w:val="31"/>
        </w:rPr>
        <w:t>应对不足，对中心正常运行经费底限情况预估不足，</w:t>
      </w:r>
      <w:r>
        <w:rPr>
          <w:rFonts w:ascii="FangSong_GB2312" w:hAnsi="FangSong_GB2312" w:eastAsia="FangSong_GB2312" w:cs="FangSong_GB2312"/>
          <w:spacing w:val="8"/>
          <w:sz w:val="31"/>
          <w:szCs w:val="31"/>
        </w:rPr>
        <w:t>主动向</w:t>
      </w:r>
      <w:r>
        <w:rPr>
          <w:rFonts w:ascii="FangSong_GB2312" w:hAnsi="FangSong_GB2312" w:eastAsia="FangSong_GB2312" w:cs="FangSong_GB2312"/>
          <w:spacing w:val="9"/>
          <w:sz w:val="31"/>
          <w:szCs w:val="31"/>
        </w:rPr>
        <w:t>上级汇报争取支持、对内压缩不必要开支的“开</w:t>
      </w:r>
      <w:r>
        <w:rPr>
          <w:rFonts w:ascii="FangSong_GB2312" w:hAnsi="FangSong_GB2312" w:eastAsia="FangSong_GB2312" w:cs="FangSong_GB2312"/>
          <w:spacing w:val="8"/>
          <w:sz w:val="31"/>
          <w:szCs w:val="31"/>
        </w:rPr>
        <w:t>源节流”工</w:t>
      </w:r>
      <w:r>
        <w:rPr>
          <w:rFonts w:ascii="FangSong_GB2312" w:hAnsi="FangSong_GB2312" w:eastAsia="FangSong_GB2312" w:cs="FangSong_GB2312"/>
          <w:spacing w:val="5"/>
          <w:sz w:val="31"/>
          <w:szCs w:val="31"/>
        </w:rPr>
        <w:t>作做的不足。</w:t>
      </w:r>
    </w:p>
    <w:p w14:paraId="0523A4EC">
      <w:pPr>
        <w:spacing w:before="210" w:line="314" w:lineRule="auto"/>
        <w:ind w:left="26" w:right="152" w:firstLine="632"/>
        <w:rPr>
          <w:rFonts w:ascii="FangSong_GB2312" w:hAnsi="FangSong_GB2312" w:eastAsia="FangSong_GB2312" w:cs="FangSong_GB2312"/>
          <w:sz w:val="31"/>
          <w:szCs w:val="31"/>
        </w:rPr>
      </w:pPr>
      <w:r>
        <w:rPr>
          <w:rFonts w:ascii="KaiTi_GB2312" w:hAnsi="KaiTi_GB2312" w:eastAsia="KaiTi_GB2312" w:cs="KaiTi_GB2312"/>
          <w:b/>
          <w:bCs/>
          <w:spacing w:val="7"/>
          <w:sz w:val="31"/>
          <w:szCs w:val="31"/>
        </w:rPr>
        <w:t>（二）项目建设有待完善。</w:t>
      </w:r>
      <w:r>
        <w:rPr>
          <w:rFonts w:ascii="FangSong_GB2312" w:hAnsi="FangSong_GB2312" w:eastAsia="FangSong_GB2312" w:cs="FangSong_GB2312"/>
          <w:spacing w:val="7"/>
          <w:sz w:val="31"/>
          <w:szCs w:val="31"/>
        </w:rPr>
        <w:t>对照省级建设指南及外地先</w:t>
      </w:r>
      <w:r>
        <w:rPr>
          <w:rFonts w:ascii="FangSong_GB2312" w:hAnsi="FangSong_GB2312" w:eastAsia="FangSong_GB2312" w:cs="FangSong_GB2312"/>
          <w:spacing w:val="9"/>
          <w:sz w:val="31"/>
          <w:szCs w:val="31"/>
        </w:rPr>
        <w:t>进经验，城市基础设施生命线安全工程尚未涵盖全</w:t>
      </w:r>
      <w:r>
        <w:rPr>
          <w:rFonts w:ascii="FangSong_GB2312" w:hAnsi="FangSong_GB2312" w:eastAsia="FangSong_GB2312" w:cs="FangSong_GB2312"/>
          <w:spacing w:val="8"/>
          <w:sz w:val="31"/>
          <w:szCs w:val="31"/>
        </w:rPr>
        <w:t>部软件建</w:t>
      </w:r>
      <w:r>
        <w:rPr>
          <w:rFonts w:ascii="FangSong_GB2312" w:hAnsi="FangSong_GB2312" w:eastAsia="FangSong_GB2312" w:cs="FangSong_GB2312"/>
          <w:spacing w:val="9"/>
          <w:sz w:val="31"/>
          <w:szCs w:val="31"/>
        </w:rPr>
        <w:t>设内容，难以满足全市推广需求，精细化管理与监</w:t>
      </w:r>
      <w:r>
        <w:rPr>
          <w:rFonts w:ascii="FangSong_GB2312" w:hAnsi="FangSong_GB2312" w:eastAsia="FangSong_GB2312" w:cs="FangSong_GB2312"/>
          <w:spacing w:val="8"/>
          <w:sz w:val="31"/>
          <w:szCs w:val="31"/>
        </w:rPr>
        <w:t>测预警能</w:t>
      </w:r>
      <w:r>
        <w:rPr>
          <w:rFonts w:ascii="FangSong_GB2312" w:hAnsi="FangSong_GB2312" w:eastAsia="FangSong_GB2312" w:cs="FangSong_GB2312"/>
          <w:spacing w:val="5"/>
          <w:sz w:val="31"/>
          <w:szCs w:val="31"/>
        </w:rPr>
        <w:t>力仍需提升。</w:t>
      </w:r>
    </w:p>
    <w:p w14:paraId="0F3F0CD4">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320" w:firstLineChars="1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八、</w:t>
      </w:r>
      <w:r>
        <w:rPr>
          <w:rFonts w:hint="default" w:ascii="Times New Roman" w:hAnsi="Times New Roman" w:eastAsia="黑体" w:cs="Times New Roman"/>
          <w:sz w:val="32"/>
          <w:szCs w:val="32"/>
        </w:rPr>
        <w:t>下一步改进措施</w:t>
      </w:r>
    </w:p>
    <w:p w14:paraId="21DF1759">
      <w:pPr>
        <w:spacing w:before="8" w:line="324" w:lineRule="auto"/>
        <w:ind w:left="34" w:right="167" w:firstLine="625"/>
        <w:rPr>
          <w:rFonts w:ascii="FangSong_GB2312" w:hAnsi="FangSong_GB2312" w:eastAsia="FangSong_GB2312" w:cs="FangSong_GB2312"/>
          <w:sz w:val="31"/>
          <w:szCs w:val="31"/>
        </w:rPr>
      </w:pPr>
      <w:r>
        <w:rPr>
          <w:rFonts w:hint="eastAsia" w:ascii="KaiTi_GB2312" w:hAnsi="KaiTi_GB2312" w:eastAsia="KaiTi_GB2312" w:cs="KaiTi_GB2312"/>
          <w:b w:val="0"/>
          <w:bCs w:val="0"/>
          <w:spacing w:val="6"/>
          <w:sz w:val="31"/>
          <w:szCs w:val="31"/>
          <w:lang w:val="en-US" w:eastAsia="zh-CN"/>
        </w:rPr>
        <w:t>1、</w:t>
      </w:r>
      <w:r>
        <w:rPr>
          <w:rFonts w:ascii="KaiTi_GB2312" w:hAnsi="KaiTi_GB2312" w:eastAsia="KaiTi_GB2312" w:cs="KaiTi_GB2312"/>
          <w:b w:val="0"/>
          <w:bCs w:val="0"/>
          <w:spacing w:val="6"/>
          <w:sz w:val="31"/>
          <w:szCs w:val="31"/>
        </w:rPr>
        <w:t>破解经费难题，稳定业务运行。</w:t>
      </w:r>
      <w:r>
        <w:rPr>
          <w:rFonts w:ascii="FangSong_GB2312" w:hAnsi="FangSong_GB2312" w:eastAsia="FangSong_GB2312" w:cs="FangSong_GB2312"/>
          <w:spacing w:val="6"/>
          <w:sz w:val="31"/>
          <w:szCs w:val="31"/>
        </w:rPr>
        <w:t>顺应财政管理要</w:t>
      </w:r>
      <w:r>
        <w:rPr>
          <w:rFonts w:ascii="FangSong_GB2312" w:hAnsi="FangSong_GB2312" w:eastAsia="FangSong_GB2312" w:cs="FangSong_GB2312"/>
          <w:spacing w:val="8"/>
          <w:sz w:val="31"/>
          <w:szCs w:val="31"/>
        </w:rPr>
        <w:t>求，牵头制定信息采集业务收回中心直接管理的实施方案，通过内部统筹、力量调配、流程优化，在降低经费支出的同时，保障问题发现与处置质效。积极向上级部门沟通汇报，争取政策与资金支持，缓解平台运行经费压力，改善工作人</w:t>
      </w:r>
      <w:r>
        <w:rPr>
          <w:rFonts w:ascii="FangSong_GB2312" w:hAnsi="FangSong_GB2312" w:eastAsia="FangSong_GB2312" w:cs="FangSong_GB2312"/>
          <w:spacing w:val="4"/>
          <w:sz w:val="31"/>
          <w:szCs w:val="31"/>
        </w:rPr>
        <w:t>员工作条件。</w:t>
      </w:r>
    </w:p>
    <w:p w14:paraId="2E52124C">
      <w:pPr>
        <w:spacing w:before="206" w:line="330" w:lineRule="auto"/>
        <w:ind w:left="25" w:firstLine="634"/>
        <w:rPr>
          <w:rFonts w:ascii="FangSong_GB2312" w:hAnsi="FangSong_GB2312" w:eastAsia="FangSong_GB2312" w:cs="FangSong_GB2312"/>
          <w:sz w:val="31"/>
          <w:szCs w:val="31"/>
        </w:rPr>
      </w:pPr>
      <w:r>
        <w:rPr>
          <w:rFonts w:hint="eastAsia" w:ascii="KaiTi_GB2312" w:hAnsi="KaiTi_GB2312" w:eastAsia="KaiTi_GB2312" w:cs="KaiTi_GB2312"/>
          <w:b w:val="0"/>
          <w:bCs w:val="0"/>
          <w:spacing w:val="6"/>
          <w:sz w:val="31"/>
          <w:szCs w:val="31"/>
          <w:lang w:val="en-US" w:eastAsia="zh-CN"/>
        </w:rPr>
        <w:t>2、</w:t>
      </w:r>
      <w:r>
        <w:rPr>
          <w:rFonts w:ascii="KaiTi_GB2312" w:hAnsi="KaiTi_GB2312" w:eastAsia="KaiTi_GB2312" w:cs="KaiTi_GB2312"/>
          <w:b w:val="0"/>
          <w:bCs w:val="0"/>
          <w:spacing w:val="6"/>
          <w:sz w:val="31"/>
          <w:szCs w:val="31"/>
        </w:rPr>
        <w:t>深化智慧建设，提升治理效能。</w:t>
      </w:r>
      <w:r>
        <w:rPr>
          <w:rFonts w:ascii="FangSong_GB2312" w:hAnsi="FangSong_GB2312" w:eastAsia="FangSong_GB2312" w:cs="FangSong_GB2312"/>
          <w:spacing w:val="6"/>
          <w:sz w:val="31"/>
          <w:szCs w:val="31"/>
        </w:rPr>
        <w:t>对标《湖南省城</w:t>
      </w:r>
      <w:r>
        <w:rPr>
          <w:rFonts w:ascii="FangSong_GB2312" w:hAnsi="FangSong_GB2312" w:eastAsia="FangSong_GB2312" w:cs="FangSong_GB2312"/>
          <w:spacing w:val="9"/>
          <w:sz w:val="31"/>
          <w:szCs w:val="31"/>
        </w:rPr>
        <w:t>市基础设施生命线安全工程建设指南（试行）》，重</w:t>
      </w:r>
      <w:r>
        <w:rPr>
          <w:rFonts w:ascii="FangSong_GB2312" w:hAnsi="FangSong_GB2312" w:eastAsia="FangSong_GB2312" w:cs="FangSong_GB2312"/>
          <w:spacing w:val="8"/>
          <w:sz w:val="31"/>
          <w:szCs w:val="31"/>
        </w:rPr>
        <w:t>点推进</w:t>
      </w:r>
      <w:r>
        <w:rPr>
          <w:rFonts w:ascii="FangSong_GB2312" w:hAnsi="FangSong_GB2312" w:eastAsia="FangSong_GB2312" w:cs="FangSong_GB2312"/>
          <w:spacing w:val="9"/>
          <w:sz w:val="31"/>
          <w:szCs w:val="31"/>
        </w:rPr>
        <w:t>移动领导驾驶舱、监测设备闭环管理系统等建设，实</w:t>
      </w:r>
      <w:r>
        <w:rPr>
          <w:rFonts w:ascii="FangSong_GB2312" w:hAnsi="FangSong_GB2312" w:eastAsia="FangSong_GB2312" w:cs="FangSong_GB2312"/>
          <w:spacing w:val="8"/>
          <w:sz w:val="31"/>
          <w:szCs w:val="31"/>
        </w:rPr>
        <w:t>现物联</w:t>
      </w:r>
      <w:r>
        <w:rPr>
          <w:rFonts w:ascii="FangSong_GB2312" w:hAnsi="FangSong_GB2312" w:eastAsia="FangSong_GB2312" w:cs="FangSong_GB2312"/>
          <w:spacing w:val="9"/>
          <w:sz w:val="31"/>
          <w:szCs w:val="31"/>
        </w:rPr>
        <w:t>设备、基础设施及风险数据全面覆盖与动态监管，为</w:t>
      </w:r>
      <w:r>
        <w:rPr>
          <w:rFonts w:ascii="FangSong_GB2312" w:hAnsi="FangSong_GB2312" w:eastAsia="FangSong_GB2312" w:cs="FangSong_GB2312"/>
          <w:spacing w:val="8"/>
          <w:sz w:val="31"/>
          <w:szCs w:val="31"/>
        </w:rPr>
        <w:t>全市推</w:t>
      </w:r>
      <w:r>
        <w:rPr>
          <w:rFonts w:ascii="FangSong_GB2312" w:hAnsi="FangSong_GB2312" w:eastAsia="FangSong_GB2312" w:cs="FangSong_GB2312"/>
          <w:spacing w:val="14"/>
          <w:sz w:val="31"/>
          <w:szCs w:val="31"/>
        </w:rPr>
        <w:t>广奠定基础。积极争取资金，启动智慧城管分派模块</w:t>
      </w:r>
      <w:r>
        <w:rPr>
          <w:rFonts w:ascii="FangSong_GB2312" w:hAnsi="FangSong_GB2312" w:eastAsia="FangSong_GB2312" w:cs="FangSong_GB2312"/>
          <w:spacing w:val="-55"/>
          <w:sz w:val="31"/>
          <w:szCs w:val="31"/>
        </w:rPr>
        <w:t xml:space="preserve"> </w:t>
      </w:r>
      <w:r>
        <w:rPr>
          <w:rFonts w:ascii="FangSong_GB2312" w:hAnsi="FangSong_GB2312" w:eastAsia="FangSong_GB2312" w:cs="FangSong_GB2312"/>
          <w:sz w:val="31"/>
          <w:szCs w:val="31"/>
        </w:rPr>
        <w:t>AI</w:t>
      </w:r>
      <w:r>
        <w:rPr>
          <w:rFonts w:ascii="FangSong_GB2312" w:hAnsi="FangSong_GB2312" w:eastAsia="FangSong_GB2312" w:cs="FangSong_GB2312"/>
          <w:spacing w:val="-50"/>
          <w:sz w:val="31"/>
          <w:szCs w:val="31"/>
        </w:rPr>
        <w:t xml:space="preserve"> </w:t>
      </w:r>
      <w:r>
        <w:rPr>
          <w:rFonts w:ascii="FangSong_GB2312" w:hAnsi="FangSong_GB2312" w:eastAsia="FangSong_GB2312" w:cs="FangSong_GB2312"/>
          <w:spacing w:val="14"/>
          <w:sz w:val="31"/>
          <w:szCs w:val="31"/>
        </w:rPr>
        <w:t>升级项目，建设</w:t>
      </w:r>
      <w:r>
        <w:rPr>
          <w:rFonts w:ascii="FangSong_GB2312" w:hAnsi="FangSong_GB2312" w:eastAsia="FangSong_GB2312" w:cs="FangSong_GB2312"/>
          <w:spacing w:val="-56"/>
          <w:sz w:val="31"/>
          <w:szCs w:val="31"/>
        </w:rPr>
        <w:t xml:space="preserve"> </w:t>
      </w:r>
      <w:r>
        <w:rPr>
          <w:rFonts w:ascii="FangSong_GB2312" w:hAnsi="FangSong_GB2312" w:eastAsia="FangSong_GB2312" w:cs="FangSong_GB2312"/>
          <w:sz w:val="31"/>
          <w:szCs w:val="31"/>
        </w:rPr>
        <w:t>AI</w:t>
      </w:r>
      <w:r>
        <w:rPr>
          <w:rFonts w:ascii="FangSong_GB2312" w:hAnsi="FangSong_GB2312" w:eastAsia="FangSong_GB2312" w:cs="FangSong_GB2312"/>
          <w:spacing w:val="-46"/>
          <w:sz w:val="31"/>
          <w:szCs w:val="31"/>
        </w:rPr>
        <w:t xml:space="preserve"> </w:t>
      </w:r>
      <w:r>
        <w:rPr>
          <w:rFonts w:ascii="FangSong_GB2312" w:hAnsi="FangSong_GB2312" w:eastAsia="FangSong_GB2312" w:cs="FangSong_GB2312"/>
          <w:spacing w:val="14"/>
          <w:sz w:val="31"/>
          <w:szCs w:val="31"/>
        </w:rPr>
        <w:t>派单工作平台、数据分析学习等模</w:t>
      </w:r>
      <w:r>
        <w:rPr>
          <w:rFonts w:ascii="FangSong_GB2312" w:hAnsi="FangSong_GB2312" w:eastAsia="FangSong_GB2312" w:cs="FangSong_GB2312"/>
          <w:spacing w:val="13"/>
          <w:sz w:val="31"/>
          <w:szCs w:val="31"/>
        </w:rPr>
        <w:t>块，推</w:t>
      </w:r>
      <w:r>
        <w:rPr>
          <w:rFonts w:ascii="FangSong_GB2312" w:hAnsi="FangSong_GB2312" w:eastAsia="FangSong_GB2312" w:cs="FangSong_GB2312"/>
          <w:spacing w:val="14"/>
          <w:sz w:val="31"/>
          <w:szCs w:val="31"/>
        </w:rPr>
        <w:t>动城市管理从“被动应对”</w:t>
      </w:r>
      <w:r>
        <w:rPr>
          <w:rFonts w:ascii="FangSong_GB2312" w:hAnsi="FangSong_GB2312" w:eastAsia="FangSong_GB2312" w:cs="FangSong_GB2312"/>
          <w:spacing w:val="-115"/>
          <w:sz w:val="31"/>
          <w:szCs w:val="31"/>
        </w:rPr>
        <w:t xml:space="preserve"> </w:t>
      </w:r>
      <w:r>
        <w:rPr>
          <w:rFonts w:ascii="FangSong_GB2312" w:hAnsi="FangSong_GB2312" w:eastAsia="FangSong_GB2312" w:cs="FangSong_GB2312"/>
          <w:spacing w:val="14"/>
          <w:sz w:val="31"/>
          <w:szCs w:val="31"/>
        </w:rPr>
        <w:t>向“主动感知”、“经验</w:t>
      </w:r>
      <w:r>
        <w:rPr>
          <w:rFonts w:ascii="FangSong_GB2312" w:hAnsi="FangSong_GB2312" w:eastAsia="FangSong_GB2312" w:cs="FangSong_GB2312"/>
          <w:spacing w:val="13"/>
          <w:sz w:val="31"/>
          <w:szCs w:val="31"/>
        </w:rPr>
        <w:t>决策”</w:t>
      </w:r>
      <w:r>
        <w:rPr>
          <w:rFonts w:ascii="FangSong_GB2312" w:hAnsi="FangSong_GB2312" w:eastAsia="FangSong_GB2312" w:cs="FangSong_GB2312"/>
          <w:spacing w:val="9"/>
          <w:sz w:val="31"/>
          <w:szCs w:val="31"/>
        </w:rPr>
        <w:t>向“数据研判”转型，提升派单精准度与处置效率。</w:t>
      </w:r>
    </w:p>
    <w:p w14:paraId="60A9C569">
      <w:pPr>
        <w:spacing w:before="209" w:line="325" w:lineRule="auto"/>
        <w:ind w:left="27" w:right="166" w:firstLine="631"/>
        <w:rPr>
          <w:rFonts w:ascii="FangSong_GB2312" w:hAnsi="FangSong_GB2312" w:eastAsia="FangSong_GB2312" w:cs="FangSong_GB2312"/>
          <w:sz w:val="31"/>
          <w:szCs w:val="31"/>
        </w:rPr>
      </w:pPr>
      <w:r>
        <w:rPr>
          <w:rFonts w:hint="eastAsia" w:ascii="KaiTi_GB2312" w:hAnsi="KaiTi_GB2312" w:eastAsia="KaiTi_GB2312" w:cs="KaiTi_GB2312"/>
          <w:b w:val="0"/>
          <w:bCs w:val="0"/>
          <w:spacing w:val="6"/>
          <w:sz w:val="31"/>
          <w:szCs w:val="31"/>
          <w:lang w:val="en-US" w:eastAsia="zh-CN"/>
        </w:rPr>
        <w:t>3、</w:t>
      </w:r>
      <w:r>
        <w:rPr>
          <w:rFonts w:ascii="KaiTi_GB2312" w:hAnsi="KaiTi_GB2312" w:eastAsia="KaiTi_GB2312" w:cs="KaiTi_GB2312"/>
          <w:b w:val="0"/>
          <w:bCs w:val="0"/>
          <w:spacing w:val="6"/>
          <w:sz w:val="31"/>
          <w:szCs w:val="31"/>
        </w:rPr>
        <w:t>聚焦民生需求，优化服务质量。</w:t>
      </w:r>
      <w:r>
        <w:rPr>
          <w:rFonts w:ascii="FangSong_GB2312" w:hAnsi="FangSong_GB2312" w:eastAsia="FangSong_GB2312" w:cs="FangSong_GB2312"/>
          <w:spacing w:val="6"/>
          <w:sz w:val="31"/>
          <w:szCs w:val="31"/>
        </w:rPr>
        <w:t>持续畅通“市民随手拍”“岳办岳好”</w:t>
      </w:r>
      <w:r>
        <w:rPr>
          <w:rFonts w:ascii="FangSong_GB2312" w:hAnsi="FangSong_GB2312" w:eastAsia="FangSong_GB2312" w:cs="FangSong_GB2312"/>
          <w:sz w:val="31"/>
          <w:szCs w:val="31"/>
        </w:rPr>
        <w:t>APP</w:t>
      </w:r>
      <w:r>
        <w:rPr>
          <w:rFonts w:ascii="FangSong_GB2312" w:hAnsi="FangSong_GB2312" w:eastAsia="FangSong_GB2312" w:cs="FangSong_GB2312"/>
          <w:spacing w:val="6"/>
          <w:sz w:val="31"/>
          <w:szCs w:val="31"/>
        </w:rPr>
        <w:t xml:space="preserve"> 等</w:t>
      </w:r>
      <w:r>
        <w:rPr>
          <w:rFonts w:ascii="FangSong_GB2312" w:hAnsi="FangSong_GB2312" w:eastAsia="FangSong_GB2312" w:cs="FangSong_GB2312"/>
          <w:spacing w:val="-28"/>
          <w:sz w:val="31"/>
          <w:szCs w:val="31"/>
        </w:rPr>
        <w:t xml:space="preserve"> </w:t>
      </w:r>
      <w:r>
        <w:rPr>
          <w:rFonts w:ascii="FangSong_GB2312" w:hAnsi="FangSong_GB2312" w:eastAsia="FangSong_GB2312" w:cs="FangSong_GB2312"/>
          <w:spacing w:val="6"/>
          <w:sz w:val="31"/>
          <w:szCs w:val="31"/>
        </w:rPr>
        <w:t>7</w:t>
      </w:r>
      <w:r>
        <w:rPr>
          <w:rFonts w:ascii="FangSong_GB2312" w:hAnsi="FangSong_GB2312" w:eastAsia="FangSong_GB2312" w:cs="FangSong_GB2312"/>
          <w:spacing w:val="-48"/>
          <w:sz w:val="31"/>
          <w:szCs w:val="31"/>
        </w:rPr>
        <w:t xml:space="preserve"> </w:t>
      </w:r>
      <w:r>
        <w:rPr>
          <w:rFonts w:ascii="FangSong_GB2312" w:hAnsi="FangSong_GB2312" w:eastAsia="FangSong_GB2312" w:cs="FangSong_GB2312"/>
          <w:spacing w:val="6"/>
          <w:sz w:val="31"/>
          <w:szCs w:val="31"/>
        </w:rPr>
        <w:t>大问题发现渠道，紧盯群众</w:t>
      </w:r>
      <w:r>
        <w:rPr>
          <w:rFonts w:ascii="FangSong_GB2312" w:hAnsi="FangSong_GB2312" w:eastAsia="FangSong_GB2312" w:cs="FangSong_GB2312"/>
          <w:spacing w:val="9"/>
          <w:sz w:val="31"/>
          <w:szCs w:val="31"/>
        </w:rPr>
        <w:t>反映强烈的市容秩序、环境卫生等突出问题，加大督</w:t>
      </w:r>
      <w:r>
        <w:rPr>
          <w:rFonts w:ascii="FangSong_GB2312" w:hAnsi="FangSong_GB2312" w:eastAsia="FangSong_GB2312" w:cs="FangSong_GB2312"/>
          <w:spacing w:val="8"/>
          <w:sz w:val="31"/>
          <w:szCs w:val="31"/>
        </w:rPr>
        <w:t>办整改</w:t>
      </w:r>
      <w:r>
        <w:rPr>
          <w:rFonts w:ascii="FangSong_GB2312" w:hAnsi="FangSong_GB2312" w:eastAsia="FangSong_GB2312" w:cs="FangSong_GB2312"/>
          <w:spacing w:val="6"/>
          <w:sz w:val="31"/>
          <w:szCs w:val="31"/>
        </w:rPr>
        <w:t>力度。深化</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6"/>
          <w:sz w:val="31"/>
          <w:szCs w:val="31"/>
        </w:rPr>
        <w:t>12345</w:t>
      </w:r>
      <w:r>
        <w:rPr>
          <w:rFonts w:ascii="FangSong_GB2312" w:hAnsi="FangSong_GB2312" w:eastAsia="FangSong_GB2312" w:cs="FangSong_GB2312"/>
          <w:spacing w:val="-48"/>
          <w:sz w:val="31"/>
          <w:szCs w:val="31"/>
        </w:rPr>
        <w:t xml:space="preserve"> </w:t>
      </w:r>
      <w:r>
        <w:rPr>
          <w:rFonts w:ascii="FangSong_GB2312" w:hAnsi="FangSong_GB2312" w:eastAsia="FangSong_GB2312" w:cs="FangSong_GB2312"/>
          <w:spacing w:val="6"/>
          <w:sz w:val="31"/>
          <w:szCs w:val="31"/>
        </w:rPr>
        <w:t>热线办理提质，完善“接诉即办、</w:t>
      </w:r>
      <w:r>
        <w:rPr>
          <w:rFonts w:ascii="FangSong_GB2312" w:hAnsi="FangSong_GB2312" w:eastAsia="FangSong_GB2312" w:cs="FangSong_GB2312"/>
          <w:spacing w:val="5"/>
          <w:sz w:val="31"/>
          <w:szCs w:val="31"/>
        </w:rPr>
        <w:t>闭环管</w:t>
      </w:r>
      <w:r>
        <w:rPr>
          <w:rFonts w:ascii="FangSong_GB2312" w:hAnsi="FangSong_GB2312" w:eastAsia="FangSong_GB2312" w:cs="FangSong_GB2312"/>
          <w:spacing w:val="9"/>
          <w:sz w:val="31"/>
          <w:szCs w:val="31"/>
        </w:rPr>
        <w:t>理”机制，提升群众满意度，为岳阳创建全国文</w:t>
      </w:r>
      <w:r>
        <w:rPr>
          <w:rFonts w:ascii="FangSong_GB2312" w:hAnsi="FangSong_GB2312" w:eastAsia="FangSong_GB2312" w:cs="FangSong_GB2312"/>
          <w:spacing w:val="8"/>
          <w:sz w:val="31"/>
          <w:szCs w:val="31"/>
        </w:rPr>
        <w:t>明城市、国</w:t>
      </w:r>
      <w:r>
        <w:rPr>
          <w:rFonts w:ascii="FangSong_GB2312" w:hAnsi="FangSong_GB2312" w:eastAsia="FangSong_GB2312" w:cs="FangSong_GB2312"/>
          <w:spacing w:val="7"/>
          <w:sz w:val="31"/>
          <w:szCs w:val="31"/>
        </w:rPr>
        <w:t>家卫生城市提供坚实保障。</w:t>
      </w:r>
    </w:p>
    <w:p w14:paraId="61B26F02">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九、</w:t>
      </w:r>
      <w:r>
        <w:rPr>
          <w:rFonts w:hint="default" w:ascii="Times New Roman" w:hAnsi="Times New Roman" w:eastAsia="黑体" w:cs="Times New Roman"/>
          <w:sz w:val="32"/>
          <w:szCs w:val="32"/>
        </w:rPr>
        <w:t>部门整体支出绩效自评结果拟应用和公开情况</w:t>
      </w:r>
      <w:r>
        <w:rPr>
          <w:rFonts w:hint="eastAsia" w:ascii="Times New Roman" w:hAnsi="Times New Roman" w:eastAsia="黑体" w:cs="Times New Roman"/>
          <w:sz w:val="32"/>
          <w:szCs w:val="32"/>
          <w:lang w:eastAsia="zh-CN"/>
        </w:rPr>
        <w:t>，以及</w:t>
      </w:r>
      <w:r>
        <w:rPr>
          <w:rFonts w:hint="default" w:ascii="Times New Roman" w:hAnsi="Times New Roman" w:eastAsia="黑体" w:cs="Times New Roman"/>
          <w:sz w:val="32"/>
          <w:szCs w:val="32"/>
        </w:rPr>
        <w:t>其他需要说明的情况</w:t>
      </w:r>
      <w:r>
        <w:rPr>
          <w:rFonts w:hint="eastAsia" w:ascii="Times New Roman" w:hAnsi="Times New Roman" w:eastAsia="黑体" w:cs="Times New Roman"/>
          <w:sz w:val="32"/>
          <w:szCs w:val="32"/>
          <w:lang w:eastAsia="zh-CN"/>
        </w:rPr>
        <w:t>。</w:t>
      </w:r>
    </w:p>
    <w:p w14:paraId="449B6BA6">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b w:val="0"/>
          <w:bCs w:val="0"/>
          <w:sz w:val="32"/>
          <w:szCs w:val="32"/>
        </w:rPr>
        <w:t>部门整体支出绩效自评结果</w:t>
      </w:r>
      <w:r>
        <w:rPr>
          <w:rFonts w:hint="eastAsia" w:ascii="仿宋_GB2312" w:hAnsi="仿宋_GB2312" w:eastAsia="仿宋_GB2312" w:cs="仿宋_GB2312"/>
          <w:b w:val="0"/>
          <w:bCs w:val="0"/>
          <w:sz w:val="32"/>
          <w:szCs w:val="32"/>
          <w:lang w:val="en-US" w:eastAsia="zh-CN"/>
        </w:rPr>
        <w:t>将作为完善本单位相关制度，改进资金管理的重要依据，同时也将作为单位内部工作总结的参考依据。我单位的预算绩效目标、预算、决算及绩效评价均按相关规定及时在市城管局门户网站进行了公开，</w:t>
      </w:r>
      <w:r>
        <w:rPr>
          <w:rFonts w:hint="eastAsia" w:ascii="仿宋_GB2312" w:hAnsi="仿宋_GB2312" w:eastAsia="仿宋_GB2312" w:cs="仿宋_GB2312"/>
          <w:kern w:val="0"/>
          <w:sz w:val="32"/>
          <w:szCs w:val="32"/>
        </w:rPr>
        <w:t>公开信息基础数据信息和会计信息资料准确、真实、完整。</w:t>
      </w:r>
    </w:p>
    <w:p w14:paraId="1A010960">
      <w:pPr>
        <w:pStyle w:val="6"/>
        <w:keepNext w:val="0"/>
        <w:keepLines w:val="0"/>
        <w:pageBreakBefore w:val="0"/>
        <w:wordWrap/>
        <w:overflowPunct/>
        <w:topLinePunct w:val="0"/>
        <w:bidi w:val="0"/>
        <w:spacing w:line="600" w:lineRule="exact"/>
        <w:ind w:left="0" w:leftChars="0" w:firstLine="0" w:firstLineChars="0"/>
        <w:rPr>
          <w:rFonts w:hint="default"/>
          <w:sz w:val="32"/>
          <w:szCs w:val="32"/>
        </w:rPr>
      </w:pPr>
    </w:p>
    <w:p w14:paraId="1ADAFD91">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部门整体支出绩效评价基础数据表</w:t>
      </w:r>
    </w:p>
    <w:p w14:paraId="356A195C">
      <w:pPr>
        <w:keepNext w:val="0"/>
        <w:keepLines w:val="0"/>
        <w:pageBreakBefore w:val="0"/>
        <w:widowControl/>
        <w:kinsoku/>
        <w:wordWrap/>
        <w:overflowPunct/>
        <w:topLinePunct w:val="0"/>
        <w:autoSpaceDE/>
        <w:autoSpaceDN/>
        <w:bidi w:val="0"/>
        <w:adjustRightInd/>
        <w:snapToGrid/>
        <w:spacing w:line="600" w:lineRule="exact"/>
        <w:ind w:firstLine="960" w:firstLine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部门整体支出绩效自评表</w:t>
      </w:r>
    </w:p>
    <w:p w14:paraId="7D45A9C7">
      <w:pPr>
        <w:pStyle w:val="6"/>
        <w:rPr>
          <w:rFonts w:hint="eastAsia" w:ascii="仿宋_GB2312" w:hAnsi="仿宋_GB2312" w:eastAsia="仿宋_GB2312" w:cs="仿宋_GB2312"/>
          <w:sz w:val="32"/>
          <w:szCs w:val="32"/>
        </w:rPr>
      </w:pPr>
    </w:p>
    <w:p w14:paraId="7C4D898B">
      <w:pPr>
        <w:rPr>
          <w:rFonts w:hint="eastAsia"/>
        </w:rPr>
      </w:pPr>
    </w:p>
    <w:p w14:paraId="512F7F82">
      <w:pP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sz w:val="32"/>
          <w:szCs w:val="32"/>
        </w:rPr>
        <w:t>岳阳市智慧城管指挥中心</w:t>
      </w:r>
    </w:p>
    <w:p w14:paraId="3A3343CC">
      <w:pPr>
        <w:pStyle w:val="4"/>
        <w:rPr>
          <w:rFonts w:hint="default" w:eastAsia="仿宋_GB2312"/>
          <w:lang w:val="en-US" w:eastAsia="zh-CN"/>
        </w:rPr>
      </w:pPr>
      <w:r>
        <w:rPr>
          <w:rFonts w:hint="eastAsia" w:ascii="仿宋_GB2312" w:hAnsi="仿宋_GB2312" w:eastAsia="仿宋_GB2312" w:cs="仿宋_GB2312"/>
          <w:color w:val="000000"/>
          <w:sz w:val="32"/>
          <w:szCs w:val="32"/>
          <w:lang w:val="en-US" w:eastAsia="zh-CN"/>
        </w:rPr>
        <w:t xml:space="preserve">                                 2025年6月23日</w:t>
      </w:r>
    </w:p>
    <w:p w14:paraId="0D97DA36">
      <w:pPr>
        <w:pStyle w:val="4"/>
        <w:rPr>
          <w:rFonts w:hint="eastAsia" w:ascii="仿宋_GB2312" w:hAnsi="仿宋_GB2312" w:eastAsia="仿宋_GB2312" w:cs="仿宋_GB2312"/>
          <w:sz w:val="32"/>
          <w:szCs w:val="32"/>
        </w:rPr>
      </w:pPr>
    </w:p>
    <w:p w14:paraId="6ED3A309">
      <w:pPr>
        <w:pStyle w:val="6"/>
        <w:rPr>
          <w:rFonts w:hint="eastAsia" w:ascii="仿宋_GB2312" w:hAnsi="仿宋_GB2312" w:eastAsia="仿宋_GB2312" w:cs="仿宋_GB2312"/>
          <w:sz w:val="32"/>
          <w:szCs w:val="32"/>
        </w:rPr>
      </w:pPr>
    </w:p>
    <w:p w14:paraId="1342ADDE">
      <w:pPr>
        <w:keepNext w:val="0"/>
        <w:keepLines w:val="0"/>
        <w:pageBreakBefore w:val="0"/>
        <w:widowControl w:val="0"/>
        <w:kinsoku/>
        <w:wordWrap/>
        <w:overflowPunct/>
        <w:topLinePunct w:val="0"/>
        <w:autoSpaceDE/>
        <w:autoSpaceDN/>
        <w:bidi w:val="0"/>
        <w:adjustRightInd/>
        <w:snapToGrid/>
        <w:spacing w:afterLines="0" w:line="600" w:lineRule="exact"/>
        <w:jc w:val="both"/>
        <w:textAlignment w:val="auto"/>
        <w:rPr>
          <w:rFonts w:hint="eastAsia" w:ascii="黑体" w:hAnsi="黑体" w:eastAsia="黑体" w:cs="黑体"/>
          <w:sz w:val="32"/>
          <w:szCs w:val="32"/>
          <w:highlight w:val="none"/>
          <w:lang w:eastAsia="zh-CN"/>
        </w:rPr>
      </w:pPr>
    </w:p>
    <w:p w14:paraId="4D58CAAD">
      <w:pPr>
        <w:keepNext w:val="0"/>
        <w:keepLines w:val="0"/>
        <w:pageBreakBefore w:val="0"/>
        <w:widowControl w:val="0"/>
        <w:kinsoku/>
        <w:wordWrap/>
        <w:overflowPunct/>
        <w:topLinePunct w:val="0"/>
        <w:autoSpaceDE/>
        <w:autoSpaceDN/>
        <w:bidi w:val="0"/>
        <w:adjustRightInd/>
        <w:snapToGrid/>
        <w:spacing w:afterLines="0" w:line="600" w:lineRule="exact"/>
        <w:jc w:val="both"/>
        <w:textAlignment w:val="auto"/>
        <w:rPr>
          <w:rFonts w:hint="eastAsia" w:ascii="黑体" w:hAnsi="黑体" w:eastAsia="黑体" w:cs="黑体"/>
          <w:sz w:val="32"/>
          <w:szCs w:val="32"/>
          <w:highlight w:val="none"/>
          <w:lang w:eastAsia="zh-CN"/>
        </w:rPr>
      </w:pPr>
    </w:p>
    <w:p w14:paraId="0097249D">
      <w:pPr>
        <w:keepNext w:val="0"/>
        <w:keepLines w:val="0"/>
        <w:pageBreakBefore w:val="0"/>
        <w:widowControl w:val="0"/>
        <w:kinsoku/>
        <w:wordWrap/>
        <w:overflowPunct/>
        <w:topLinePunct w:val="0"/>
        <w:autoSpaceDE/>
        <w:autoSpaceDN/>
        <w:bidi w:val="0"/>
        <w:adjustRightInd/>
        <w:snapToGrid/>
        <w:spacing w:afterLines="0" w:line="600" w:lineRule="exact"/>
        <w:jc w:val="both"/>
        <w:textAlignment w:val="auto"/>
        <w:rPr>
          <w:rFonts w:hint="eastAsia" w:ascii="黑体" w:hAnsi="黑体" w:eastAsia="黑体" w:cs="黑体"/>
          <w:sz w:val="32"/>
          <w:szCs w:val="32"/>
          <w:highlight w:val="none"/>
          <w:lang w:eastAsia="zh-CN"/>
        </w:rPr>
      </w:pPr>
    </w:p>
    <w:p w14:paraId="66EC0A0E">
      <w:pPr>
        <w:pStyle w:val="4"/>
        <w:rPr>
          <w:rFonts w:hint="eastAsia"/>
          <w:lang w:eastAsia="zh-CN"/>
        </w:rPr>
      </w:pPr>
    </w:p>
    <w:p w14:paraId="6DA15C78">
      <w:pPr>
        <w:keepNext w:val="0"/>
        <w:keepLines w:val="0"/>
        <w:pageBreakBefore w:val="0"/>
        <w:widowControl w:val="0"/>
        <w:kinsoku/>
        <w:wordWrap/>
        <w:overflowPunct/>
        <w:topLinePunct w:val="0"/>
        <w:autoSpaceDE/>
        <w:autoSpaceDN/>
        <w:bidi w:val="0"/>
        <w:adjustRightInd/>
        <w:snapToGrid/>
        <w:spacing w:afterLines="0" w:line="360" w:lineRule="auto"/>
        <w:jc w:val="both"/>
        <w:textAlignment w:val="auto"/>
        <w:rPr>
          <w:rFonts w:hint="eastAsia" w:ascii="黑体" w:hAnsi="黑体" w:eastAsia="黑体" w:cs="黑体"/>
          <w:sz w:val="32"/>
          <w:szCs w:val="32"/>
          <w:highlight w:val="none"/>
          <w:lang w:eastAsia="zh-CN"/>
        </w:rPr>
      </w:pPr>
    </w:p>
    <w:p w14:paraId="23E461EF">
      <w:pPr>
        <w:keepNext w:val="0"/>
        <w:keepLines w:val="0"/>
        <w:pageBreakBefore w:val="0"/>
        <w:widowControl w:val="0"/>
        <w:kinsoku/>
        <w:wordWrap/>
        <w:overflowPunct/>
        <w:topLinePunct w:val="0"/>
        <w:autoSpaceDE/>
        <w:autoSpaceDN/>
        <w:bidi w:val="0"/>
        <w:adjustRightInd/>
        <w:snapToGrid/>
        <w:spacing w:afterLines="0" w:line="360" w:lineRule="auto"/>
        <w:jc w:val="both"/>
        <w:textAlignment w:val="auto"/>
        <w:rPr>
          <w:rFonts w:hint="eastAsia" w:ascii="黑体" w:hAnsi="黑体" w:eastAsia="黑体" w:cs="黑体"/>
          <w:sz w:val="32"/>
          <w:szCs w:val="32"/>
          <w:highlight w:val="none"/>
          <w:lang w:eastAsia="zh-CN"/>
        </w:rPr>
      </w:pPr>
    </w:p>
    <w:p w14:paraId="047E29BE">
      <w:pPr>
        <w:keepNext w:val="0"/>
        <w:keepLines w:val="0"/>
        <w:pageBreakBefore w:val="0"/>
        <w:widowControl w:val="0"/>
        <w:kinsoku/>
        <w:wordWrap/>
        <w:overflowPunct/>
        <w:topLinePunct w:val="0"/>
        <w:autoSpaceDE/>
        <w:autoSpaceDN/>
        <w:bidi w:val="0"/>
        <w:adjustRightInd/>
        <w:snapToGrid/>
        <w:spacing w:afterLines="0" w:line="360" w:lineRule="auto"/>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7490FF59">
      <w:pPr>
        <w:spacing w:after="120" w:afterLines="50" w:line="600" w:lineRule="exact"/>
        <w:jc w:val="center"/>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p w14:paraId="0C4C72C3">
      <w:pPr>
        <w:pStyle w:val="4"/>
        <w:rPr>
          <w:rFonts w:hint="eastAsia"/>
        </w:rPr>
      </w:pPr>
    </w:p>
    <w:tbl>
      <w:tblPr>
        <w:tblStyle w:val="10"/>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14:paraId="43AFCFD4">
        <w:tblPrEx>
          <w:tblCellMar>
            <w:top w:w="0" w:type="dxa"/>
            <w:left w:w="108" w:type="dxa"/>
            <w:bottom w:w="0" w:type="dxa"/>
            <w:right w:w="108" w:type="dxa"/>
          </w:tblCellMar>
        </w:tblPrEx>
        <w:trPr>
          <w:trHeight w:val="499"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6AFAED5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6E5795D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6349210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18AC298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3C73A951">
        <w:tblPrEx>
          <w:tblCellMar>
            <w:top w:w="0" w:type="dxa"/>
            <w:left w:w="108" w:type="dxa"/>
            <w:bottom w:w="0" w:type="dxa"/>
            <w:right w:w="108" w:type="dxa"/>
          </w:tblCellMar>
        </w:tblPrEx>
        <w:trPr>
          <w:trHeight w:val="526"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5D5B269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273553C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default" w:ascii="仿宋_GB2312" w:hAnsi="仿宋_GB2312" w:eastAsia="仿宋_GB2312" w:cs="仿宋_GB2312"/>
                <w:sz w:val="20"/>
                <w:szCs w:val="20"/>
                <w:highlight w:val="none"/>
                <w:lang w:val="en"/>
              </w:rPr>
              <w:t>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　</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757B3B5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default" w:ascii="仿宋_GB2312" w:hAnsi="仿宋_GB2312" w:eastAsia="仿宋_GB2312" w:cs="仿宋_GB2312"/>
                <w:sz w:val="20"/>
                <w:szCs w:val="20"/>
                <w:highlight w:val="none"/>
                <w:lang w:val="en"/>
              </w:rPr>
              <w:t>2</w:t>
            </w:r>
            <w:r>
              <w:rPr>
                <w:rFonts w:hint="eastAsia" w:ascii="仿宋_GB2312" w:hAnsi="仿宋_GB2312" w:eastAsia="仿宋_GB2312" w:cs="仿宋_GB2312"/>
                <w:sz w:val="20"/>
                <w:szCs w:val="20"/>
                <w:highlight w:val="none"/>
                <w:lang w:val="en-US" w:eastAsia="zh-CN"/>
              </w:rPr>
              <w:t>3</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605D37C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92</w:t>
            </w:r>
            <w:r>
              <w:rPr>
                <w:rFonts w:hint="default" w:ascii="仿宋_GB2312" w:hAnsi="仿宋_GB2312" w:eastAsia="仿宋_GB2312" w:cs="仿宋_GB2312"/>
                <w:sz w:val="20"/>
                <w:szCs w:val="20"/>
                <w:highlight w:val="none"/>
                <w:lang w:val="en"/>
              </w:rPr>
              <w:t>%</w:t>
            </w:r>
          </w:p>
        </w:tc>
      </w:tr>
      <w:tr w14:paraId="51F876D8">
        <w:tblPrEx>
          <w:tblCellMar>
            <w:top w:w="0" w:type="dxa"/>
            <w:left w:w="108" w:type="dxa"/>
            <w:bottom w:w="0" w:type="dxa"/>
            <w:right w:w="108" w:type="dxa"/>
          </w:tblCellMar>
        </w:tblPrEx>
        <w:trPr>
          <w:trHeight w:val="643"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0F64CA3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0E09E20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0F659F0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0EEB36B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17A98556">
        <w:tblPrEx>
          <w:tblCellMar>
            <w:top w:w="0" w:type="dxa"/>
            <w:left w:w="108" w:type="dxa"/>
            <w:bottom w:w="0" w:type="dxa"/>
            <w:right w:w="108" w:type="dxa"/>
          </w:tblCellMar>
        </w:tblPrEx>
        <w:trPr>
          <w:trHeight w:val="48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66B29B0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6BB7880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1FB3329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17FDF5D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r>
      <w:tr w14:paraId="1A498E1C">
        <w:tblPrEx>
          <w:tblCellMar>
            <w:top w:w="0" w:type="dxa"/>
            <w:left w:w="108" w:type="dxa"/>
            <w:bottom w:w="0" w:type="dxa"/>
            <w:right w:w="108" w:type="dxa"/>
          </w:tblCellMar>
        </w:tblPrEx>
        <w:trPr>
          <w:trHeight w:val="52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190A1D7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6502CDA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06F0E36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40F42F1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r>
      <w:tr w14:paraId="7A8CABAC">
        <w:tblPrEx>
          <w:tblCellMar>
            <w:top w:w="0" w:type="dxa"/>
            <w:left w:w="108" w:type="dxa"/>
            <w:bottom w:w="0" w:type="dxa"/>
            <w:right w:w="108" w:type="dxa"/>
          </w:tblCellMar>
        </w:tblPrEx>
        <w:trPr>
          <w:trHeight w:val="445"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6ED165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30EC436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26C3C1D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0CF6B83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r>
      <w:tr w14:paraId="765623C0">
        <w:tblPrEx>
          <w:tblCellMar>
            <w:top w:w="0" w:type="dxa"/>
            <w:left w:w="108" w:type="dxa"/>
            <w:bottom w:w="0" w:type="dxa"/>
            <w:right w:w="108" w:type="dxa"/>
          </w:tblCellMar>
        </w:tblPrEx>
        <w:trPr>
          <w:trHeight w:val="418"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363C13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6316E22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7C11EFD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6D24C46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1AEC5BBA">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3C4FC01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0850B67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17BB8C7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7729CF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7FFEA4AF">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3B7F132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3A07E3B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0E87510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7B8B3C1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6BC6E7CB">
        <w:tblPrEx>
          <w:tblCellMar>
            <w:top w:w="0" w:type="dxa"/>
            <w:left w:w="108" w:type="dxa"/>
            <w:bottom w:w="0" w:type="dxa"/>
            <w:right w:w="108" w:type="dxa"/>
          </w:tblCellMar>
        </w:tblPrEx>
        <w:trPr>
          <w:trHeight w:val="495"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26C8F2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691391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764.65</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4E877C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562.86</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7C0242B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558.31</w:t>
            </w:r>
          </w:p>
        </w:tc>
      </w:tr>
      <w:tr w14:paraId="0E3F5EA1">
        <w:tblPrEx>
          <w:tblCellMar>
            <w:top w:w="0" w:type="dxa"/>
            <w:left w:w="108" w:type="dxa"/>
            <w:bottom w:w="0" w:type="dxa"/>
            <w:right w:w="108" w:type="dxa"/>
          </w:tblCellMar>
        </w:tblPrEx>
        <w:trPr>
          <w:trHeight w:val="499"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566CD4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1、业务工作经费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3521484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78FCDBB5">
            <w:pPr>
              <w:keepNext w:val="0"/>
              <w:keepLines w:val="0"/>
              <w:pageBreakBefore w:val="0"/>
              <w:widowControl/>
              <w:kinsoku/>
              <w:wordWrap/>
              <w:overflowPunct/>
              <w:topLinePunct w:val="0"/>
              <w:autoSpaceDE/>
              <w:autoSpaceDN/>
              <w:bidi w:val="0"/>
              <w:adjustRightInd/>
              <w:snapToGrid/>
              <w:spacing w:line="400" w:lineRule="exact"/>
              <w:ind w:firstLine="1000" w:firstLineChars="500"/>
              <w:jc w:val="both"/>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24C5A57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0</w:t>
            </w:r>
          </w:p>
        </w:tc>
      </w:tr>
      <w:tr w14:paraId="169E69B6">
        <w:tblPrEx>
          <w:tblCellMar>
            <w:top w:w="0" w:type="dxa"/>
            <w:left w:w="108" w:type="dxa"/>
            <w:bottom w:w="0" w:type="dxa"/>
            <w:right w:w="108" w:type="dxa"/>
          </w:tblCellMar>
        </w:tblPrEx>
        <w:trPr>
          <w:trHeight w:val="51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044FCF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2、运行维护经费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5D2A19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431DCD0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556AF76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0</w:t>
            </w:r>
          </w:p>
        </w:tc>
      </w:tr>
      <w:tr w14:paraId="3E5AD5AC">
        <w:tblPrEx>
          <w:tblCellMar>
            <w:top w:w="0" w:type="dxa"/>
            <w:left w:w="108" w:type="dxa"/>
            <w:bottom w:w="0" w:type="dxa"/>
            <w:right w:w="108" w:type="dxa"/>
          </w:tblCellMar>
        </w:tblPrEx>
        <w:trPr>
          <w:trHeight w:val="513"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32F54C0A">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3、</w:t>
            </w:r>
            <w:r>
              <w:rPr>
                <w:rFonts w:hint="eastAsia" w:ascii="仿宋_GB2312" w:hAnsi="仿宋_GB2312" w:eastAsia="仿宋_GB2312" w:cs="仿宋_GB2312"/>
                <w:sz w:val="20"/>
                <w:szCs w:val="20"/>
                <w:highlight w:val="none"/>
                <w:lang w:eastAsia="zh-CN"/>
              </w:rPr>
              <w:t>市级</w:t>
            </w:r>
            <w:r>
              <w:rPr>
                <w:rFonts w:hint="eastAsia" w:ascii="仿宋_GB2312" w:hAnsi="仿宋_GB2312" w:eastAsia="仿宋_GB2312" w:cs="仿宋_GB2312"/>
                <w:sz w:val="20"/>
                <w:szCs w:val="20"/>
                <w:highlight w:val="none"/>
              </w:rPr>
              <w:t>专项资金</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2184A05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764.65</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123AFA5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562.86</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7E3C177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558.31</w:t>
            </w:r>
          </w:p>
        </w:tc>
      </w:tr>
      <w:tr w14:paraId="606E6EE7">
        <w:tblPrEx>
          <w:tblCellMar>
            <w:top w:w="0" w:type="dxa"/>
            <w:left w:w="108" w:type="dxa"/>
            <w:bottom w:w="0" w:type="dxa"/>
            <w:right w:w="108" w:type="dxa"/>
          </w:tblCellMar>
        </w:tblPrEx>
        <w:trPr>
          <w:trHeight w:val="458" w:hRule="atLeast"/>
          <w:jc w:val="center"/>
        </w:trPr>
        <w:tc>
          <w:tcPr>
            <w:tcW w:w="33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0E65B1">
            <w:pPr>
              <w:keepNext w:val="0"/>
              <w:keepLines w:val="0"/>
              <w:pageBreakBefore w:val="0"/>
              <w:widowControl/>
              <w:kinsoku/>
              <w:wordWrap/>
              <w:overflowPunct/>
              <w:topLinePunct w:val="0"/>
              <w:autoSpaceDE/>
              <w:autoSpaceDN/>
              <w:bidi w:val="0"/>
              <w:adjustRightInd/>
              <w:snapToGrid/>
              <w:spacing w:line="320" w:lineRule="exact"/>
              <w:ind w:firstLine="200" w:firstLineChars="100"/>
              <w:jc w:val="left"/>
              <w:textAlignment w:val="auto"/>
              <w:rPr>
                <w:rFonts w:hint="eastAsia" w:ascii="仿宋_GB2312" w:hAnsi="仿宋_GB2312" w:eastAsia="仿宋_GB2312" w:cs="仿宋_GB2312"/>
                <w:kern w:val="0"/>
                <w:sz w:val="20"/>
                <w:szCs w:val="20"/>
                <w:lang w:val="en-US" w:eastAsia="zh-CN" w:bidi="ar-SA"/>
              </w:rPr>
            </w:pPr>
            <w:r>
              <w:rPr>
                <w:rFonts w:hint="default" w:ascii="仿宋_GB2312" w:hAnsi="仿宋_GB2312" w:eastAsia="仿宋_GB2312" w:cs="仿宋_GB2312"/>
                <w:sz w:val="20"/>
                <w:szCs w:val="20"/>
                <w:lang w:val="en" w:eastAsia="zh-CN"/>
              </w:rPr>
              <w:t xml:space="preserve">  (</w:t>
            </w:r>
            <w:r>
              <w:rPr>
                <w:rFonts w:hint="default" w:ascii="仿宋_GB2312" w:hAnsi="仿宋_GB2312" w:eastAsia="仿宋_GB2312" w:cs="仿宋_GB2312"/>
                <w:sz w:val="20"/>
                <w:szCs w:val="20"/>
                <w:lang w:val="en-US" w:eastAsia="zh-CN"/>
              </w:rPr>
              <w:t>1</w:t>
            </w:r>
            <w:r>
              <w:rPr>
                <w:rFonts w:hint="default" w:ascii="仿宋_GB2312" w:hAnsi="仿宋_GB2312" w:eastAsia="仿宋_GB2312" w:cs="仿宋_GB2312"/>
                <w:sz w:val="20"/>
                <w:szCs w:val="20"/>
                <w:lang w:val="en" w:eastAsia="zh-CN"/>
              </w:rPr>
              <w:t>)</w:t>
            </w:r>
            <w:r>
              <w:rPr>
                <w:rFonts w:hint="eastAsia" w:ascii="仿宋_GB2312" w:hAnsi="仿宋_GB2312" w:eastAsia="仿宋_GB2312" w:cs="仿宋_GB2312"/>
                <w:sz w:val="20"/>
                <w:szCs w:val="20"/>
              </w:rPr>
              <w:t>城市事件和部件采集服务</w:t>
            </w:r>
            <w:r>
              <w:rPr>
                <w:rFonts w:hint="eastAsia" w:ascii="仿宋_GB2312" w:hAnsi="仿宋_GB2312" w:eastAsia="仿宋_GB2312" w:cs="仿宋_GB2312"/>
                <w:sz w:val="20"/>
                <w:szCs w:val="20"/>
                <w:lang w:eastAsia="zh-CN"/>
              </w:rPr>
              <w:t>费</w:t>
            </w:r>
          </w:p>
        </w:tc>
        <w:tc>
          <w:tcPr>
            <w:tcW w:w="20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1C9C94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0"/>
                <w:sz w:val="20"/>
                <w:szCs w:val="20"/>
                <w:lang w:val="en-US" w:eastAsia="zh-CN" w:bidi="ar-SA"/>
              </w:rPr>
            </w:pPr>
            <w:r>
              <w:rPr>
                <w:rFonts w:hint="eastAsia" w:ascii="仿宋_GB2312" w:hAnsi="仿宋_GB2312" w:eastAsia="仿宋_GB2312" w:cs="仿宋_GB2312"/>
                <w:sz w:val="20"/>
                <w:szCs w:val="20"/>
                <w:highlight w:val="none"/>
                <w:lang w:val="en-US" w:eastAsia="zh-CN"/>
              </w:rPr>
              <w:t>424.00</w:t>
            </w:r>
          </w:p>
        </w:tc>
        <w:tc>
          <w:tcPr>
            <w:tcW w:w="224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991F30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300</w:t>
            </w:r>
          </w:p>
        </w:tc>
        <w:tc>
          <w:tcPr>
            <w:tcW w:w="2041"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729859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298.45</w:t>
            </w:r>
          </w:p>
        </w:tc>
      </w:tr>
      <w:tr w14:paraId="5DBFDB60">
        <w:tblPrEx>
          <w:tblCellMar>
            <w:top w:w="0" w:type="dxa"/>
            <w:left w:w="108" w:type="dxa"/>
            <w:bottom w:w="0" w:type="dxa"/>
            <w:right w:w="108" w:type="dxa"/>
          </w:tblCellMar>
        </w:tblPrEx>
        <w:trPr>
          <w:trHeight w:val="458" w:hRule="atLeast"/>
          <w:jc w:val="center"/>
        </w:trPr>
        <w:tc>
          <w:tcPr>
            <w:tcW w:w="33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9CBC4A">
            <w:pPr>
              <w:keepNext w:val="0"/>
              <w:keepLines w:val="0"/>
              <w:pageBreakBefore w:val="0"/>
              <w:widowControl/>
              <w:kinsoku/>
              <w:wordWrap/>
              <w:overflowPunct/>
              <w:topLinePunct w:val="0"/>
              <w:autoSpaceDE/>
              <w:autoSpaceDN/>
              <w:bidi w:val="0"/>
              <w:adjustRightInd/>
              <w:snapToGrid/>
              <w:spacing w:line="400" w:lineRule="exact"/>
              <w:ind w:firstLine="400" w:firstLineChars="200"/>
              <w:jc w:val="both"/>
              <w:textAlignment w:val="auto"/>
              <w:rPr>
                <w:rFonts w:hint="eastAsia" w:ascii="仿宋_GB2312" w:hAnsi="仿宋_GB2312" w:eastAsia="仿宋_GB2312" w:cs="仿宋_GB2312"/>
                <w:kern w:val="0"/>
                <w:sz w:val="20"/>
                <w:szCs w:val="20"/>
                <w:lang w:val="en-US" w:eastAsia="zh-CN" w:bidi="ar-SA"/>
              </w:rPr>
            </w:pPr>
            <w:r>
              <w:rPr>
                <w:rFonts w:hint="default" w:ascii="仿宋_GB2312" w:hAnsi="仿宋_GB2312" w:eastAsia="仿宋_GB2312" w:cs="仿宋_GB2312"/>
                <w:sz w:val="20"/>
                <w:szCs w:val="20"/>
                <w:lang w:val="en" w:eastAsia="zh-CN"/>
              </w:rPr>
              <w:t>(</w:t>
            </w:r>
            <w:r>
              <w:rPr>
                <w:rFonts w:hint="default" w:ascii="仿宋_GB2312" w:hAnsi="仿宋_GB2312" w:eastAsia="仿宋_GB2312" w:cs="仿宋_GB2312"/>
                <w:sz w:val="20"/>
                <w:szCs w:val="20"/>
                <w:lang w:val="en-US" w:eastAsia="zh-CN"/>
              </w:rPr>
              <w:t>2</w:t>
            </w:r>
            <w:r>
              <w:rPr>
                <w:rFonts w:hint="default" w:ascii="仿宋_GB2312" w:hAnsi="仿宋_GB2312" w:eastAsia="仿宋_GB2312" w:cs="仿宋_GB2312"/>
                <w:sz w:val="20"/>
                <w:szCs w:val="20"/>
                <w:lang w:val="en" w:eastAsia="zh-CN"/>
              </w:rPr>
              <w:t>)</w:t>
            </w:r>
            <w:r>
              <w:rPr>
                <w:rFonts w:hint="eastAsia" w:ascii="仿宋_GB2312" w:hAnsi="仿宋_GB2312" w:eastAsia="仿宋_GB2312" w:cs="仿宋_GB2312"/>
                <w:sz w:val="20"/>
                <w:szCs w:val="20"/>
              </w:rPr>
              <w:t>平台坐席员劳务派遣服务费</w:t>
            </w:r>
          </w:p>
        </w:tc>
        <w:tc>
          <w:tcPr>
            <w:tcW w:w="20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D11601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0"/>
                <w:sz w:val="20"/>
                <w:szCs w:val="20"/>
                <w:lang w:val="en-US" w:eastAsia="zh-CN" w:bidi="ar-SA"/>
              </w:rPr>
            </w:pPr>
            <w:r>
              <w:rPr>
                <w:rFonts w:hint="eastAsia" w:ascii="仿宋_GB2312" w:hAnsi="仿宋_GB2312" w:eastAsia="仿宋_GB2312" w:cs="仿宋_GB2312"/>
                <w:sz w:val="20"/>
                <w:szCs w:val="20"/>
                <w:highlight w:val="none"/>
                <w:lang w:val="en-US" w:eastAsia="zh-CN"/>
              </w:rPr>
              <w:t>125.39</w:t>
            </w:r>
          </w:p>
        </w:tc>
        <w:tc>
          <w:tcPr>
            <w:tcW w:w="224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517F1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80</w:t>
            </w:r>
          </w:p>
        </w:tc>
        <w:tc>
          <w:tcPr>
            <w:tcW w:w="2041"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B70B28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95.45</w:t>
            </w:r>
          </w:p>
        </w:tc>
      </w:tr>
      <w:tr w14:paraId="1EAEDC64">
        <w:tblPrEx>
          <w:tblCellMar>
            <w:top w:w="0" w:type="dxa"/>
            <w:left w:w="108" w:type="dxa"/>
            <w:bottom w:w="0" w:type="dxa"/>
            <w:right w:w="108" w:type="dxa"/>
          </w:tblCellMar>
        </w:tblPrEx>
        <w:trPr>
          <w:trHeight w:val="450" w:hRule="atLeast"/>
          <w:jc w:val="center"/>
        </w:trPr>
        <w:tc>
          <w:tcPr>
            <w:tcW w:w="33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D7C5E5">
            <w:pPr>
              <w:keepNext w:val="0"/>
              <w:keepLines w:val="0"/>
              <w:pageBreakBefore w:val="0"/>
              <w:widowControl/>
              <w:kinsoku/>
              <w:wordWrap/>
              <w:overflowPunct/>
              <w:topLinePunct w:val="0"/>
              <w:autoSpaceDE/>
              <w:autoSpaceDN/>
              <w:bidi w:val="0"/>
              <w:adjustRightInd/>
              <w:snapToGrid/>
              <w:spacing w:line="400" w:lineRule="exact"/>
              <w:ind w:firstLine="400" w:firstLineChars="200"/>
              <w:jc w:val="both"/>
              <w:textAlignment w:val="auto"/>
              <w:rPr>
                <w:rFonts w:hint="eastAsia" w:ascii="仿宋_GB2312" w:hAnsi="仿宋_GB2312" w:eastAsia="仿宋_GB2312" w:cs="仿宋_GB2312"/>
                <w:kern w:val="0"/>
                <w:sz w:val="20"/>
                <w:szCs w:val="20"/>
                <w:lang w:val="en-US" w:eastAsia="zh-CN" w:bidi="ar-SA"/>
              </w:rPr>
            </w:pPr>
            <w:r>
              <w:rPr>
                <w:rFonts w:hint="default" w:ascii="仿宋_GB2312" w:hAnsi="仿宋_GB2312" w:eastAsia="仿宋_GB2312" w:cs="仿宋_GB2312"/>
                <w:sz w:val="20"/>
                <w:szCs w:val="20"/>
                <w:lang w:val="en" w:eastAsia="zh-CN"/>
              </w:rPr>
              <w:t>(</w:t>
            </w:r>
            <w:r>
              <w:rPr>
                <w:rFonts w:hint="default" w:ascii="仿宋_GB2312" w:hAnsi="仿宋_GB2312" w:eastAsia="仿宋_GB2312" w:cs="仿宋_GB2312"/>
                <w:sz w:val="20"/>
                <w:szCs w:val="20"/>
                <w:lang w:val="en-US" w:eastAsia="zh-CN"/>
              </w:rPr>
              <w:t>3</w:t>
            </w:r>
            <w:r>
              <w:rPr>
                <w:rFonts w:hint="default" w:ascii="仿宋_GB2312" w:hAnsi="仿宋_GB2312" w:eastAsia="仿宋_GB2312" w:cs="仿宋_GB2312"/>
                <w:sz w:val="20"/>
                <w:szCs w:val="20"/>
                <w:lang w:val="en" w:eastAsia="zh-CN"/>
              </w:rPr>
              <w:t>)</w:t>
            </w:r>
            <w:r>
              <w:rPr>
                <w:rFonts w:hint="eastAsia" w:ascii="仿宋_GB2312" w:hAnsi="仿宋_GB2312" w:eastAsia="仿宋_GB2312" w:cs="仿宋_GB2312"/>
                <w:sz w:val="20"/>
                <w:szCs w:val="20"/>
              </w:rPr>
              <w:t>一期通讯运营</w:t>
            </w:r>
            <w:r>
              <w:rPr>
                <w:rFonts w:hint="eastAsia" w:ascii="仿宋_GB2312" w:hAnsi="仿宋_GB2312" w:eastAsia="仿宋_GB2312" w:cs="仿宋_GB2312"/>
                <w:sz w:val="20"/>
                <w:szCs w:val="20"/>
                <w:lang w:eastAsia="zh-CN"/>
              </w:rPr>
              <w:t>租赁服务</w:t>
            </w:r>
          </w:p>
        </w:tc>
        <w:tc>
          <w:tcPr>
            <w:tcW w:w="20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7F5FBC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sz w:val="20"/>
                <w:szCs w:val="20"/>
                <w:highlight w:val="none"/>
                <w:lang w:val="en-US" w:eastAsia="zh-CN"/>
              </w:rPr>
              <w:t>44.90</w:t>
            </w:r>
          </w:p>
        </w:tc>
        <w:tc>
          <w:tcPr>
            <w:tcW w:w="224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CCE9A4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US" w:eastAsia="zh-CN"/>
              </w:rPr>
              <w:t>31</w:t>
            </w:r>
          </w:p>
        </w:tc>
        <w:tc>
          <w:tcPr>
            <w:tcW w:w="2041"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3C2F4D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31</w:t>
            </w:r>
          </w:p>
        </w:tc>
      </w:tr>
      <w:tr w14:paraId="50728489">
        <w:tblPrEx>
          <w:tblCellMar>
            <w:top w:w="0" w:type="dxa"/>
            <w:left w:w="108" w:type="dxa"/>
            <w:bottom w:w="0" w:type="dxa"/>
            <w:right w:w="108" w:type="dxa"/>
          </w:tblCellMar>
        </w:tblPrEx>
        <w:trPr>
          <w:trHeight w:val="481" w:hRule="atLeast"/>
          <w:jc w:val="center"/>
        </w:trPr>
        <w:tc>
          <w:tcPr>
            <w:tcW w:w="33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F8BC5C">
            <w:pPr>
              <w:keepNext w:val="0"/>
              <w:keepLines w:val="0"/>
              <w:pageBreakBefore w:val="0"/>
              <w:widowControl/>
              <w:kinsoku/>
              <w:wordWrap/>
              <w:overflowPunct/>
              <w:topLinePunct w:val="0"/>
              <w:autoSpaceDE/>
              <w:autoSpaceDN/>
              <w:bidi w:val="0"/>
              <w:adjustRightInd/>
              <w:snapToGrid/>
              <w:spacing w:line="400" w:lineRule="exact"/>
              <w:ind w:firstLine="400" w:firstLineChars="200"/>
              <w:jc w:val="both"/>
              <w:textAlignment w:val="auto"/>
              <w:rPr>
                <w:rFonts w:hint="eastAsia" w:ascii="仿宋_GB2312" w:hAnsi="仿宋_GB2312" w:eastAsia="仿宋_GB2312" w:cs="仿宋_GB2312"/>
                <w:kern w:val="0"/>
                <w:sz w:val="20"/>
                <w:szCs w:val="20"/>
                <w:lang w:val="en-US" w:eastAsia="zh-CN" w:bidi="ar-SA"/>
              </w:rPr>
            </w:pPr>
            <w:r>
              <w:rPr>
                <w:rFonts w:hint="default" w:ascii="仿宋_GB2312" w:hAnsi="仿宋_GB2312" w:eastAsia="仿宋_GB2312" w:cs="仿宋_GB2312"/>
                <w:sz w:val="20"/>
                <w:szCs w:val="20"/>
                <w:lang w:val="en"/>
              </w:rPr>
              <w:t>(</w:t>
            </w:r>
            <w:r>
              <w:rPr>
                <w:rFonts w:hint="default" w:ascii="仿宋_GB2312" w:hAnsi="仿宋_GB2312" w:eastAsia="仿宋_GB2312" w:cs="仿宋_GB2312"/>
                <w:sz w:val="20"/>
                <w:szCs w:val="20"/>
                <w:lang w:val="en-US"/>
              </w:rPr>
              <w:t>4</w:t>
            </w:r>
            <w:r>
              <w:rPr>
                <w:rFonts w:hint="default" w:ascii="仿宋_GB2312" w:hAnsi="仿宋_GB2312" w:eastAsia="仿宋_GB2312" w:cs="仿宋_GB2312"/>
                <w:sz w:val="20"/>
                <w:szCs w:val="20"/>
                <w:lang w:val="en"/>
              </w:rPr>
              <w:t>)</w:t>
            </w:r>
            <w:r>
              <w:rPr>
                <w:rFonts w:hint="eastAsia" w:ascii="仿宋_GB2312" w:hAnsi="仿宋_GB2312" w:eastAsia="仿宋_GB2312" w:cs="仿宋_GB2312"/>
                <w:sz w:val="20"/>
                <w:szCs w:val="20"/>
              </w:rPr>
              <w:t>二期通讯运营</w:t>
            </w:r>
            <w:r>
              <w:rPr>
                <w:rFonts w:hint="eastAsia" w:ascii="仿宋_GB2312" w:hAnsi="仿宋_GB2312" w:eastAsia="仿宋_GB2312" w:cs="仿宋_GB2312"/>
                <w:sz w:val="20"/>
                <w:szCs w:val="20"/>
                <w:lang w:eastAsia="zh-CN"/>
              </w:rPr>
              <w:t>租赁</w:t>
            </w:r>
            <w:r>
              <w:rPr>
                <w:rFonts w:hint="eastAsia" w:ascii="仿宋_GB2312" w:hAnsi="仿宋_GB2312" w:eastAsia="仿宋_GB2312" w:cs="仿宋_GB2312"/>
                <w:sz w:val="20"/>
                <w:szCs w:val="20"/>
              </w:rPr>
              <w:t>费</w:t>
            </w:r>
          </w:p>
        </w:tc>
        <w:tc>
          <w:tcPr>
            <w:tcW w:w="20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7C2ABB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cs="仿宋_GB2312"/>
                <w:sz w:val="20"/>
                <w:szCs w:val="20"/>
                <w:highlight w:val="none"/>
                <w:lang w:val="en-US" w:eastAsia="zh-CN"/>
              </w:rPr>
              <w:t>68.00</w:t>
            </w:r>
          </w:p>
        </w:tc>
        <w:tc>
          <w:tcPr>
            <w:tcW w:w="224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234E44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US" w:eastAsia="zh-CN"/>
              </w:rPr>
              <w:t>40</w:t>
            </w:r>
          </w:p>
        </w:tc>
        <w:tc>
          <w:tcPr>
            <w:tcW w:w="2041"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7D347C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宋体" w:cs="仿宋_GB2312"/>
                <w:kern w:val="0"/>
                <w:sz w:val="20"/>
                <w:szCs w:val="20"/>
                <w:highlight w:val="none"/>
                <w:lang w:val="en-US" w:eastAsia="zh-CN" w:bidi="ar-SA"/>
              </w:rPr>
            </w:pPr>
            <w:r>
              <w:rPr>
                <w:rFonts w:hint="eastAsia" w:ascii="仿宋_GB2312" w:hAnsi="仿宋_GB2312" w:cs="仿宋_GB2312"/>
                <w:sz w:val="20"/>
                <w:szCs w:val="20"/>
                <w:highlight w:val="none"/>
                <w:lang w:val="en-US" w:eastAsia="zh-CN"/>
              </w:rPr>
              <w:t>40</w:t>
            </w:r>
          </w:p>
        </w:tc>
      </w:tr>
      <w:tr w14:paraId="24EBAAAC">
        <w:tblPrEx>
          <w:tblCellMar>
            <w:top w:w="0" w:type="dxa"/>
            <w:left w:w="108" w:type="dxa"/>
            <w:bottom w:w="0" w:type="dxa"/>
            <w:right w:w="108" w:type="dxa"/>
          </w:tblCellMar>
        </w:tblPrEx>
        <w:trPr>
          <w:trHeight w:val="518" w:hRule="atLeast"/>
          <w:jc w:val="center"/>
        </w:trPr>
        <w:tc>
          <w:tcPr>
            <w:tcW w:w="33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B45DC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0"/>
                <w:sz w:val="20"/>
                <w:szCs w:val="20"/>
                <w:lang w:val="en-US" w:eastAsia="zh-CN" w:bidi="ar-SA"/>
              </w:rPr>
            </w:pPr>
            <w:r>
              <w:rPr>
                <w:rFonts w:hint="default" w:ascii="仿宋_GB2312" w:hAnsi="仿宋_GB2312" w:eastAsia="仿宋_GB2312" w:cs="仿宋_GB2312"/>
                <w:sz w:val="20"/>
                <w:szCs w:val="20"/>
                <w:lang w:val="en" w:eastAsia="zh-CN"/>
              </w:rPr>
              <w:t xml:space="preserve">    (</w:t>
            </w:r>
            <w:r>
              <w:rPr>
                <w:rFonts w:hint="default" w:ascii="仿宋_GB2312" w:hAnsi="仿宋_GB2312" w:eastAsia="仿宋_GB2312" w:cs="仿宋_GB2312"/>
                <w:sz w:val="20"/>
                <w:szCs w:val="20"/>
                <w:lang w:val="en-US" w:eastAsia="zh-CN"/>
              </w:rPr>
              <w:t>5</w:t>
            </w:r>
            <w:r>
              <w:rPr>
                <w:rFonts w:hint="default" w:ascii="仿宋_GB2312" w:hAnsi="仿宋_GB2312" w:eastAsia="仿宋_GB2312" w:cs="仿宋_GB2312"/>
                <w:sz w:val="20"/>
                <w:szCs w:val="20"/>
                <w:lang w:val="en" w:eastAsia="zh-CN"/>
              </w:rPr>
              <w:t>)</w:t>
            </w:r>
            <w:r>
              <w:rPr>
                <w:rFonts w:hint="eastAsia" w:ascii="仿宋_GB2312" w:hAnsi="仿宋_GB2312" w:eastAsia="仿宋_GB2312" w:cs="仿宋_GB2312"/>
                <w:sz w:val="20"/>
                <w:szCs w:val="20"/>
              </w:rPr>
              <w:t>软件、数据库及设备维护经费</w:t>
            </w:r>
          </w:p>
        </w:tc>
        <w:tc>
          <w:tcPr>
            <w:tcW w:w="20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A25E8B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sz w:val="20"/>
                <w:szCs w:val="20"/>
                <w:highlight w:val="none"/>
                <w:lang w:val="en" w:eastAsia="zh-CN"/>
              </w:rPr>
              <w:t>38.92</w:t>
            </w:r>
          </w:p>
        </w:tc>
        <w:tc>
          <w:tcPr>
            <w:tcW w:w="224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4B8849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49</w:t>
            </w:r>
          </w:p>
        </w:tc>
        <w:tc>
          <w:tcPr>
            <w:tcW w:w="2041"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89B684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49</w:t>
            </w:r>
          </w:p>
        </w:tc>
      </w:tr>
      <w:tr w14:paraId="0548C438">
        <w:tblPrEx>
          <w:tblCellMar>
            <w:top w:w="0" w:type="dxa"/>
            <w:left w:w="108" w:type="dxa"/>
            <w:bottom w:w="0" w:type="dxa"/>
            <w:right w:w="108" w:type="dxa"/>
          </w:tblCellMar>
        </w:tblPrEx>
        <w:trPr>
          <w:trHeight w:val="561" w:hRule="atLeast"/>
          <w:jc w:val="center"/>
        </w:trPr>
        <w:tc>
          <w:tcPr>
            <w:tcW w:w="33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3991A7">
            <w:pPr>
              <w:keepNext w:val="0"/>
              <w:keepLines w:val="0"/>
              <w:pageBreakBefore w:val="0"/>
              <w:widowControl/>
              <w:kinsoku/>
              <w:wordWrap/>
              <w:overflowPunct/>
              <w:topLinePunct w:val="0"/>
              <w:autoSpaceDE/>
              <w:autoSpaceDN/>
              <w:bidi w:val="0"/>
              <w:adjustRightInd/>
              <w:snapToGrid/>
              <w:spacing w:line="400" w:lineRule="exact"/>
              <w:ind w:firstLine="400" w:firstLineChars="200"/>
              <w:jc w:val="both"/>
              <w:textAlignment w:val="auto"/>
              <w:rPr>
                <w:rFonts w:hint="eastAsia" w:ascii="仿宋_GB2312" w:hAnsi="仿宋_GB2312" w:eastAsia="仿宋_GB2312" w:cs="仿宋_GB2312"/>
                <w:kern w:val="0"/>
                <w:sz w:val="20"/>
                <w:szCs w:val="20"/>
                <w:lang w:val="en-US" w:eastAsia="zh-CN" w:bidi="ar-SA"/>
              </w:rPr>
            </w:pPr>
            <w:r>
              <w:rPr>
                <w:rFonts w:hint="default" w:ascii="仿宋_GB2312" w:hAnsi="仿宋_GB2312" w:eastAsia="仿宋_GB2312" w:cs="仿宋_GB2312"/>
                <w:sz w:val="20"/>
                <w:szCs w:val="20"/>
                <w:lang w:val="en" w:eastAsia="zh-CN"/>
              </w:rPr>
              <w:t>(</w:t>
            </w:r>
            <w:r>
              <w:rPr>
                <w:rFonts w:hint="default" w:ascii="仿宋_GB2312" w:hAnsi="仿宋_GB2312" w:eastAsia="仿宋_GB2312" w:cs="仿宋_GB2312"/>
                <w:sz w:val="20"/>
                <w:szCs w:val="20"/>
                <w:lang w:val="en-US" w:eastAsia="zh-CN"/>
              </w:rPr>
              <w:t>6</w:t>
            </w:r>
            <w:r>
              <w:rPr>
                <w:rFonts w:hint="default" w:ascii="仿宋_GB2312" w:hAnsi="仿宋_GB2312" w:eastAsia="仿宋_GB2312" w:cs="仿宋_GB2312"/>
                <w:sz w:val="20"/>
                <w:szCs w:val="20"/>
                <w:lang w:val="en"/>
              </w:rPr>
              <w:t>)</w:t>
            </w:r>
            <w:r>
              <w:rPr>
                <w:rFonts w:hint="eastAsia" w:ascii="仿宋_GB2312" w:hAnsi="仿宋_GB2312" w:eastAsia="仿宋_GB2312" w:cs="仿宋_GB2312"/>
                <w:sz w:val="20"/>
                <w:szCs w:val="20"/>
                <w:lang w:eastAsia="zh-CN"/>
              </w:rPr>
              <w:t>设备运行及办公用电费</w:t>
            </w:r>
          </w:p>
        </w:tc>
        <w:tc>
          <w:tcPr>
            <w:tcW w:w="20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968ED3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sz w:val="20"/>
                <w:szCs w:val="20"/>
                <w:highlight w:val="none"/>
                <w:lang w:val="en-US" w:eastAsia="zh-CN"/>
              </w:rPr>
              <w:t>32.00</w:t>
            </w:r>
          </w:p>
        </w:tc>
        <w:tc>
          <w:tcPr>
            <w:tcW w:w="224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C0E7FC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23.6</w:t>
            </w:r>
          </w:p>
        </w:tc>
        <w:tc>
          <w:tcPr>
            <w:tcW w:w="2041"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0CA6D8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23.6</w:t>
            </w:r>
          </w:p>
        </w:tc>
      </w:tr>
      <w:tr w14:paraId="19570C18">
        <w:tblPrEx>
          <w:tblCellMar>
            <w:top w:w="0" w:type="dxa"/>
            <w:left w:w="108" w:type="dxa"/>
            <w:bottom w:w="0" w:type="dxa"/>
            <w:right w:w="108" w:type="dxa"/>
          </w:tblCellMar>
        </w:tblPrEx>
        <w:trPr>
          <w:trHeight w:val="493" w:hRule="atLeast"/>
          <w:jc w:val="center"/>
        </w:trPr>
        <w:tc>
          <w:tcPr>
            <w:tcW w:w="33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6C3CC3">
            <w:pPr>
              <w:keepNext w:val="0"/>
              <w:keepLines w:val="0"/>
              <w:pageBreakBefore w:val="0"/>
              <w:widowControl/>
              <w:kinsoku/>
              <w:wordWrap/>
              <w:overflowPunct/>
              <w:topLinePunct w:val="0"/>
              <w:autoSpaceDE/>
              <w:autoSpaceDN/>
              <w:bidi w:val="0"/>
              <w:adjustRightInd/>
              <w:snapToGrid/>
              <w:spacing w:line="400" w:lineRule="exact"/>
              <w:ind w:firstLine="400" w:firstLineChars="200"/>
              <w:jc w:val="both"/>
              <w:textAlignment w:val="auto"/>
              <w:rPr>
                <w:rFonts w:hint="default" w:ascii="仿宋_GB2312" w:hAnsi="仿宋_GB2312" w:eastAsia="仿宋_GB2312" w:cs="仿宋_GB2312"/>
                <w:kern w:val="0"/>
                <w:sz w:val="20"/>
                <w:szCs w:val="20"/>
                <w:lang w:val="en" w:eastAsia="zh-CN" w:bidi="ar-SA"/>
              </w:rPr>
            </w:pPr>
            <w:r>
              <w:rPr>
                <w:rFonts w:hint="default" w:ascii="仿宋_GB2312" w:hAnsi="仿宋_GB2312" w:eastAsia="仿宋_GB2312" w:cs="仿宋_GB2312"/>
                <w:sz w:val="20"/>
                <w:szCs w:val="20"/>
                <w:lang w:val="en"/>
              </w:rPr>
              <w:t>(</w:t>
            </w:r>
            <w:r>
              <w:rPr>
                <w:rFonts w:hint="default" w:ascii="仿宋_GB2312" w:hAnsi="仿宋_GB2312" w:eastAsia="仿宋_GB2312" w:cs="仿宋_GB2312"/>
                <w:sz w:val="20"/>
                <w:szCs w:val="20"/>
                <w:lang w:val="en-US"/>
              </w:rPr>
              <w:t>7</w:t>
            </w:r>
            <w:r>
              <w:rPr>
                <w:rFonts w:hint="default" w:ascii="仿宋_GB2312" w:hAnsi="仿宋_GB2312" w:eastAsia="仿宋_GB2312" w:cs="仿宋_GB2312"/>
                <w:sz w:val="20"/>
                <w:szCs w:val="20"/>
                <w:lang w:val="en"/>
              </w:rPr>
              <w:t>)</w:t>
            </w:r>
            <w:r>
              <w:rPr>
                <w:rFonts w:hint="eastAsia" w:ascii="仿宋_GB2312" w:hAnsi="仿宋_GB2312" w:eastAsia="仿宋_GB2312" w:cs="仿宋_GB2312"/>
                <w:sz w:val="20"/>
                <w:szCs w:val="20"/>
              </w:rPr>
              <w:t>12319运营经费</w:t>
            </w:r>
          </w:p>
        </w:tc>
        <w:tc>
          <w:tcPr>
            <w:tcW w:w="203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6ECF69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sz w:val="20"/>
                <w:szCs w:val="20"/>
                <w:highlight w:val="none"/>
                <w:lang w:val="en-US" w:eastAsia="zh-CN"/>
              </w:rPr>
              <w:t>31.44</w:t>
            </w:r>
          </w:p>
        </w:tc>
        <w:tc>
          <w:tcPr>
            <w:tcW w:w="224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58F411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E798FA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0</w:t>
            </w:r>
          </w:p>
        </w:tc>
      </w:tr>
      <w:tr w14:paraId="08DE489D">
        <w:tblPrEx>
          <w:tblCellMar>
            <w:top w:w="0" w:type="dxa"/>
            <w:left w:w="108" w:type="dxa"/>
            <w:bottom w:w="0" w:type="dxa"/>
            <w:right w:w="108" w:type="dxa"/>
          </w:tblCellMar>
        </w:tblPrEx>
        <w:trPr>
          <w:trHeight w:val="548"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3913210B">
            <w:pPr>
              <w:keepNext w:val="0"/>
              <w:keepLines w:val="0"/>
              <w:pageBreakBefore w:val="0"/>
              <w:widowControl/>
              <w:kinsoku/>
              <w:wordWrap/>
              <w:overflowPunct/>
              <w:topLinePunct w:val="0"/>
              <w:autoSpaceDE/>
              <w:autoSpaceDN/>
              <w:bidi w:val="0"/>
              <w:adjustRightInd/>
              <w:snapToGrid/>
              <w:spacing w:line="400" w:lineRule="exact"/>
              <w:ind w:firstLine="400" w:firstLineChars="200"/>
              <w:jc w:val="left"/>
              <w:textAlignment w:val="auto"/>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lang w:val="en" w:eastAsia="zh-CN"/>
              </w:rPr>
              <w:t>(8)</w:t>
            </w:r>
            <w:r>
              <w:rPr>
                <w:rFonts w:hint="eastAsia" w:ascii="仿宋_GB2312" w:hAnsi="仿宋_GB2312" w:eastAsia="仿宋_GB2312" w:cs="仿宋_GB2312"/>
                <w:sz w:val="20"/>
                <w:szCs w:val="20"/>
                <w:lang w:val="en-US" w:eastAsia="zh-CN"/>
              </w:rPr>
              <w:t>2025专项工作经</w:t>
            </w:r>
            <w:r>
              <w:rPr>
                <w:rFonts w:hint="eastAsia" w:ascii="仿宋_GB2312" w:hAnsi="仿宋_GB2312" w:eastAsia="仿宋_GB2312" w:cs="仿宋_GB2312"/>
                <w:sz w:val="20"/>
                <w:szCs w:val="20"/>
              </w:rPr>
              <w:t>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087480E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
              </w:rPr>
            </w:pP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16EB197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39.26</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6E15EFE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20.81</w:t>
            </w:r>
          </w:p>
        </w:tc>
      </w:tr>
      <w:tr w14:paraId="0164127A">
        <w:tblPrEx>
          <w:tblCellMar>
            <w:top w:w="0" w:type="dxa"/>
            <w:left w:w="108" w:type="dxa"/>
            <w:bottom w:w="0" w:type="dxa"/>
            <w:right w:w="108" w:type="dxa"/>
          </w:tblCellMar>
        </w:tblPrEx>
        <w:trPr>
          <w:trHeight w:val="518"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2F0B578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02AF061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0"/>
                <w:szCs w:val="20"/>
                <w:highlight w:val="none"/>
                <w:lang w:val="en" w:eastAsia="zh-CN" w:bidi="ar-SA"/>
              </w:rPr>
            </w:pPr>
            <w:r>
              <w:rPr>
                <w:rFonts w:hint="eastAsia" w:ascii="仿宋_GB2312" w:hAnsi="仿宋_GB2312" w:eastAsia="仿宋_GB2312" w:cs="仿宋_GB2312"/>
                <w:sz w:val="20"/>
                <w:szCs w:val="20"/>
                <w:highlight w:val="none"/>
                <w:lang w:val="en-US" w:eastAsia="zh-CN"/>
              </w:rPr>
              <w:t>27.30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23E4B16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28.54</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03D3661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27.30</w:t>
            </w:r>
          </w:p>
        </w:tc>
      </w:tr>
      <w:tr w14:paraId="0F509583">
        <w:tblPrEx>
          <w:tblCellMar>
            <w:top w:w="0" w:type="dxa"/>
            <w:left w:w="108" w:type="dxa"/>
            <w:bottom w:w="0" w:type="dxa"/>
            <w:right w:w="108" w:type="dxa"/>
          </w:tblCellMar>
        </w:tblPrEx>
        <w:trPr>
          <w:trHeight w:val="519"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068484A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6821A45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kern w:val="0"/>
                <w:sz w:val="20"/>
                <w:szCs w:val="20"/>
                <w:highlight w:val="none"/>
                <w:lang w:val="en" w:eastAsia="zh-CN" w:bidi="ar-SA"/>
              </w:rPr>
            </w:pPr>
            <w:r>
              <w:rPr>
                <w:rFonts w:hint="eastAsia" w:ascii="仿宋_GB2312" w:hAnsi="仿宋_GB2312" w:eastAsia="仿宋_GB2312" w:cs="仿宋_GB2312"/>
                <w:color w:val="auto"/>
                <w:sz w:val="20"/>
                <w:szCs w:val="20"/>
                <w:highlight w:val="none"/>
                <w:lang w:val="en-US" w:eastAsia="zh-CN"/>
              </w:rPr>
              <w:t>7.33</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025C36A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6</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09B2015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5.92</w:t>
            </w:r>
          </w:p>
        </w:tc>
      </w:tr>
      <w:tr w14:paraId="6ED977E5">
        <w:tblPrEx>
          <w:tblCellMar>
            <w:top w:w="0" w:type="dxa"/>
            <w:left w:w="108" w:type="dxa"/>
            <w:bottom w:w="0" w:type="dxa"/>
            <w:right w:w="108" w:type="dxa"/>
          </w:tblCellMar>
        </w:tblPrEx>
        <w:trPr>
          <w:trHeight w:val="513"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1AF8E5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0C6814C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
              </w:rPr>
            </w:pPr>
            <w:r>
              <w:rPr>
                <w:rFonts w:hint="eastAsia" w:ascii="仿宋_GB2312" w:hAnsi="仿宋_GB2312" w:eastAsia="仿宋_GB2312" w:cs="仿宋_GB2312"/>
                <w:color w:val="auto"/>
                <w:sz w:val="20"/>
                <w:szCs w:val="20"/>
                <w:highlight w:val="none"/>
                <w:lang w:val="en-US" w:eastAsia="zh-CN"/>
              </w:rPr>
              <w:t>1.00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700D03D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2BFB60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0.62</w:t>
            </w:r>
          </w:p>
        </w:tc>
      </w:tr>
      <w:tr w14:paraId="350FB1DD">
        <w:tblPrEx>
          <w:tblCellMar>
            <w:top w:w="0" w:type="dxa"/>
            <w:left w:w="108" w:type="dxa"/>
            <w:bottom w:w="0" w:type="dxa"/>
            <w:right w:w="108" w:type="dxa"/>
          </w:tblCellMar>
        </w:tblPrEx>
        <w:trPr>
          <w:trHeight w:val="463"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4894AB8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2EB4D70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706AFF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7DF2216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w:t>
            </w:r>
          </w:p>
        </w:tc>
      </w:tr>
      <w:tr w14:paraId="15E83CCC">
        <w:tblPrEx>
          <w:tblCellMar>
            <w:top w:w="0" w:type="dxa"/>
            <w:left w:w="108" w:type="dxa"/>
            <w:bottom w:w="0" w:type="dxa"/>
            <w:right w:w="108" w:type="dxa"/>
          </w:tblCellMar>
        </w:tblPrEx>
        <w:trPr>
          <w:trHeight w:val="607"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34E0260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5D01641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
              </w:rPr>
            </w:pPr>
            <w:r>
              <w:rPr>
                <w:rFonts w:hint="eastAsia" w:ascii="仿宋_GB2312" w:hAnsi="仿宋_GB2312" w:eastAsia="仿宋_GB2312" w:cs="仿宋_GB2312"/>
                <w:color w:val="auto"/>
                <w:sz w:val="20"/>
                <w:szCs w:val="20"/>
                <w:highlight w:val="none"/>
                <w:lang w:val="en-US" w:eastAsia="zh-CN"/>
              </w:rPr>
              <w:t>557.98</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3AF5D80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685.50</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7FB8C68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557.98</w:t>
            </w:r>
          </w:p>
        </w:tc>
      </w:tr>
      <w:tr w14:paraId="02FE5BAE">
        <w:tblPrEx>
          <w:tblCellMar>
            <w:top w:w="0" w:type="dxa"/>
            <w:left w:w="108" w:type="dxa"/>
            <w:bottom w:w="0" w:type="dxa"/>
            <w:right w:w="108" w:type="dxa"/>
          </w:tblCellMar>
        </w:tblPrEx>
        <w:trPr>
          <w:trHeight w:val="491"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7380831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038" w:type="dxa"/>
            <w:gridSpan w:val="2"/>
            <w:tcBorders>
              <w:top w:val="single" w:color="auto" w:sz="4" w:space="0"/>
              <w:left w:val="single" w:color="auto" w:sz="4" w:space="0"/>
              <w:bottom w:val="single" w:color="auto" w:sz="4" w:space="0"/>
              <w:right w:val="single" w:color="auto" w:sz="4" w:space="0"/>
            </w:tcBorders>
            <w:noWrap w:val="0"/>
            <w:vAlign w:val="center"/>
          </w:tcPr>
          <w:p w14:paraId="1CB9D3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
              </w:rPr>
            </w:pPr>
            <w:r>
              <w:rPr>
                <w:rFonts w:hint="eastAsia" w:ascii="仿宋_GB2312" w:hAnsi="仿宋_GB2312" w:eastAsia="仿宋_GB2312" w:cs="仿宋_GB2312"/>
                <w:sz w:val="20"/>
                <w:szCs w:val="20"/>
                <w:highlight w:val="none"/>
                <w:lang w:val="en-US" w:eastAsia="zh-CN"/>
              </w:rPr>
              <w:t>406.78</w:t>
            </w:r>
          </w:p>
        </w:tc>
        <w:tc>
          <w:tcPr>
            <w:tcW w:w="2240" w:type="dxa"/>
            <w:gridSpan w:val="2"/>
            <w:tcBorders>
              <w:top w:val="single" w:color="auto" w:sz="4" w:space="0"/>
              <w:left w:val="single" w:color="auto" w:sz="4" w:space="0"/>
              <w:bottom w:val="single" w:color="auto" w:sz="4" w:space="0"/>
              <w:right w:val="single" w:color="auto" w:sz="4" w:space="0"/>
            </w:tcBorders>
            <w:noWrap w:val="0"/>
            <w:vAlign w:val="center"/>
          </w:tcPr>
          <w:p w14:paraId="4C96337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416.35</w:t>
            </w:r>
          </w:p>
        </w:tc>
        <w:tc>
          <w:tcPr>
            <w:tcW w:w="2041" w:type="dxa"/>
            <w:gridSpan w:val="2"/>
            <w:tcBorders>
              <w:top w:val="single" w:color="auto" w:sz="4" w:space="0"/>
              <w:left w:val="single" w:color="auto" w:sz="4" w:space="0"/>
              <w:bottom w:val="single" w:color="auto" w:sz="4" w:space="0"/>
              <w:right w:val="single" w:color="auto" w:sz="4" w:space="0"/>
            </w:tcBorders>
            <w:noWrap w:val="0"/>
            <w:vAlign w:val="center"/>
          </w:tcPr>
          <w:p w14:paraId="12FCDD5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406.78</w:t>
            </w:r>
          </w:p>
        </w:tc>
      </w:tr>
      <w:tr w14:paraId="22C142D4">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4899534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default"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1189" w:type="dxa"/>
            <w:tcBorders>
              <w:top w:val="single" w:color="auto" w:sz="4" w:space="0"/>
              <w:left w:val="single" w:color="auto" w:sz="4" w:space="0"/>
              <w:bottom w:val="single" w:color="auto" w:sz="4" w:space="0"/>
              <w:right w:val="single" w:color="auto" w:sz="4" w:space="0"/>
            </w:tcBorders>
            <w:noWrap w:val="0"/>
            <w:vAlign w:val="center"/>
          </w:tcPr>
          <w:p w14:paraId="64E3E2B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tcBorders>
              <w:top w:val="single" w:color="auto" w:sz="4" w:space="0"/>
              <w:left w:val="single" w:color="auto" w:sz="4" w:space="0"/>
              <w:bottom w:val="single" w:color="auto" w:sz="4" w:space="0"/>
              <w:right w:val="single" w:color="auto" w:sz="4" w:space="0"/>
            </w:tcBorders>
            <w:noWrap w:val="0"/>
            <w:vAlign w:val="center"/>
          </w:tcPr>
          <w:p w14:paraId="0AEDCA7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single" w:color="auto" w:sz="4" w:space="0"/>
              <w:left w:val="single" w:color="auto" w:sz="4" w:space="0"/>
              <w:bottom w:val="single" w:color="auto" w:sz="4" w:space="0"/>
              <w:right w:val="single" w:color="auto" w:sz="4" w:space="0"/>
            </w:tcBorders>
            <w:noWrap w:val="0"/>
            <w:vAlign w:val="center"/>
          </w:tcPr>
          <w:p w14:paraId="6B43D3A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single" w:color="auto" w:sz="4" w:space="0"/>
              <w:left w:val="single" w:color="auto" w:sz="4" w:space="0"/>
              <w:bottom w:val="single" w:color="auto" w:sz="4" w:space="0"/>
              <w:right w:val="single" w:color="auto" w:sz="4" w:space="0"/>
            </w:tcBorders>
            <w:noWrap w:val="0"/>
            <w:vAlign w:val="center"/>
          </w:tcPr>
          <w:p w14:paraId="7AB9FEC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single" w:color="auto" w:sz="4" w:space="0"/>
              <w:left w:val="single" w:color="auto" w:sz="4" w:space="0"/>
              <w:bottom w:val="single" w:color="auto" w:sz="4" w:space="0"/>
              <w:right w:val="single" w:color="auto" w:sz="4" w:space="0"/>
            </w:tcBorders>
            <w:noWrap w:val="0"/>
            <w:vAlign w:val="center"/>
          </w:tcPr>
          <w:p w14:paraId="1CDB53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49BE0E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50C3C56B">
        <w:tblPrEx>
          <w:tblCellMar>
            <w:top w:w="0" w:type="dxa"/>
            <w:left w:w="108" w:type="dxa"/>
            <w:bottom w:w="0" w:type="dxa"/>
            <w:right w:w="108" w:type="dxa"/>
          </w:tblCellMar>
        </w:tblPrEx>
        <w:trPr>
          <w:trHeight w:val="512"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39AC5A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0"/>
                <w:szCs w:val="20"/>
                <w:highlight w:val="none"/>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5D89D0D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0</w:t>
            </w:r>
          </w:p>
        </w:tc>
        <w:tc>
          <w:tcPr>
            <w:tcW w:w="849" w:type="dxa"/>
            <w:tcBorders>
              <w:top w:val="single" w:color="auto" w:sz="4" w:space="0"/>
              <w:left w:val="single" w:color="auto" w:sz="4" w:space="0"/>
              <w:bottom w:val="single" w:color="auto" w:sz="4" w:space="0"/>
              <w:right w:val="single" w:color="auto" w:sz="4" w:space="0"/>
            </w:tcBorders>
            <w:noWrap w:val="0"/>
            <w:vAlign w:val="center"/>
          </w:tcPr>
          <w:p w14:paraId="43FA644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0</w:t>
            </w:r>
          </w:p>
        </w:tc>
        <w:tc>
          <w:tcPr>
            <w:tcW w:w="1129" w:type="dxa"/>
            <w:tcBorders>
              <w:top w:val="single" w:color="auto" w:sz="4" w:space="0"/>
              <w:left w:val="single" w:color="auto" w:sz="4" w:space="0"/>
              <w:bottom w:val="single" w:color="auto" w:sz="4" w:space="0"/>
              <w:right w:val="single" w:color="auto" w:sz="4" w:space="0"/>
            </w:tcBorders>
            <w:noWrap w:val="0"/>
            <w:vAlign w:val="center"/>
          </w:tcPr>
          <w:p w14:paraId="57A9541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0</w:t>
            </w:r>
          </w:p>
        </w:tc>
        <w:tc>
          <w:tcPr>
            <w:tcW w:w="1111" w:type="dxa"/>
            <w:tcBorders>
              <w:top w:val="single" w:color="auto" w:sz="4" w:space="0"/>
              <w:left w:val="single" w:color="auto" w:sz="4" w:space="0"/>
              <w:bottom w:val="single" w:color="auto" w:sz="4" w:space="0"/>
              <w:right w:val="single" w:color="auto" w:sz="4" w:space="0"/>
            </w:tcBorders>
            <w:noWrap w:val="0"/>
            <w:vAlign w:val="center"/>
          </w:tcPr>
          <w:p w14:paraId="48D826A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0</w:t>
            </w:r>
          </w:p>
        </w:tc>
        <w:tc>
          <w:tcPr>
            <w:tcW w:w="1081" w:type="dxa"/>
            <w:tcBorders>
              <w:top w:val="single" w:color="auto" w:sz="4" w:space="0"/>
              <w:left w:val="single" w:color="auto" w:sz="4" w:space="0"/>
              <w:bottom w:val="single" w:color="auto" w:sz="4" w:space="0"/>
              <w:right w:val="single" w:color="auto" w:sz="4" w:space="0"/>
            </w:tcBorders>
            <w:noWrap w:val="0"/>
            <w:vAlign w:val="center"/>
          </w:tcPr>
          <w:p w14:paraId="02376ED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0</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3AB01CA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w:t>
            </w:r>
          </w:p>
        </w:tc>
      </w:tr>
      <w:tr w14:paraId="1BE26E41">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48C5A0D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319" w:type="dxa"/>
            <w:gridSpan w:val="6"/>
            <w:tcBorders>
              <w:top w:val="single" w:color="auto" w:sz="4" w:space="0"/>
              <w:left w:val="single" w:color="auto" w:sz="4" w:space="0"/>
              <w:bottom w:val="single" w:color="auto" w:sz="4" w:space="0"/>
              <w:right w:val="single" w:color="auto" w:sz="4" w:space="0"/>
            </w:tcBorders>
            <w:noWrap w:val="0"/>
            <w:vAlign w:val="center"/>
          </w:tcPr>
          <w:p w14:paraId="7C8BA9E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sz w:val="20"/>
                <w:szCs w:val="20"/>
                <w:highlight w:val="none"/>
                <w:lang w:val="en-US"/>
              </w:rPr>
            </w:pPr>
            <w:r>
              <w:rPr>
                <w:rFonts w:hint="eastAsia" w:ascii="仿宋_GB2312" w:hAnsi="仿宋_GB2312" w:eastAsia="仿宋_GB2312" w:cs="仿宋_GB2312"/>
                <w:sz w:val="20"/>
                <w:szCs w:val="20"/>
                <w:lang w:val="en-US" w:eastAsia="zh-CN"/>
              </w:rPr>
              <w:t xml:space="preserve"> </w:t>
            </w:r>
            <w:r>
              <w:rPr>
                <w:rFonts w:hint="default" w:ascii="仿宋_GB2312" w:hAnsi="仿宋_GB2312" w:eastAsia="仿宋_GB2312" w:cs="仿宋_GB2312"/>
                <w:sz w:val="20"/>
                <w:szCs w:val="20"/>
                <w:lang w:val="en" w:eastAsia="zh-CN"/>
              </w:rPr>
              <w:t xml:space="preserve">   </w:t>
            </w:r>
            <w:r>
              <w:rPr>
                <w:rFonts w:hint="eastAsia" w:ascii="仿宋_GB2312" w:hAnsi="仿宋_GB2312" w:eastAsia="仿宋_GB2312" w:cs="仿宋_GB2312"/>
                <w:sz w:val="20"/>
                <w:szCs w:val="20"/>
                <w:lang w:val="en-US" w:eastAsia="zh-CN"/>
              </w:rPr>
              <w:t>进一步完善了单位财务管理制度和内控管理制度，</w:t>
            </w:r>
            <w:r>
              <w:rPr>
                <w:rFonts w:hint="eastAsia" w:ascii="仿宋_GB2312" w:hAnsi="仿宋_GB2312" w:eastAsia="仿宋_GB2312" w:cs="仿宋_GB2312"/>
                <w:bCs/>
                <w:sz w:val="20"/>
                <w:szCs w:val="20"/>
                <w:lang w:val="en-US" w:eastAsia="zh-CN"/>
              </w:rPr>
              <w:t>各部门严格遵守制订的《财务管理制度》、《内控管理制度》等规章制度。</w:t>
            </w:r>
            <w:r>
              <w:rPr>
                <w:rFonts w:hint="eastAsia" w:ascii="仿宋_GB2312" w:hAnsi="仿宋_GB2312" w:eastAsia="仿宋_GB2312" w:cs="仿宋_GB2312"/>
                <w:bCs/>
                <w:sz w:val="20"/>
                <w:szCs w:val="20"/>
                <w:highlight w:val="none"/>
                <w:lang w:val="en-US" w:eastAsia="zh-CN"/>
              </w:rPr>
              <w:t>加强事前绩效评估管理，坚持先定事，再确定资金支出规模，压减一般性支出，进一步提升财政资金支出效益。定期开展资产清查盘点工作，按照厉行节约、物尽其用的原则，闲置的资产，由办公室统一调整，合理流动，发挥其效益。资产管理采取统一建帐核算，每件固定资产使用明确保管职责，及时进行维护保养，尽量延长设备、用具使用寿命，提升资产资源利用效率。</w:t>
            </w:r>
          </w:p>
        </w:tc>
      </w:tr>
    </w:tbl>
    <w:p w14:paraId="396DBEE6">
      <w:pPr>
        <w:widowControl/>
        <w:spacing w:afterLines="0" w:line="400" w:lineRule="exact"/>
        <w:jc w:val="left"/>
        <w:rPr>
          <w:rFonts w:hint="default" w:ascii="Times New Roman" w:hAnsi="Times New Roman" w:eastAsia="仿宋_GB2312" w:cs="Times New Roman"/>
          <w:sz w:val="22"/>
          <w:highlight w:val="none"/>
        </w:rPr>
      </w:pPr>
    </w:p>
    <w:p w14:paraId="7D59B72C">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rPr>
        <w:t>填表人：</w:t>
      </w:r>
      <w:r>
        <w:rPr>
          <w:rFonts w:hint="eastAsia" w:ascii="仿宋_GB2312" w:hAnsi="仿宋_GB2312" w:eastAsia="仿宋_GB2312" w:cs="仿宋_GB2312"/>
          <w:sz w:val="22"/>
          <w:szCs w:val="22"/>
          <w:lang w:eastAsia="zh-CN"/>
        </w:rPr>
        <w:t>禹荣</w:t>
      </w:r>
      <w:r>
        <w:rPr>
          <w:rFonts w:hint="eastAsia" w:ascii="仿宋_GB2312" w:hAnsi="仿宋_GB2312" w:eastAsia="仿宋_GB2312" w:cs="仿宋_GB2312"/>
          <w:sz w:val="22"/>
          <w:szCs w:val="22"/>
          <w:lang w:val="en"/>
        </w:rPr>
        <w:t xml:space="preserve">  </w:t>
      </w:r>
      <w:r>
        <w:rPr>
          <w:rFonts w:hint="eastAsia" w:ascii="仿宋_GB2312" w:hAnsi="仿宋_GB2312" w:eastAsia="仿宋_GB2312" w:cs="仿宋_GB2312"/>
          <w:sz w:val="22"/>
          <w:szCs w:val="22"/>
        </w:rPr>
        <w:t>填报日期：</w:t>
      </w:r>
      <w:r>
        <w:rPr>
          <w:rFonts w:hint="eastAsia" w:ascii="仿宋_GB2312" w:hAnsi="仿宋_GB2312" w:eastAsia="仿宋_GB2312" w:cs="仿宋_GB2312"/>
          <w:sz w:val="22"/>
          <w:szCs w:val="22"/>
          <w:lang w:val="en-US" w:eastAsia="zh-CN"/>
        </w:rPr>
        <w:t>2026.6.23</w:t>
      </w:r>
      <w:r>
        <w:rPr>
          <w:rFonts w:hint="eastAsia" w:ascii="仿宋_GB2312" w:hAnsi="仿宋_GB2312" w:eastAsia="仿宋_GB2312" w:cs="仿宋_GB2312"/>
          <w:sz w:val="22"/>
          <w:szCs w:val="22"/>
        </w:rPr>
        <w:t>联系电话：</w:t>
      </w:r>
      <w:r>
        <w:rPr>
          <w:rFonts w:hint="eastAsia" w:ascii="仿宋_GB2312" w:hAnsi="仿宋_GB2312" w:eastAsia="仿宋_GB2312" w:cs="仿宋_GB2312"/>
          <w:sz w:val="22"/>
          <w:szCs w:val="22"/>
          <w:lang w:val="en-US" w:eastAsia="zh-CN"/>
        </w:rPr>
        <w:t>0730-8690022</w:t>
      </w:r>
      <w:r>
        <w:rPr>
          <w:rFonts w:hint="eastAsia" w:ascii="仿宋_GB2312" w:hAnsi="仿宋_GB2312" w:eastAsia="仿宋_GB2312" w:cs="仿宋_GB2312"/>
          <w:sz w:val="22"/>
          <w:szCs w:val="22"/>
        </w:rPr>
        <w:t xml:space="preserve">  单位负责人</w:t>
      </w:r>
      <w:r>
        <w:rPr>
          <w:rFonts w:hint="eastAsia" w:ascii="仿宋_GB2312" w:hAnsi="仿宋_GB2312" w:eastAsia="仿宋_GB2312" w:cs="仿宋_GB2312"/>
          <w:sz w:val="22"/>
          <w:szCs w:val="22"/>
          <w:lang w:eastAsia="zh-CN"/>
        </w:rPr>
        <w:t>：</w:t>
      </w:r>
    </w:p>
    <w:p w14:paraId="6A39E823">
      <w:pPr>
        <w:widowControl/>
        <w:spacing w:after="0" w:afterLines="0" w:line="400" w:lineRule="exact"/>
        <w:jc w:val="left"/>
        <w:rPr>
          <w:rFonts w:hint="eastAsia" w:ascii="黑体" w:hAnsi="黑体" w:eastAsia="黑体" w:cs="黑体"/>
          <w:sz w:val="32"/>
          <w:szCs w:val="32"/>
          <w:highlight w:val="none"/>
        </w:rPr>
      </w:pPr>
    </w:p>
    <w:p w14:paraId="05E3C5C3">
      <w:pPr>
        <w:widowControl/>
        <w:spacing w:after="0" w:afterLines="0" w:line="400" w:lineRule="exact"/>
        <w:jc w:val="left"/>
        <w:rPr>
          <w:rFonts w:hint="eastAsia" w:ascii="黑体" w:hAnsi="黑体" w:eastAsia="黑体" w:cs="黑体"/>
          <w:sz w:val="32"/>
          <w:szCs w:val="32"/>
          <w:highlight w:val="none"/>
        </w:rPr>
      </w:pPr>
    </w:p>
    <w:p w14:paraId="5A81ABF4">
      <w:pPr>
        <w:widowControl/>
        <w:spacing w:after="0" w:afterLines="0" w:line="400" w:lineRule="exact"/>
        <w:jc w:val="left"/>
        <w:rPr>
          <w:rFonts w:hint="eastAsia" w:ascii="黑体" w:hAnsi="黑体" w:eastAsia="黑体" w:cs="黑体"/>
          <w:sz w:val="32"/>
          <w:szCs w:val="32"/>
          <w:highlight w:val="none"/>
        </w:rPr>
      </w:pPr>
    </w:p>
    <w:p w14:paraId="35034117">
      <w:pPr>
        <w:widowControl/>
        <w:spacing w:after="0" w:afterLines="0" w:line="400" w:lineRule="exact"/>
        <w:jc w:val="left"/>
        <w:rPr>
          <w:rFonts w:hint="eastAsia" w:ascii="黑体" w:hAnsi="黑体" w:eastAsia="黑体" w:cs="黑体"/>
          <w:sz w:val="32"/>
          <w:szCs w:val="32"/>
          <w:highlight w:val="none"/>
        </w:rPr>
      </w:pPr>
    </w:p>
    <w:p w14:paraId="7A5357C3">
      <w:pPr>
        <w:widowControl/>
        <w:spacing w:after="0" w:afterLines="0" w:line="400" w:lineRule="exact"/>
        <w:jc w:val="left"/>
        <w:rPr>
          <w:rFonts w:hint="eastAsia" w:ascii="黑体" w:hAnsi="黑体" w:eastAsia="黑体" w:cs="黑体"/>
          <w:sz w:val="32"/>
          <w:szCs w:val="32"/>
          <w:highlight w:val="none"/>
        </w:rPr>
      </w:pPr>
    </w:p>
    <w:p w14:paraId="54E7AA17">
      <w:pPr>
        <w:widowControl/>
        <w:spacing w:after="0" w:afterLines="0" w:line="400" w:lineRule="exact"/>
        <w:jc w:val="left"/>
        <w:rPr>
          <w:rFonts w:hint="eastAsia" w:ascii="黑体" w:hAnsi="黑体" w:eastAsia="黑体" w:cs="黑体"/>
          <w:sz w:val="32"/>
          <w:szCs w:val="32"/>
          <w:highlight w:val="none"/>
        </w:rPr>
      </w:pPr>
    </w:p>
    <w:p w14:paraId="0E8317B0">
      <w:pPr>
        <w:widowControl/>
        <w:spacing w:after="0" w:afterLines="0" w:line="400" w:lineRule="exact"/>
        <w:jc w:val="left"/>
        <w:rPr>
          <w:rFonts w:hint="eastAsia" w:ascii="黑体" w:hAnsi="黑体" w:eastAsia="黑体" w:cs="黑体"/>
          <w:sz w:val="32"/>
          <w:szCs w:val="32"/>
          <w:highlight w:val="none"/>
        </w:rPr>
      </w:pPr>
    </w:p>
    <w:p w14:paraId="243EDF83">
      <w:pPr>
        <w:widowControl/>
        <w:spacing w:after="0" w:afterLines="0" w:line="400" w:lineRule="exact"/>
        <w:jc w:val="left"/>
        <w:rPr>
          <w:rFonts w:hint="eastAsia" w:ascii="黑体" w:hAnsi="黑体" w:eastAsia="黑体" w:cs="黑体"/>
          <w:sz w:val="32"/>
          <w:szCs w:val="32"/>
          <w:highlight w:val="none"/>
        </w:rPr>
      </w:pPr>
    </w:p>
    <w:p w14:paraId="4EF5C447">
      <w:pPr>
        <w:widowControl/>
        <w:spacing w:after="0" w:afterLines="0" w:line="400" w:lineRule="exact"/>
        <w:jc w:val="left"/>
        <w:rPr>
          <w:rFonts w:hint="eastAsia" w:ascii="黑体" w:hAnsi="黑体" w:eastAsia="黑体" w:cs="黑体"/>
          <w:sz w:val="32"/>
          <w:szCs w:val="32"/>
          <w:highlight w:val="none"/>
        </w:rPr>
      </w:pPr>
    </w:p>
    <w:p w14:paraId="3E622030">
      <w:pPr>
        <w:widowControl/>
        <w:spacing w:after="0" w:afterLines="0" w:line="400" w:lineRule="exact"/>
        <w:jc w:val="left"/>
        <w:rPr>
          <w:rFonts w:hint="eastAsia" w:ascii="黑体" w:hAnsi="黑体" w:eastAsia="黑体" w:cs="黑体"/>
          <w:sz w:val="32"/>
          <w:szCs w:val="32"/>
          <w:highlight w:val="none"/>
        </w:rPr>
      </w:pPr>
    </w:p>
    <w:p w14:paraId="4850FF67">
      <w:pPr>
        <w:widowControl/>
        <w:spacing w:after="0" w:afterLines="0" w:line="400" w:lineRule="exact"/>
        <w:jc w:val="left"/>
        <w:rPr>
          <w:rFonts w:hint="eastAsia" w:ascii="黑体" w:hAnsi="黑体" w:eastAsia="黑体" w:cs="黑体"/>
          <w:sz w:val="32"/>
          <w:szCs w:val="32"/>
          <w:highlight w:val="none"/>
        </w:rPr>
      </w:pPr>
    </w:p>
    <w:p w14:paraId="17A9D60E">
      <w:pPr>
        <w:widowControl/>
        <w:spacing w:after="0" w:afterLines="0" w:line="400" w:lineRule="exact"/>
        <w:jc w:val="left"/>
        <w:rPr>
          <w:rFonts w:hint="eastAsia" w:ascii="黑体" w:hAnsi="黑体" w:eastAsia="黑体" w:cs="黑体"/>
          <w:sz w:val="32"/>
          <w:szCs w:val="32"/>
          <w:highlight w:val="none"/>
        </w:rPr>
      </w:pPr>
    </w:p>
    <w:p w14:paraId="78F7EDF5">
      <w:pPr>
        <w:widowControl/>
        <w:spacing w:after="0" w:afterLines="0" w:line="400" w:lineRule="exact"/>
        <w:jc w:val="left"/>
        <w:rPr>
          <w:rFonts w:hint="eastAsia" w:ascii="黑体" w:hAnsi="黑体" w:eastAsia="黑体" w:cs="黑体"/>
          <w:sz w:val="32"/>
          <w:szCs w:val="32"/>
          <w:highlight w:val="none"/>
        </w:rPr>
      </w:pPr>
    </w:p>
    <w:p w14:paraId="3D1C6A66">
      <w:pPr>
        <w:widowControl/>
        <w:spacing w:after="0" w:afterLines="0" w:line="400" w:lineRule="exact"/>
        <w:jc w:val="left"/>
        <w:rPr>
          <w:rFonts w:hint="eastAsia" w:ascii="黑体" w:hAnsi="黑体" w:eastAsia="黑体" w:cs="黑体"/>
          <w:sz w:val="32"/>
          <w:szCs w:val="32"/>
          <w:highlight w:val="none"/>
        </w:rPr>
      </w:pPr>
    </w:p>
    <w:p w14:paraId="49CFBC0A">
      <w:pPr>
        <w:widowControl/>
        <w:spacing w:after="0" w:afterLines="0" w:line="400" w:lineRule="exact"/>
        <w:jc w:val="left"/>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4590110A">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p w14:paraId="60025B5C">
      <w:pPr>
        <w:pStyle w:val="4"/>
        <w:rPr>
          <w:rFonts w:hint="eastAsia"/>
        </w:rPr>
      </w:pPr>
    </w:p>
    <w:tbl>
      <w:tblPr>
        <w:tblStyle w:val="10"/>
        <w:tblW w:w="10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34"/>
        <w:gridCol w:w="1270"/>
        <w:gridCol w:w="1311"/>
        <w:gridCol w:w="1269"/>
        <w:gridCol w:w="716"/>
        <w:gridCol w:w="873"/>
        <w:gridCol w:w="1446"/>
      </w:tblGrid>
      <w:tr w14:paraId="2F16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0B6EB0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8999" w:type="dxa"/>
            <w:gridSpan w:val="8"/>
            <w:noWrap w:val="0"/>
            <w:vAlign w:val="center"/>
          </w:tcPr>
          <w:p w14:paraId="7627170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岳阳市智慧城管指挥中心　</w:t>
            </w:r>
          </w:p>
        </w:tc>
      </w:tr>
      <w:tr w14:paraId="3CA4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080" w:type="dxa"/>
            <w:vMerge w:val="restart"/>
            <w:noWrap w:val="0"/>
            <w:vAlign w:val="center"/>
          </w:tcPr>
          <w:p w14:paraId="7B06B56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701B8AB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14" w:type="dxa"/>
            <w:gridSpan w:val="2"/>
            <w:noWrap w:val="0"/>
            <w:vAlign w:val="center"/>
          </w:tcPr>
          <w:p w14:paraId="0485AD0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p>
        </w:tc>
        <w:tc>
          <w:tcPr>
            <w:tcW w:w="1270" w:type="dxa"/>
            <w:noWrap w:val="0"/>
            <w:vAlign w:val="center"/>
          </w:tcPr>
          <w:p w14:paraId="70AECEC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311" w:type="dxa"/>
            <w:noWrap w:val="0"/>
            <w:vAlign w:val="center"/>
          </w:tcPr>
          <w:p w14:paraId="29FAE7A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269" w:type="dxa"/>
            <w:noWrap w:val="0"/>
            <w:vAlign w:val="center"/>
          </w:tcPr>
          <w:p w14:paraId="2FB5E256">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16" w:type="dxa"/>
            <w:noWrap w:val="0"/>
            <w:vAlign w:val="center"/>
          </w:tcPr>
          <w:p w14:paraId="0467A113">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noWrap w:val="0"/>
            <w:vAlign w:val="center"/>
          </w:tcPr>
          <w:p w14:paraId="0CDE117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46" w:type="dxa"/>
            <w:noWrap w:val="0"/>
            <w:vAlign w:val="center"/>
          </w:tcPr>
          <w:p w14:paraId="1B1B09CF">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546D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080" w:type="dxa"/>
            <w:vMerge w:val="continue"/>
            <w:noWrap w:val="0"/>
            <w:vAlign w:val="center"/>
          </w:tcPr>
          <w:p w14:paraId="61437F7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2114" w:type="dxa"/>
            <w:gridSpan w:val="2"/>
            <w:noWrap w:val="0"/>
            <w:vAlign w:val="center"/>
          </w:tcPr>
          <w:p w14:paraId="62A84DD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270" w:type="dxa"/>
            <w:noWrap w:val="0"/>
            <w:vAlign w:val="center"/>
          </w:tcPr>
          <w:p w14:paraId="0C2C851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423.52</w:t>
            </w:r>
          </w:p>
        </w:tc>
        <w:tc>
          <w:tcPr>
            <w:tcW w:w="1311" w:type="dxa"/>
            <w:noWrap w:val="0"/>
            <w:vAlign w:val="center"/>
          </w:tcPr>
          <w:p w14:paraId="69221D9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983.1</w:t>
            </w:r>
          </w:p>
        </w:tc>
        <w:tc>
          <w:tcPr>
            <w:tcW w:w="1269" w:type="dxa"/>
            <w:noWrap w:val="0"/>
            <w:vAlign w:val="center"/>
          </w:tcPr>
          <w:p w14:paraId="3D4486C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961.56</w:t>
            </w:r>
          </w:p>
        </w:tc>
        <w:tc>
          <w:tcPr>
            <w:tcW w:w="716" w:type="dxa"/>
            <w:noWrap w:val="0"/>
            <w:vAlign w:val="center"/>
          </w:tcPr>
          <w:p w14:paraId="0F1C8C4F">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873" w:type="dxa"/>
            <w:noWrap w:val="0"/>
            <w:vAlign w:val="center"/>
          </w:tcPr>
          <w:p w14:paraId="3EC3A17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97.81%</w:t>
            </w:r>
          </w:p>
        </w:tc>
        <w:tc>
          <w:tcPr>
            <w:tcW w:w="1446" w:type="dxa"/>
            <w:noWrap w:val="0"/>
            <w:vAlign w:val="center"/>
          </w:tcPr>
          <w:p w14:paraId="1D347BB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9.78</w:t>
            </w:r>
          </w:p>
        </w:tc>
      </w:tr>
      <w:tr w14:paraId="0C90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080" w:type="dxa"/>
            <w:vMerge w:val="continue"/>
            <w:noWrap w:val="0"/>
            <w:vAlign w:val="center"/>
          </w:tcPr>
          <w:p w14:paraId="2EA8A3F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noWrap w:val="0"/>
            <w:vAlign w:val="center"/>
          </w:tcPr>
          <w:p w14:paraId="1D139F5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按收入性质分：</w:t>
            </w:r>
          </w:p>
        </w:tc>
        <w:tc>
          <w:tcPr>
            <w:tcW w:w="4304" w:type="dxa"/>
            <w:gridSpan w:val="4"/>
            <w:noWrap w:val="0"/>
            <w:vAlign w:val="center"/>
          </w:tcPr>
          <w:p w14:paraId="6AC88F5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14:paraId="4FC6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080" w:type="dxa"/>
            <w:vMerge w:val="continue"/>
            <w:noWrap w:val="0"/>
            <w:vAlign w:val="center"/>
          </w:tcPr>
          <w:p w14:paraId="19E7DA4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noWrap w:val="0"/>
            <w:vAlign w:val="center"/>
          </w:tcPr>
          <w:p w14:paraId="3AE0ABF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w:t>
            </w:r>
            <w:r>
              <w:rPr>
                <w:rFonts w:hint="eastAsia" w:ascii="仿宋_GB2312" w:hAnsi="仿宋_GB2312" w:eastAsia="仿宋_GB2312" w:cs="仿宋_GB2312"/>
                <w:color w:val="000000"/>
                <w:sz w:val="20"/>
                <w:szCs w:val="20"/>
                <w:highlight w:val="none"/>
                <w:lang w:val="en-US" w:eastAsia="zh-CN"/>
              </w:rPr>
              <w:t xml:space="preserve">   </w:t>
            </w:r>
            <w:r>
              <w:rPr>
                <w:rFonts w:hint="eastAsia" w:ascii="仿宋_GB2312" w:hAnsi="仿宋_GB2312" w:eastAsia="仿宋_GB2312" w:cs="仿宋_GB2312"/>
                <w:color w:val="000000"/>
                <w:sz w:val="20"/>
                <w:szCs w:val="20"/>
                <w:highlight w:val="none"/>
              </w:rPr>
              <w:t xml:space="preserve"> </w:t>
            </w:r>
            <w:r>
              <w:rPr>
                <w:rFonts w:hint="eastAsia" w:ascii="仿宋_GB2312" w:hAnsi="仿宋_GB2312" w:eastAsia="仿宋_GB2312" w:cs="仿宋_GB2312"/>
                <w:color w:val="000000"/>
                <w:sz w:val="20"/>
                <w:szCs w:val="20"/>
                <w:highlight w:val="none"/>
                <w:lang w:val="en-US" w:eastAsia="zh-CN"/>
              </w:rPr>
              <w:t xml:space="preserve"> </w:t>
            </w:r>
            <w:r>
              <w:rPr>
                <w:rFonts w:hint="eastAsia" w:ascii="仿宋_GB2312" w:hAnsi="仿宋_GB2312" w:eastAsia="仿宋_GB2312" w:cs="仿宋_GB2312"/>
                <w:color w:val="000000"/>
                <w:sz w:val="20"/>
                <w:szCs w:val="20"/>
                <w:highlight w:val="none"/>
              </w:rPr>
              <w:t>其中：  一般公共预算：</w:t>
            </w:r>
            <w:r>
              <w:rPr>
                <w:rFonts w:hint="eastAsia" w:ascii="仿宋_GB2312" w:hAnsi="仿宋_GB2312" w:eastAsia="仿宋_GB2312" w:cs="仿宋_GB2312"/>
                <w:color w:val="000000"/>
                <w:sz w:val="20"/>
                <w:szCs w:val="20"/>
                <w:highlight w:val="none"/>
                <w:lang w:val="en-US" w:eastAsia="zh-CN"/>
              </w:rPr>
              <w:t>983.1</w:t>
            </w:r>
          </w:p>
        </w:tc>
        <w:tc>
          <w:tcPr>
            <w:tcW w:w="4304" w:type="dxa"/>
            <w:gridSpan w:val="4"/>
            <w:noWrap w:val="0"/>
            <w:vAlign w:val="center"/>
          </w:tcPr>
          <w:p w14:paraId="4C6FA12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w:t>
            </w:r>
            <w:r>
              <w:rPr>
                <w:rFonts w:hint="eastAsia" w:ascii="仿宋_GB2312" w:hAnsi="仿宋_GB2312" w:eastAsia="仿宋_GB2312" w:cs="仿宋_GB2312"/>
                <w:color w:val="000000"/>
                <w:sz w:val="20"/>
                <w:szCs w:val="20"/>
                <w:highlight w:val="none"/>
                <w:lang w:val="en-US" w:eastAsia="zh-CN"/>
              </w:rPr>
              <w:t>403.25</w:t>
            </w:r>
          </w:p>
        </w:tc>
      </w:tr>
      <w:tr w14:paraId="362C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080" w:type="dxa"/>
            <w:vMerge w:val="continue"/>
            <w:noWrap w:val="0"/>
            <w:vAlign w:val="center"/>
          </w:tcPr>
          <w:p w14:paraId="11EA8BE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noWrap w:val="0"/>
            <w:vAlign w:val="center"/>
          </w:tcPr>
          <w:p w14:paraId="5D2F8FE7">
            <w:pPr>
              <w:keepNext w:val="0"/>
              <w:keepLines w:val="0"/>
              <w:pageBreakBefore w:val="0"/>
              <w:widowControl/>
              <w:kinsoku/>
              <w:wordWrap/>
              <w:overflowPunct/>
              <w:topLinePunct w:val="0"/>
              <w:autoSpaceDE/>
              <w:autoSpaceDN/>
              <w:bidi w:val="0"/>
              <w:adjustRightInd/>
              <w:snapToGrid/>
              <w:spacing w:line="300" w:lineRule="exact"/>
              <w:ind w:firstLine="1200" w:firstLineChars="6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政府性基金拨款：</w:t>
            </w:r>
          </w:p>
        </w:tc>
        <w:tc>
          <w:tcPr>
            <w:tcW w:w="4304" w:type="dxa"/>
            <w:gridSpan w:val="4"/>
            <w:noWrap w:val="0"/>
            <w:vAlign w:val="center"/>
          </w:tcPr>
          <w:p w14:paraId="3882F47F">
            <w:pPr>
              <w:keepNext w:val="0"/>
              <w:keepLines w:val="0"/>
              <w:pageBreakBefore w:val="0"/>
              <w:widowControl/>
              <w:kinsoku/>
              <w:wordWrap/>
              <w:overflowPunct/>
              <w:topLinePunct w:val="0"/>
              <w:autoSpaceDE/>
              <w:autoSpaceDN/>
              <w:bidi w:val="0"/>
              <w:adjustRightInd/>
              <w:snapToGrid/>
              <w:spacing w:line="300" w:lineRule="exact"/>
              <w:ind w:firstLine="600" w:firstLineChars="3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color w:val="000000"/>
                <w:sz w:val="20"/>
                <w:szCs w:val="20"/>
                <w:highlight w:val="none"/>
                <w:lang w:val="en-US" w:eastAsia="zh-CN"/>
              </w:rPr>
              <w:t>558.31</w:t>
            </w:r>
          </w:p>
        </w:tc>
      </w:tr>
      <w:tr w14:paraId="2579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080" w:type="dxa"/>
            <w:vMerge w:val="continue"/>
            <w:noWrap w:val="0"/>
            <w:vAlign w:val="center"/>
          </w:tcPr>
          <w:p w14:paraId="39E8201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noWrap w:val="0"/>
            <w:vAlign w:val="center"/>
          </w:tcPr>
          <w:p w14:paraId="2497F79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纳入专户管理的非税收入拨款：</w:t>
            </w:r>
          </w:p>
        </w:tc>
        <w:tc>
          <w:tcPr>
            <w:tcW w:w="4304" w:type="dxa"/>
            <w:gridSpan w:val="4"/>
            <w:noWrap w:val="0"/>
            <w:vAlign w:val="center"/>
          </w:tcPr>
          <w:p w14:paraId="7DF0396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r>
      <w:tr w14:paraId="0405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080" w:type="dxa"/>
            <w:vMerge w:val="continue"/>
            <w:noWrap w:val="0"/>
            <w:vAlign w:val="center"/>
          </w:tcPr>
          <w:p w14:paraId="1A0285F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noWrap w:val="0"/>
            <w:vAlign w:val="center"/>
          </w:tcPr>
          <w:p w14:paraId="5060CFD8">
            <w:pPr>
              <w:keepNext w:val="0"/>
              <w:keepLines w:val="0"/>
              <w:pageBreakBefore w:val="0"/>
              <w:widowControl/>
              <w:kinsoku/>
              <w:wordWrap/>
              <w:overflowPunct/>
              <w:topLinePunct w:val="0"/>
              <w:autoSpaceDE/>
              <w:autoSpaceDN/>
              <w:bidi w:val="0"/>
              <w:adjustRightInd/>
              <w:snapToGrid/>
              <w:spacing w:line="300" w:lineRule="exact"/>
              <w:ind w:firstLine="1800" w:firstLineChars="9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4304" w:type="dxa"/>
            <w:gridSpan w:val="4"/>
            <w:noWrap w:val="0"/>
            <w:vAlign w:val="center"/>
          </w:tcPr>
          <w:p w14:paraId="4321A9D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r>
      <w:tr w14:paraId="154C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080" w:type="dxa"/>
            <w:vMerge w:val="restart"/>
            <w:noWrap w:val="0"/>
            <w:vAlign w:val="center"/>
          </w:tcPr>
          <w:p w14:paraId="1E9C3D6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695" w:type="dxa"/>
            <w:gridSpan w:val="4"/>
            <w:noWrap w:val="0"/>
            <w:vAlign w:val="center"/>
          </w:tcPr>
          <w:p w14:paraId="469CCD0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预期目标</w:t>
            </w:r>
          </w:p>
        </w:tc>
        <w:tc>
          <w:tcPr>
            <w:tcW w:w="4304" w:type="dxa"/>
            <w:gridSpan w:val="4"/>
            <w:noWrap w:val="0"/>
            <w:vAlign w:val="center"/>
          </w:tcPr>
          <w:p w14:paraId="3C17316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实际完成情况　</w:t>
            </w:r>
          </w:p>
        </w:tc>
      </w:tr>
      <w:tr w14:paraId="21A6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577D1BB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noWrap w:val="0"/>
            <w:vAlign w:val="center"/>
          </w:tcPr>
          <w:p w14:paraId="79308508">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w:t>
            </w:r>
            <w:r>
              <w:rPr>
                <w:rFonts w:hint="eastAsia" w:ascii="仿宋_GB2312" w:hAnsi="仿宋_GB2312" w:eastAsia="仿宋_GB2312" w:cs="仿宋_GB2312"/>
                <w:color w:val="000000"/>
                <w:sz w:val="20"/>
                <w:szCs w:val="20"/>
                <w:highlight w:val="none"/>
              </w:rPr>
              <w:t>完成市</w:t>
            </w:r>
            <w:r>
              <w:rPr>
                <w:rFonts w:hint="eastAsia" w:ascii="仿宋_GB2312" w:hAnsi="仿宋_GB2312" w:eastAsia="仿宋_GB2312" w:cs="仿宋_GB2312"/>
                <w:color w:val="000000"/>
                <w:sz w:val="20"/>
                <w:szCs w:val="20"/>
                <w:highlight w:val="none"/>
                <w:lang w:eastAsia="zh-CN"/>
              </w:rPr>
              <w:t>本</w:t>
            </w:r>
            <w:r>
              <w:rPr>
                <w:rFonts w:hint="eastAsia" w:ascii="仿宋_GB2312" w:hAnsi="仿宋_GB2312" w:eastAsia="仿宋_GB2312" w:cs="仿宋_GB2312"/>
                <w:color w:val="000000"/>
                <w:sz w:val="20"/>
                <w:szCs w:val="20"/>
                <w:highlight w:val="none"/>
              </w:rPr>
              <w:t>级智慧化城市管理系统的建设和日常维护管理工作；</w:t>
            </w:r>
          </w:p>
          <w:p w14:paraId="609A6CD5">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2、</w:t>
            </w:r>
            <w:r>
              <w:rPr>
                <w:rFonts w:hint="eastAsia" w:ascii="仿宋_GB2312" w:hAnsi="仿宋_GB2312" w:eastAsia="仿宋_GB2312" w:cs="仿宋_GB2312"/>
                <w:color w:val="000000"/>
                <w:sz w:val="20"/>
                <w:szCs w:val="20"/>
                <w:highlight w:val="none"/>
              </w:rPr>
              <w:t>完成市城市管理信息网和岳阳城管微信公众号的建设和运行管理工作</w:t>
            </w:r>
            <w:r>
              <w:rPr>
                <w:rFonts w:hint="eastAsia" w:ascii="仿宋_GB2312" w:hAnsi="仿宋_GB2312" w:eastAsia="仿宋_GB2312" w:cs="仿宋_GB2312"/>
                <w:color w:val="000000"/>
                <w:sz w:val="20"/>
                <w:szCs w:val="20"/>
                <w:highlight w:val="none"/>
                <w:lang w:eastAsia="zh-CN"/>
              </w:rPr>
              <w:t>；</w:t>
            </w:r>
          </w:p>
          <w:p w14:paraId="10AF70B6">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firstLine="400" w:firstLineChars="200"/>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rPr>
              <w:t>完成市城区智慧化城市管理监督、指挥、调度和考核的事务性工作</w:t>
            </w:r>
            <w:r>
              <w:rPr>
                <w:rFonts w:hint="eastAsia" w:ascii="仿宋_GB2312" w:hAnsi="仿宋_GB2312" w:eastAsia="仿宋_GB2312" w:cs="仿宋_GB2312"/>
                <w:color w:val="000000"/>
                <w:sz w:val="20"/>
                <w:szCs w:val="20"/>
                <w:highlight w:val="none"/>
                <w:lang w:eastAsia="zh-CN"/>
              </w:rPr>
              <w:t>，并完成</w:t>
            </w:r>
            <w:r>
              <w:rPr>
                <w:rFonts w:hint="eastAsia" w:ascii="仿宋_GB2312" w:hAnsi="仿宋_GB2312" w:eastAsia="仿宋_GB2312" w:cs="仿宋_GB2312"/>
                <w:color w:val="000000"/>
                <w:sz w:val="20"/>
                <w:szCs w:val="20"/>
                <w:highlight w:val="none"/>
              </w:rPr>
              <w:t>城市管理各类信息的收集、分析和整理</w:t>
            </w:r>
            <w:r>
              <w:rPr>
                <w:rFonts w:hint="eastAsia" w:ascii="仿宋_GB2312" w:hAnsi="仿宋_GB2312" w:eastAsia="仿宋_GB2312" w:cs="仿宋_GB2312"/>
                <w:color w:val="000000"/>
                <w:sz w:val="20"/>
                <w:szCs w:val="20"/>
                <w:highlight w:val="none"/>
                <w:lang w:eastAsia="zh-CN"/>
              </w:rPr>
              <w:t>；</w:t>
            </w:r>
          </w:p>
          <w:p w14:paraId="59F415BB">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firstLine="400" w:firstLineChars="200"/>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4、</w:t>
            </w:r>
            <w:r>
              <w:rPr>
                <w:rFonts w:hint="eastAsia" w:ascii="仿宋_GB2312" w:hAnsi="仿宋_GB2312" w:eastAsia="仿宋_GB2312" w:cs="仿宋_GB2312"/>
                <w:color w:val="000000"/>
                <w:sz w:val="20"/>
                <w:szCs w:val="20"/>
                <w:highlight w:val="none"/>
              </w:rPr>
              <w:t>完成办理城市管理问题投诉、举报和12345公众服务热线转办件的行政辅助性工作</w:t>
            </w:r>
            <w:r>
              <w:rPr>
                <w:rFonts w:hint="eastAsia" w:ascii="仿宋_GB2312" w:hAnsi="仿宋_GB2312" w:eastAsia="仿宋_GB2312" w:cs="仿宋_GB2312"/>
                <w:color w:val="000000"/>
                <w:sz w:val="20"/>
                <w:szCs w:val="20"/>
                <w:highlight w:val="none"/>
                <w:lang w:eastAsia="zh-CN"/>
              </w:rPr>
              <w:t>；</w:t>
            </w:r>
          </w:p>
          <w:p w14:paraId="7F60E0BC">
            <w:pPr>
              <w:keepNext w:val="0"/>
              <w:keepLines w:val="0"/>
              <w:pageBreakBefore w:val="0"/>
              <w:widowControl/>
              <w:numPr>
                <w:ilvl w:val="0"/>
                <w:numId w:val="0"/>
              </w:numPr>
              <w:kinsoku/>
              <w:wordWrap/>
              <w:overflowPunct/>
              <w:topLinePunct w:val="0"/>
              <w:autoSpaceDE/>
              <w:autoSpaceDN/>
              <w:bidi w:val="0"/>
              <w:adjustRightInd/>
              <w:snapToGrid/>
              <w:spacing w:line="300" w:lineRule="exact"/>
              <w:ind w:leftChars="0" w:firstLine="400" w:firstLineChars="200"/>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完成市城市管理和综合执法</w:t>
            </w:r>
            <w:r>
              <w:rPr>
                <w:rFonts w:hint="eastAsia" w:ascii="仿宋_GB2312" w:hAnsi="仿宋_GB2312" w:eastAsia="仿宋_GB2312" w:cs="仿宋_GB2312"/>
                <w:color w:val="000000"/>
                <w:sz w:val="20"/>
                <w:szCs w:val="20"/>
                <w:highlight w:val="none"/>
                <w:lang w:eastAsia="zh-CN"/>
              </w:rPr>
              <w:t>局</w:t>
            </w:r>
            <w:r>
              <w:rPr>
                <w:rFonts w:hint="eastAsia" w:ascii="仿宋_GB2312" w:hAnsi="仿宋_GB2312" w:eastAsia="仿宋_GB2312" w:cs="仿宋_GB2312"/>
                <w:color w:val="000000"/>
                <w:sz w:val="20"/>
                <w:szCs w:val="20"/>
                <w:highlight w:val="none"/>
              </w:rPr>
              <w:t>交办的其他工作。　　</w:t>
            </w:r>
          </w:p>
        </w:tc>
        <w:tc>
          <w:tcPr>
            <w:tcW w:w="4304" w:type="dxa"/>
            <w:gridSpan w:val="4"/>
            <w:noWrap w:val="0"/>
            <w:vAlign w:val="center"/>
          </w:tcPr>
          <w:p w14:paraId="170CFCBB">
            <w:pPr>
              <w:keepNext w:val="0"/>
              <w:keepLines w:val="0"/>
              <w:pageBreakBefore w:val="0"/>
              <w:widowControl/>
              <w:numPr>
                <w:ilvl w:val="0"/>
                <w:numId w:val="0"/>
              </w:numPr>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w:t>
            </w:r>
            <w:r>
              <w:rPr>
                <w:rFonts w:hint="eastAsia" w:ascii="仿宋_GB2312" w:hAnsi="仿宋_GB2312" w:eastAsia="仿宋_GB2312" w:cs="仿宋_GB2312"/>
                <w:color w:val="000000"/>
                <w:sz w:val="20"/>
                <w:szCs w:val="20"/>
                <w:highlight w:val="none"/>
              </w:rPr>
              <w:t>完成</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市</w:t>
            </w:r>
            <w:r>
              <w:rPr>
                <w:rFonts w:hint="eastAsia" w:ascii="仿宋_GB2312" w:hAnsi="仿宋_GB2312" w:eastAsia="仿宋_GB2312" w:cs="仿宋_GB2312"/>
                <w:color w:val="000000"/>
                <w:sz w:val="20"/>
                <w:szCs w:val="20"/>
                <w:highlight w:val="none"/>
                <w:lang w:eastAsia="zh-CN"/>
              </w:rPr>
              <w:t>本</w:t>
            </w:r>
            <w:r>
              <w:rPr>
                <w:rFonts w:hint="eastAsia" w:ascii="仿宋_GB2312" w:hAnsi="仿宋_GB2312" w:eastAsia="仿宋_GB2312" w:cs="仿宋_GB2312"/>
                <w:color w:val="000000"/>
                <w:sz w:val="20"/>
                <w:szCs w:val="20"/>
                <w:highlight w:val="none"/>
              </w:rPr>
              <w:t>级智慧化城市管理系统的建设和日常维护管理工作；</w:t>
            </w:r>
          </w:p>
          <w:p w14:paraId="21EAFA4D">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200" w:firstLineChars="100"/>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2、</w:t>
            </w:r>
            <w:r>
              <w:rPr>
                <w:rFonts w:hint="eastAsia" w:ascii="仿宋_GB2312" w:hAnsi="仿宋_GB2312" w:eastAsia="仿宋_GB2312" w:cs="仿宋_GB2312"/>
                <w:color w:val="000000"/>
                <w:sz w:val="20"/>
                <w:szCs w:val="20"/>
                <w:highlight w:val="none"/>
              </w:rPr>
              <w:t>市城市管理信息网和岳阳城管微信公众号的建设和运行管理工作</w:t>
            </w:r>
            <w:r>
              <w:rPr>
                <w:rFonts w:hint="eastAsia" w:ascii="仿宋_GB2312" w:hAnsi="仿宋_GB2312" w:eastAsia="仿宋_GB2312" w:cs="仿宋_GB2312"/>
                <w:color w:val="000000"/>
                <w:sz w:val="20"/>
                <w:szCs w:val="20"/>
                <w:highlight w:val="none"/>
                <w:lang w:eastAsia="zh-CN"/>
              </w:rPr>
              <w:t>稳步实施；</w:t>
            </w:r>
          </w:p>
          <w:p w14:paraId="1ACC6BDC">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200" w:firstLineChars="100"/>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rPr>
              <w:t>完成</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市城区智慧化城市管理监督、指挥、调度和考核的事务性工作</w:t>
            </w:r>
            <w:r>
              <w:rPr>
                <w:rFonts w:hint="eastAsia" w:ascii="仿宋_GB2312" w:hAnsi="仿宋_GB2312" w:eastAsia="仿宋_GB2312" w:cs="仿宋_GB2312"/>
                <w:color w:val="000000"/>
                <w:sz w:val="20"/>
                <w:szCs w:val="20"/>
                <w:highlight w:val="none"/>
                <w:lang w:eastAsia="zh-CN"/>
              </w:rPr>
              <w:t>；及时完成了</w:t>
            </w:r>
            <w:r>
              <w:rPr>
                <w:rFonts w:hint="eastAsia" w:ascii="仿宋_GB2312" w:hAnsi="仿宋_GB2312" w:eastAsia="仿宋_GB2312" w:cs="仿宋_GB2312"/>
                <w:color w:val="000000"/>
                <w:sz w:val="20"/>
                <w:szCs w:val="20"/>
                <w:highlight w:val="none"/>
              </w:rPr>
              <w:t>城市管理各类信息的收集、分析和整理</w:t>
            </w:r>
            <w:r>
              <w:rPr>
                <w:rFonts w:hint="eastAsia" w:ascii="仿宋_GB2312" w:hAnsi="仿宋_GB2312" w:eastAsia="仿宋_GB2312" w:cs="仿宋_GB2312"/>
                <w:color w:val="000000"/>
                <w:sz w:val="20"/>
                <w:szCs w:val="20"/>
                <w:highlight w:val="none"/>
                <w:lang w:eastAsia="zh-CN"/>
              </w:rPr>
              <w:t>工作；</w:t>
            </w:r>
          </w:p>
          <w:p w14:paraId="565CF520">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200" w:firstLineChars="100"/>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4、及时</w:t>
            </w:r>
            <w:r>
              <w:rPr>
                <w:rFonts w:hint="eastAsia" w:ascii="仿宋_GB2312" w:hAnsi="仿宋_GB2312" w:eastAsia="仿宋_GB2312" w:cs="仿宋_GB2312"/>
                <w:color w:val="000000"/>
                <w:sz w:val="20"/>
                <w:szCs w:val="20"/>
                <w:highlight w:val="none"/>
              </w:rPr>
              <w:t>完成</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城市管理问题投诉、举报和12345公众服务热线转办件的行政辅助性工作</w:t>
            </w:r>
            <w:r>
              <w:rPr>
                <w:rFonts w:hint="eastAsia" w:ascii="仿宋_GB2312" w:hAnsi="仿宋_GB2312" w:eastAsia="仿宋_GB2312" w:cs="仿宋_GB2312"/>
                <w:color w:val="000000"/>
                <w:sz w:val="20"/>
                <w:szCs w:val="20"/>
                <w:highlight w:val="none"/>
                <w:lang w:eastAsia="zh-CN"/>
              </w:rPr>
              <w:t>；</w:t>
            </w:r>
          </w:p>
          <w:p w14:paraId="519EC510">
            <w:pPr>
              <w:keepNext w:val="0"/>
              <w:keepLines w:val="0"/>
              <w:pageBreakBefore w:val="0"/>
              <w:widowControl/>
              <w:kinsoku/>
              <w:wordWrap/>
              <w:overflowPunct/>
              <w:topLinePunct w:val="0"/>
              <w:autoSpaceDE/>
              <w:autoSpaceDN/>
              <w:bidi w:val="0"/>
              <w:adjustRightInd/>
              <w:snapToGrid/>
              <w:spacing w:line="300" w:lineRule="exact"/>
              <w:ind w:firstLine="200" w:firstLineChars="1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完成</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市城市管理和综合执法</w:t>
            </w:r>
            <w:r>
              <w:rPr>
                <w:rFonts w:hint="eastAsia" w:ascii="仿宋_GB2312" w:hAnsi="仿宋_GB2312" w:eastAsia="仿宋_GB2312" w:cs="仿宋_GB2312"/>
                <w:color w:val="000000"/>
                <w:sz w:val="20"/>
                <w:szCs w:val="20"/>
                <w:highlight w:val="none"/>
                <w:lang w:eastAsia="zh-CN"/>
              </w:rPr>
              <w:t>局</w:t>
            </w:r>
            <w:r>
              <w:rPr>
                <w:rFonts w:hint="eastAsia" w:ascii="仿宋_GB2312" w:hAnsi="仿宋_GB2312" w:eastAsia="仿宋_GB2312" w:cs="仿宋_GB2312"/>
                <w:color w:val="000000"/>
                <w:sz w:val="20"/>
                <w:szCs w:val="20"/>
                <w:highlight w:val="none"/>
              </w:rPr>
              <w:t>交办的其他工作。　　</w:t>
            </w:r>
          </w:p>
        </w:tc>
      </w:tr>
      <w:tr w14:paraId="2C26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noWrap w:val="0"/>
            <w:vAlign w:val="center"/>
          </w:tcPr>
          <w:p w14:paraId="294F6D2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73042DE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748F4F2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65E2797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26BE810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080" w:type="dxa"/>
            <w:noWrap w:val="0"/>
            <w:vAlign w:val="center"/>
          </w:tcPr>
          <w:p w14:paraId="2059835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34" w:type="dxa"/>
            <w:noWrap w:val="0"/>
            <w:vAlign w:val="center"/>
          </w:tcPr>
          <w:p w14:paraId="7196D89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70" w:type="dxa"/>
            <w:noWrap w:val="0"/>
            <w:vAlign w:val="center"/>
          </w:tcPr>
          <w:p w14:paraId="5294726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311" w:type="dxa"/>
            <w:noWrap w:val="0"/>
            <w:vAlign w:val="center"/>
          </w:tcPr>
          <w:p w14:paraId="07E57007">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269" w:type="dxa"/>
            <w:noWrap w:val="0"/>
            <w:vAlign w:val="center"/>
          </w:tcPr>
          <w:p w14:paraId="0DD45B1D">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16" w:type="dxa"/>
            <w:noWrap w:val="0"/>
            <w:vAlign w:val="center"/>
          </w:tcPr>
          <w:p w14:paraId="7C63E3B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noWrap w:val="0"/>
            <w:vAlign w:val="center"/>
          </w:tcPr>
          <w:p w14:paraId="1A290C2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46" w:type="dxa"/>
            <w:noWrap w:val="0"/>
            <w:vAlign w:val="center"/>
          </w:tcPr>
          <w:p w14:paraId="7892061B">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524C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2" w:hRule="atLeast"/>
          <w:jc w:val="center"/>
        </w:trPr>
        <w:tc>
          <w:tcPr>
            <w:tcW w:w="1080" w:type="dxa"/>
            <w:vMerge w:val="continue"/>
            <w:noWrap w:val="0"/>
            <w:vAlign w:val="center"/>
          </w:tcPr>
          <w:p w14:paraId="521F45F3">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0BFBA99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5A5A624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p w14:paraId="2B1582A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34" w:type="dxa"/>
            <w:vMerge w:val="restart"/>
            <w:noWrap w:val="0"/>
            <w:vAlign w:val="center"/>
          </w:tcPr>
          <w:p w14:paraId="07EDF34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70" w:type="dxa"/>
            <w:noWrap w:val="0"/>
            <w:vAlign w:val="center"/>
          </w:tcPr>
          <w:p w14:paraId="52DA8AE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信息采集数量</w:t>
            </w:r>
          </w:p>
        </w:tc>
        <w:tc>
          <w:tcPr>
            <w:tcW w:w="1311" w:type="dxa"/>
            <w:noWrap w:val="0"/>
            <w:vAlign w:val="center"/>
          </w:tcPr>
          <w:p w14:paraId="5ADDA25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≥900条/天</w:t>
            </w:r>
          </w:p>
        </w:tc>
        <w:tc>
          <w:tcPr>
            <w:tcW w:w="1269" w:type="dxa"/>
            <w:noWrap w:val="0"/>
            <w:vAlign w:val="center"/>
          </w:tcPr>
          <w:p w14:paraId="5B56088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lang w:val="en" w:eastAsia="zh-CN"/>
              </w:rPr>
              <w:t>平均</w:t>
            </w:r>
            <w:r>
              <w:rPr>
                <w:rFonts w:hint="eastAsia" w:ascii="仿宋_GB2312" w:hAnsi="仿宋_GB2312" w:eastAsia="仿宋_GB2312" w:cs="仿宋_GB2312"/>
                <w:color w:val="000000"/>
                <w:sz w:val="20"/>
                <w:szCs w:val="20"/>
                <w:highlight w:val="none"/>
                <w:lang w:val="en-US" w:eastAsia="zh-CN"/>
              </w:rPr>
              <w:t>1010</w:t>
            </w:r>
            <w:r>
              <w:rPr>
                <w:rFonts w:hint="eastAsia" w:ascii="仿宋_GB2312" w:hAnsi="仿宋_GB2312" w:eastAsia="仿宋_GB2312" w:cs="仿宋_GB2312"/>
                <w:color w:val="auto"/>
                <w:sz w:val="20"/>
                <w:szCs w:val="20"/>
                <w:highlight w:val="none"/>
                <w:lang w:val="en-US" w:eastAsia="zh-CN"/>
              </w:rPr>
              <w:t>条/天</w:t>
            </w:r>
          </w:p>
        </w:tc>
        <w:tc>
          <w:tcPr>
            <w:tcW w:w="716" w:type="dxa"/>
            <w:noWrap w:val="0"/>
            <w:vAlign w:val="center"/>
          </w:tcPr>
          <w:p w14:paraId="0ED6420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3E1E4C3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6</w:t>
            </w:r>
          </w:p>
        </w:tc>
        <w:tc>
          <w:tcPr>
            <w:tcW w:w="1446" w:type="dxa"/>
            <w:noWrap w:val="0"/>
            <w:vAlign w:val="center"/>
          </w:tcPr>
          <w:p w14:paraId="4B845EC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7EC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atLeast"/>
          <w:jc w:val="center"/>
        </w:trPr>
        <w:tc>
          <w:tcPr>
            <w:tcW w:w="1080" w:type="dxa"/>
            <w:vMerge w:val="continue"/>
            <w:noWrap w:val="0"/>
            <w:vAlign w:val="center"/>
          </w:tcPr>
          <w:p w14:paraId="16707E37">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0E0B647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noWrap w:val="0"/>
            <w:vAlign w:val="center"/>
          </w:tcPr>
          <w:p w14:paraId="07A9D61E">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noWrap w:val="0"/>
            <w:vAlign w:val="center"/>
          </w:tcPr>
          <w:p w14:paraId="4A6B080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案件办理数量</w:t>
            </w:r>
          </w:p>
        </w:tc>
        <w:tc>
          <w:tcPr>
            <w:tcW w:w="1311" w:type="dxa"/>
            <w:noWrap w:val="0"/>
            <w:vAlign w:val="center"/>
          </w:tcPr>
          <w:p w14:paraId="04E6E5B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≥850条/天</w:t>
            </w:r>
          </w:p>
        </w:tc>
        <w:tc>
          <w:tcPr>
            <w:tcW w:w="1269" w:type="dxa"/>
            <w:noWrap w:val="0"/>
            <w:vAlign w:val="center"/>
          </w:tcPr>
          <w:p w14:paraId="46FDDDF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平均629</w:t>
            </w:r>
            <w:r>
              <w:rPr>
                <w:rFonts w:hint="eastAsia" w:ascii="仿宋_GB2312" w:hAnsi="仿宋_GB2312" w:eastAsia="仿宋_GB2312" w:cs="仿宋_GB2312"/>
                <w:color w:val="auto"/>
                <w:sz w:val="20"/>
                <w:szCs w:val="20"/>
                <w:highlight w:val="none"/>
                <w:lang w:val="en-US" w:eastAsia="zh-CN"/>
              </w:rPr>
              <w:t>条/天</w:t>
            </w:r>
          </w:p>
        </w:tc>
        <w:tc>
          <w:tcPr>
            <w:tcW w:w="716" w:type="dxa"/>
            <w:noWrap w:val="0"/>
            <w:vAlign w:val="center"/>
          </w:tcPr>
          <w:p w14:paraId="325A537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34CBCC3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4.8</w:t>
            </w:r>
          </w:p>
        </w:tc>
        <w:tc>
          <w:tcPr>
            <w:tcW w:w="1446" w:type="dxa"/>
            <w:noWrap w:val="0"/>
            <w:vAlign w:val="center"/>
          </w:tcPr>
          <w:p w14:paraId="5052A9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随着城市管理水平的不断提升，需办理的案件数量逐步减少，下一步合理预计年度目标数量</w:t>
            </w:r>
            <w:r>
              <w:rPr>
                <w:rFonts w:hint="eastAsia" w:ascii="仿宋_GB2312" w:hAnsi="仿宋_GB2312" w:eastAsia="仿宋_GB2312" w:cs="仿宋_GB2312"/>
                <w:color w:val="000000"/>
                <w:sz w:val="20"/>
                <w:szCs w:val="20"/>
                <w:highlight w:val="none"/>
                <w:lang w:val="en-US" w:eastAsia="zh-CN"/>
              </w:rPr>
              <w:t xml:space="preserve"> </w:t>
            </w:r>
          </w:p>
        </w:tc>
      </w:tr>
      <w:tr w14:paraId="7CDC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jc w:val="center"/>
        </w:trPr>
        <w:tc>
          <w:tcPr>
            <w:tcW w:w="1080" w:type="dxa"/>
            <w:vMerge w:val="continue"/>
            <w:noWrap w:val="0"/>
            <w:vAlign w:val="center"/>
          </w:tcPr>
          <w:p w14:paraId="766163EB">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046738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noWrap w:val="0"/>
            <w:vAlign w:val="center"/>
          </w:tcPr>
          <w:p w14:paraId="2CC931C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noWrap w:val="0"/>
            <w:vAlign w:val="center"/>
          </w:tcPr>
          <w:p w14:paraId="2FB90CE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FF0000"/>
                <w:sz w:val="20"/>
                <w:szCs w:val="20"/>
                <w:highlight w:val="none"/>
                <w:lang w:eastAsia="zh-CN"/>
              </w:rPr>
            </w:pPr>
            <w:r>
              <w:rPr>
                <w:rFonts w:hint="eastAsia" w:ascii="仿宋_GB2312" w:hAnsi="仿宋_GB2312" w:eastAsia="仿宋_GB2312" w:cs="仿宋_GB2312"/>
                <w:b w:val="0"/>
                <w:bCs w:val="0"/>
                <w:sz w:val="20"/>
                <w:szCs w:val="20"/>
              </w:rPr>
              <w:t>12345热线</w:t>
            </w:r>
            <w:r>
              <w:rPr>
                <w:rFonts w:hint="eastAsia" w:ascii="仿宋_GB2312" w:hAnsi="仿宋_GB2312" w:eastAsia="仿宋_GB2312" w:cs="仿宋_GB2312"/>
                <w:b w:val="0"/>
                <w:bCs w:val="0"/>
                <w:sz w:val="20"/>
                <w:szCs w:val="20"/>
                <w:lang w:eastAsia="zh-CN"/>
              </w:rPr>
              <w:t>办理</w:t>
            </w:r>
          </w:p>
        </w:tc>
        <w:tc>
          <w:tcPr>
            <w:tcW w:w="1311" w:type="dxa"/>
            <w:noWrap w:val="0"/>
            <w:vAlign w:val="center"/>
          </w:tcPr>
          <w:p w14:paraId="453BA878">
            <w:pPr>
              <w:keepNext w:val="0"/>
              <w:keepLines w:val="0"/>
              <w:pageBreakBefore w:val="0"/>
              <w:widowControl/>
              <w:kinsoku/>
              <w:wordWrap/>
              <w:overflowPunct/>
              <w:topLinePunct w:val="0"/>
              <w:autoSpaceDE/>
              <w:autoSpaceDN/>
              <w:bidi w:val="0"/>
              <w:adjustRightInd/>
              <w:snapToGrid/>
              <w:spacing w:line="300" w:lineRule="exact"/>
              <w:ind w:firstLine="200" w:firstLineChars="100"/>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应办尽办</w:t>
            </w:r>
          </w:p>
        </w:tc>
        <w:tc>
          <w:tcPr>
            <w:tcW w:w="1269" w:type="dxa"/>
            <w:noWrap w:val="0"/>
            <w:vAlign w:val="center"/>
          </w:tcPr>
          <w:p w14:paraId="13FC063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8508余件</w:t>
            </w:r>
          </w:p>
        </w:tc>
        <w:tc>
          <w:tcPr>
            <w:tcW w:w="716" w:type="dxa"/>
            <w:noWrap w:val="0"/>
            <w:vAlign w:val="center"/>
          </w:tcPr>
          <w:p w14:paraId="64979FA0">
            <w:pPr>
              <w:keepNext w:val="0"/>
              <w:keepLines w:val="0"/>
              <w:pageBreakBefore w:val="0"/>
              <w:widowControl/>
              <w:kinsoku/>
              <w:wordWrap/>
              <w:overflowPunct/>
              <w:topLinePunct w:val="0"/>
              <w:autoSpaceDE/>
              <w:autoSpaceDN/>
              <w:bidi w:val="0"/>
              <w:adjustRightInd/>
              <w:snapToGrid/>
              <w:spacing w:line="300" w:lineRule="exact"/>
              <w:ind w:firstLine="200" w:firstLineChars="100"/>
              <w:jc w:val="left"/>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6</w:t>
            </w:r>
          </w:p>
        </w:tc>
        <w:tc>
          <w:tcPr>
            <w:tcW w:w="873" w:type="dxa"/>
            <w:noWrap w:val="0"/>
            <w:vAlign w:val="center"/>
          </w:tcPr>
          <w:p w14:paraId="688744B0">
            <w:pPr>
              <w:keepNext w:val="0"/>
              <w:keepLines w:val="0"/>
              <w:pageBreakBefore w:val="0"/>
              <w:widowControl/>
              <w:kinsoku/>
              <w:wordWrap/>
              <w:overflowPunct/>
              <w:topLinePunct w:val="0"/>
              <w:autoSpaceDE/>
              <w:autoSpaceDN/>
              <w:bidi w:val="0"/>
              <w:adjustRightInd/>
              <w:snapToGrid/>
              <w:spacing w:line="300" w:lineRule="exact"/>
              <w:ind w:firstLine="200" w:firstLineChars="100"/>
              <w:jc w:val="left"/>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6</w:t>
            </w:r>
          </w:p>
        </w:tc>
        <w:tc>
          <w:tcPr>
            <w:tcW w:w="1446" w:type="dxa"/>
            <w:noWrap w:val="0"/>
            <w:vAlign w:val="center"/>
          </w:tcPr>
          <w:p w14:paraId="5AB64AF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FF0000"/>
                <w:sz w:val="20"/>
                <w:szCs w:val="20"/>
                <w:highlight w:val="none"/>
              </w:rPr>
            </w:pPr>
          </w:p>
        </w:tc>
      </w:tr>
      <w:tr w14:paraId="4E5C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080" w:type="dxa"/>
            <w:vMerge w:val="continue"/>
            <w:noWrap w:val="0"/>
            <w:vAlign w:val="center"/>
          </w:tcPr>
          <w:p w14:paraId="1CEAC662">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195F35E6">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noWrap w:val="0"/>
            <w:vAlign w:val="center"/>
          </w:tcPr>
          <w:p w14:paraId="42EA4B4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70" w:type="dxa"/>
            <w:noWrap w:val="0"/>
            <w:vAlign w:val="center"/>
          </w:tcPr>
          <w:p w14:paraId="5B2697F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案件办理准确率</w:t>
            </w:r>
          </w:p>
        </w:tc>
        <w:tc>
          <w:tcPr>
            <w:tcW w:w="1311" w:type="dxa"/>
            <w:noWrap w:val="0"/>
            <w:vAlign w:val="center"/>
          </w:tcPr>
          <w:p w14:paraId="05EB145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z w:val="20"/>
                <w:szCs w:val="20"/>
                <w:highlight w:val="none"/>
                <w:lang w:val="en-US" w:eastAsia="zh-CN"/>
              </w:rPr>
              <w:t>≥98%</w:t>
            </w:r>
          </w:p>
        </w:tc>
        <w:tc>
          <w:tcPr>
            <w:tcW w:w="1269" w:type="dxa"/>
            <w:noWrap w:val="0"/>
            <w:vAlign w:val="center"/>
          </w:tcPr>
          <w:p w14:paraId="4AFF9643">
            <w:pPr>
              <w:keepNext w:val="0"/>
              <w:keepLines w:val="0"/>
              <w:pageBreakBefore w:val="0"/>
              <w:widowControl/>
              <w:kinsoku/>
              <w:wordWrap/>
              <w:overflowPunct/>
              <w:topLinePunct w:val="0"/>
              <w:autoSpaceDE/>
              <w:autoSpaceDN/>
              <w:bidi w:val="0"/>
              <w:adjustRightInd/>
              <w:snapToGrid/>
              <w:spacing w:line="300" w:lineRule="exact"/>
              <w:ind w:firstLine="200" w:firstLineChars="100"/>
              <w:jc w:val="left"/>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99.5%</w:t>
            </w:r>
          </w:p>
        </w:tc>
        <w:tc>
          <w:tcPr>
            <w:tcW w:w="716" w:type="dxa"/>
            <w:noWrap w:val="0"/>
            <w:vAlign w:val="center"/>
          </w:tcPr>
          <w:p w14:paraId="5E96232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noWrap w:val="0"/>
            <w:vAlign w:val="center"/>
          </w:tcPr>
          <w:p w14:paraId="37456D9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46" w:type="dxa"/>
            <w:noWrap w:val="0"/>
            <w:vAlign w:val="center"/>
          </w:tcPr>
          <w:p w14:paraId="2B17411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FA5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80" w:type="dxa"/>
            <w:vMerge w:val="continue"/>
            <w:noWrap w:val="0"/>
            <w:vAlign w:val="center"/>
          </w:tcPr>
          <w:p w14:paraId="394B26AC">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6183B3B0">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noWrap w:val="0"/>
            <w:vAlign w:val="center"/>
          </w:tcPr>
          <w:p w14:paraId="07C89CF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noWrap w:val="0"/>
            <w:vAlign w:val="center"/>
          </w:tcPr>
          <w:p w14:paraId="4ECC83C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信息采集有效率</w:t>
            </w:r>
          </w:p>
        </w:tc>
        <w:tc>
          <w:tcPr>
            <w:tcW w:w="1311" w:type="dxa"/>
            <w:noWrap w:val="0"/>
            <w:vAlign w:val="center"/>
          </w:tcPr>
          <w:p w14:paraId="286FB6D8">
            <w:pPr>
              <w:keepNext w:val="0"/>
              <w:keepLines w:val="0"/>
              <w:pageBreakBefore w:val="0"/>
              <w:widowControl/>
              <w:kinsoku/>
              <w:wordWrap/>
              <w:overflowPunct/>
              <w:topLinePunct w:val="0"/>
              <w:autoSpaceDE/>
              <w:autoSpaceDN/>
              <w:bidi w:val="0"/>
              <w:adjustRightInd/>
              <w:snapToGrid/>
              <w:spacing w:line="300" w:lineRule="exact"/>
              <w:ind w:firstLine="400" w:firstLineChars="200"/>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auto"/>
                <w:sz w:val="20"/>
                <w:szCs w:val="20"/>
                <w:highlight w:val="none"/>
                <w:lang w:val="en-US" w:eastAsia="zh-CN"/>
              </w:rPr>
              <w:t>≥98%</w:t>
            </w:r>
          </w:p>
        </w:tc>
        <w:tc>
          <w:tcPr>
            <w:tcW w:w="1269" w:type="dxa"/>
            <w:noWrap w:val="0"/>
            <w:vAlign w:val="center"/>
          </w:tcPr>
          <w:p w14:paraId="467453FC">
            <w:pPr>
              <w:keepNext w:val="0"/>
              <w:keepLines w:val="0"/>
              <w:pageBreakBefore w:val="0"/>
              <w:widowControl/>
              <w:kinsoku/>
              <w:wordWrap/>
              <w:overflowPunct/>
              <w:topLinePunct w:val="0"/>
              <w:autoSpaceDE/>
              <w:autoSpaceDN/>
              <w:bidi w:val="0"/>
              <w:adjustRightInd/>
              <w:snapToGrid/>
              <w:spacing w:line="300" w:lineRule="exact"/>
              <w:ind w:firstLine="200" w:firstLineChars="100"/>
              <w:jc w:val="left"/>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98.7%</w:t>
            </w:r>
          </w:p>
        </w:tc>
        <w:tc>
          <w:tcPr>
            <w:tcW w:w="716" w:type="dxa"/>
            <w:noWrap w:val="0"/>
            <w:vAlign w:val="center"/>
          </w:tcPr>
          <w:p w14:paraId="71740EB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noWrap w:val="0"/>
            <w:vAlign w:val="center"/>
          </w:tcPr>
          <w:p w14:paraId="20DC5EA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46" w:type="dxa"/>
            <w:noWrap w:val="0"/>
            <w:vAlign w:val="center"/>
          </w:tcPr>
          <w:p w14:paraId="02E96A8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D95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37C8618">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251713DB">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noWrap w:val="0"/>
            <w:vAlign w:val="center"/>
          </w:tcPr>
          <w:p w14:paraId="11E4E71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noWrap w:val="0"/>
            <w:vAlign w:val="center"/>
          </w:tcPr>
          <w:p w14:paraId="630023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考核考评</w:t>
            </w:r>
            <w:r>
              <w:rPr>
                <w:rFonts w:hint="eastAsia" w:ascii="仿宋_GB2312" w:hAnsi="仿宋_GB2312" w:eastAsia="仿宋_GB2312" w:cs="仿宋_GB2312"/>
                <w:color w:val="000000"/>
                <w:sz w:val="20"/>
                <w:szCs w:val="20"/>
                <w:highlight w:val="none"/>
                <w:lang w:eastAsia="zh-CN"/>
              </w:rPr>
              <w:t>合规性</w:t>
            </w:r>
          </w:p>
        </w:tc>
        <w:tc>
          <w:tcPr>
            <w:tcW w:w="1311" w:type="dxa"/>
            <w:noWrap w:val="0"/>
            <w:vAlign w:val="center"/>
          </w:tcPr>
          <w:p w14:paraId="2266244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符合相关工作要求</w:t>
            </w:r>
          </w:p>
        </w:tc>
        <w:tc>
          <w:tcPr>
            <w:tcW w:w="1269" w:type="dxa"/>
            <w:noWrap w:val="0"/>
            <w:vAlign w:val="center"/>
          </w:tcPr>
          <w:p w14:paraId="61D9653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均</w:t>
            </w:r>
            <w:r>
              <w:rPr>
                <w:rFonts w:hint="eastAsia" w:ascii="仿宋_GB2312" w:hAnsi="仿宋_GB2312" w:eastAsia="仿宋_GB2312" w:cs="仿宋_GB2312"/>
                <w:color w:val="000000"/>
                <w:sz w:val="20"/>
                <w:szCs w:val="20"/>
                <w:highlight w:val="none"/>
              </w:rPr>
              <w:t>符合相关工作要求</w:t>
            </w:r>
          </w:p>
        </w:tc>
        <w:tc>
          <w:tcPr>
            <w:tcW w:w="716" w:type="dxa"/>
            <w:noWrap w:val="0"/>
            <w:vAlign w:val="center"/>
          </w:tcPr>
          <w:p w14:paraId="5EC05D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73" w:type="dxa"/>
            <w:noWrap w:val="0"/>
            <w:vAlign w:val="center"/>
          </w:tcPr>
          <w:p w14:paraId="7B3C43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46" w:type="dxa"/>
            <w:noWrap w:val="0"/>
            <w:vAlign w:val="center"/>
          </w:tcPr>
          <w:p w14:paraId="5F39030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310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3DE5717">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6AF7C49">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noWrap w:val="0"/>
            <w:vAlign w:val="center"/>
          </w:tcPr>
          <w:p w14:paraId="6EF50AC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70" w:type="dxa"/>
            <w:noWrap w:val="0"/>
            <w:vAlign w:val="center"/>
          </w:tcPr>
          <w:p w14:paraId="23BA47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信息核查及时率</w:t>
            </w:r>
          </w:p>
        </w:tc>
        <w:tc>
          <w:tcPr>
            <w:tcW w:w="1311" w:type="dxa"/>
            <w:noWrap w:val="0"/>
            <w:vAlign w:val="center"/>
          </w:tcPr>
          <w:p w14:paraId="2530FBBE">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z w:val="20"/>
                <w:szCs w:val="20"/>
                <w:highlight w:val="none"/>
                <w:lang w:val="en-US" w:eastAsia="zh-CN"/>
              </w:rPr>
              <w:t>≥98%</w:t>
            </w:r>
          </w:p>
        </w:tc>
        <w:tc>
          <w:tcPr>
            <w:tcW w:w="1269" w:type="dxa"/>
            <w:noWrap w:val="0"/>
            <w:vAlign w:val="center"/>
          </w:tcPr>
          <w:p w14:paraId="2C3CB177">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
              </w:rPr>
            </w:pPr>
            <w:r>
              <w:rPr>
                <w:rFonts w:hint="default" w:ascii="仿宋_GB2312" w:hAnsi="仿宋_GB2312" w:eastAsia="仿宋_GB2312" w:cs="仿宋_GB2312"/>
                <w:color w:val="000000"/>
                <w:sz w:val="20"/>
                <w:szCs w:val="20"/>
                <w:highlight w:val="none"/>
                <w:lang w:val="en"/>
              </w:rPr>
              <w:t>100%</w:t>
            </w:r>
          </w:p>
        </w:tc>
        <w:tc>
          <w:tcPr>
            <w:tcW w:w="716" w:type="dxa"/>
            <w:noWrap w:val="0"/>
            <w:vAlign w:val="center"/>
          </w:tcPr>
          <w:p w14:paraId="281B95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2461FE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46" w:type="dxa"/>
            <w:noWrap w:val="0"/>
            <w:vAlign w:val="center"/>
          </w:tcPr>
          <w:p w14:paraId="47EA0D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832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6F8B6053">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59E76E4B">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noWrap w:val="0"/>
            <w:vAlign w:val="center"/>
          </w:tcPr>
          <w:p w14:paraId="573EFDB6">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noWrap w:val="0"/>
            <w:vAlign w:val="center"/>
          </w:tcPr>
          <w:p w14:paraId="45BD915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案件办理及时率</w:t>
            </w:r>
          </w:p>
        </w:tc>
        <w:tc>
          <w:tcPr>
            <w:tcW w:w="1311" w:type="dxa"/>
            <w:noWrap w:val="0"/>
            <w:vAlign w:val="center"/>
          </w:tcPr>
          <w:p w14:paraId="287D1431">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z w:val="20"/>
                <w:szCs w:val="20"/>
                <w:highlight w:val="none"/>
                <w:lang w:val="en-US" w:eastAsia="zh-CN"/>
              </w:rPr>
              <w:t>≥98%</w:t>
            </w:r>
          </w:p>
        </w:tc>
        <w:tc>
          <w:tcPr>
            <w:tcW w:w="1269" w:type="dxa"/>
            <w:noWrap w:val="0"/>
            <w:vAlign w:val="center"/>
          </w:tcPr>
          <w:p w14:paraId="7AA8587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 xml:space="preserve">   99.4%</w:t>
            </w:r>
          </w:p>
        </w:tc>
        <w:tc>
          <w:tcPr>
            <w:tcW w:w="716" w:type="dxa"/>
            <w:noWrap w:val="0"/>
            <w:vAlign w:val="center"/>
          </w:tcPr>
          <w:p w14:paraId="67CC28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127BA0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46" w:type="dxa"/>
            <w:noWrap w:val="0"/>
            <w:vAlign w:val="center"/>
          </w:tcPr>
          <w:p w14:paraId="0A79787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4E42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noWrap w:val="0"/>
            <w:vAlign w:val="center"/>
          </w:tcPr>
          <w:p w14:paraId="5BAD4AF7">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1CA3983F">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noWrap w:val="0"/>
            <w:vAlign w:val="center"/>
          </w:tcPr>
          <w:p w14:paraId="670D0A1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70" w:type="dxa"/>
            <w:noWrap w:val="0"/>
            <w:vAlign w:val="center"/>
          </w:tcPr>
          <w:p w14:paraId="04FF759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对自然生态环境造成的负面影响</w:t>
            </w:r>
          </w:p>
        </w:tc>
        <w:tc>
          <w:tcPr>
            <w:tcW w:w="1311" w:type="dxa"/>
            <w:noWrap w:val="0"/>
            <w:vAlign w:val="center"/>
          </w:tcPr>
          <w:p w14:paraId="40244D0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1269" w:type="dxa"/>
            <w:noWrap w:val="0"/>
            <w:vAlign w:val="center"/>
          </w:tcPr>
          <w:p w14:paraId="0F72793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无负面影响</w:t>
            </w:r>
          </w:p>
        </w:tc>
        <w:tc>
          <w:tcPr>
            <w:tcW w:w="716" w:type="dxa"/>
            <w:noWrap w:val="0"/>
            <w:vAlign w:val="center"/>
          </w:tcPr>
          <w:p w14:paraId="2D642B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
              </w:rPr>
            </w:pPr>
            <w:r>
              <w:rPr>
                <w:rFonts w:hint="default" w:ascii="仿宋_GB2312" w:hAnsi="仿宋_GB2312" w:eastAsia="仿宋_GB2312" w:cs="仿宋_GB2312"/>
                <w:color w:val="000000"/>
                <w:sz w:val="20"/>
                <w:szCs w:val="20"/>
                <w:highlight w:val="none"/>
                <w:lang w:val="en"/>
              </w:rPr>
              <w:t>3</w:t>
            </w:r>
          </w:p>
        </w:tc>
        <w:tc>
          <w:tcPr>
            <w:tcW w:w="873" w:type="dxa"/>
            <w:noWrap w:val="0"/>
            <w:vAlign w:val="center"/>
          </w:tcPr>
          <w:p w14:paraId="5D073A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
              </w:rPr>
            </w:pPr>
            <w:r>
              <w:rPr>
                <w:rFonts w:hint="default" w:ascii="仿宋_GB2312" w:hAnsi="仿宋_GB2312" w:eastAsia="仿宋_GB2312" w:cs="仿宋_GB2312"/>
                <w:color w:val="000000"/>
                <w:sz w:val="20"/>
                <w:szCs w:val="20"/>
                <w:highlight w:val="none"/>
                <w:lang w:val="en"/>
              </w:rPr>
              <w:t>3</w:t>
            </w:r>
          </w:p>
        </w:tc>
        <w:tc>
          <w:tcPr>
            <w:tcW w:w="1446" w:type="dxa"/>
            <w:noWrap w:val="0"/>
            <w:vAlign w:val="center"/>
          </w:tcPr>
          <w:p w14:paraId="4E221F0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3426F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80" w:type="dxa"/>
            <w:vMerge w:val="continue"/>
            <w:noWrap w:val="0"/>
            <w:vAlign w:val="center"/>
          </w:tcPr>
          <w:p w14:paraId="26B16C29">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2D147B36">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noWrap w:val="0"/>
            <w:vAlign w:val="center"/>
          </w:tcPr>
          <w:p w14:paraId="5F37AAD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noWrap w:val="0"/>
            <w:vAlign w:val="center"/>
          </w:tcPr>
          <w:p w14:paraId="747C4F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对社会发展可能造成的负面影响</w:t>
            </w:r>
          </w:p>
        </w:tc>
        <w:tc>
          <w:tcPr>
            <w:tcW w:w="1311" w:type="dxa"/>
            <w:noWrap w:val="0"/>
            <w:vAlign w:val="center"/>
          </w:tcPr>
          <w:p w14:paraId="0B2B725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无负面影响</w:t>
            </w:r>
          </w:p>
        </w:tc>
        <w:tc>
          <w:tcPr>
            <w:tcW w:w="1269" w:type="dxa"/>
            <w:noWrap w:val="0"/>
            <w:vAlign w:val="center"/>
          </w:tcPr>
          <w:p w14:paraId="713AE4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无负面影响</w:t>
            </w:r>
          </w:p>
        </w:tc>
        <w:tc>
          <w:tcPr>
            <w:tcW w:w="716" w:type="dxa"/>
            <w:noWrap w:val="0"/>
            <w:vAlign w:val="center"/>
          </w:tcPr>
          <w:p w14:paraId="144FFA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
              </w:rPr>
            </w:pPr>
            <w:r>
              <w:rPr>
                <w:rFonts w:hint="default" w:ascii="仿宋_GB2312" w:hAnsi="仿宋_GB2312" w:eastAsia="仿宋_GB2312" w:cs="仿宋_GB2312"/>
                <w:color w:val="000000"/>
                <w:sz w:val="20"/>
                <w:szCs w:val="20"/>
                <w:highlight w:val="none"/>
                <w:lang w:val="en"/>
              </w:rPr>
              <w:t>3</w:t>
            </w:r>
          </w:p>
        </w:tc>
        <w:tc>
          <w:tcPr>
            <w:tcW w:w="873" w:type="dxa"/>
            <w:noWrap w:val="0"/>
            <w:vAlign w:val="center"/>
          </w:tcPr>
          <w:p w14:paraId="56A361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
              </w:rPr>
            </w:pPr>
            <w:r>
              <w:rPr>
                <w:rFonts w:hint="default" w:ascii="仿宋_GB2312" w:hAnsi="仿宋_GB2312" w:eastAsia="仿宋_GB2312" w:cs="仿宋_GB2312"/>
                <w:color w:val="000000"/>
                <w:sz w:val="20"/>
                <w:szCs w:val="20"/>
                <w:highlight w:val="none"/>
                <w:lang w:val="en"/>
              </w:rPr>
              <w:t>3</w:t>
            </w:r>
          </w:p>
        </w:tc>
        <w:tc>
          <w:tcPr>
            <w:tcW w:w="1446" w:type="dxa"/>
            <w:noWrap w:val="0"/>
            <w:vAlign w:val="center"/>
          </w:tcPr>
          <w:p w14:paraId="7154ADF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1813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noWrap w:val="0"/>
            <w:vAlign w:val="center"/>
          </w:tcPr>
          <w:p w14:paraId="2CEF4FE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214F7A5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noWrap w:val="0"/>
            <w:vAlign w:val="center"/>
          </w:tcPr>
          <w:p w14:paraId="2272816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noWrap w:val="0"/>
            <w:vAlign w:val="center"/>
          </w:tcPr>
          <w:p w14:paraId="1F20C1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单位运行</w:t>
            </w:r>
            <w:r>
              <w:rPr>
                <w:rFonts w:hint="eastAsia" w:ascii="仿宋_GB2312" w:hAnsi="仿宋_GB2312" w:eastAsia="仿宋_GB2312" w:cs="仿宋_GB2312"/>
                <w:color w:val="000000"/>
                <w:sz w:val="20"/>
                <w:szCs w:val="20"/>
                <w:highlight w:val="none"/>
              </w:rPr>
              <w:t>成本</w:t>
            </w:r>
            <w:r>
              <w:rPr>
                <w:rFonts w:hint="eastAsia" w:ascii="仿宋_GB2312" w:hAnsi="仿宋_GB2312" w:eastAsia="仿宋_GB2312" w:cs="仿宋_GB2312"/>
                <w:color w:val="000000"/>
                <w:sz w:val="20"/>
                <w:szCs w:val="20"/>
                <w:highlight w:val="none"/>
                <w:lang w:eastAsia="zh-CN"/>
              </w:rPr>
              <w:t>控制</w:t>
            </w:r>
          </w:p>
        </w:tc>
        <w:tc>
          <w:tcPr>
            <w:tcW w:w="1311" w:type="dxa"/>
            <w:noWrap w:val="0"/>
            <w:vAlign w:val="center"/>
          </w:tcPr>
          <w:p w14:paraId="718A9B8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961.56万元</w:t>
            </w:r>
          </w:p>
        </w:tc>
        <w:tc>
          <w:tcPr>
            <w:tcW w:w="1269" w:type="dxa"/>
            <w:noWrap w:val="0"/>
            <w:vAlign w:val="center"/>
          </w:tcPr>
          <w:p w14:paraId="133DDC6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未超预算</w:t>
            </w:r>
          </w:p>
        </w:tc>
        <w:tc>
          <w:tcPr>
            <w:tcW w:w="716" w:type="dxa"/>
            <w:noWrap w:val="0"/>
            <w:vAlign w:val="center"/>
          </w:tcPr>
          <w:p w14:paraId="0A3CF1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4</w:t>
            </w:r>
          </w:p>
        </w:tc>
        <w:tc>
          <w:tcPr>
            <w:tcW w:w="873" w:type="dxa"/>
            <w:noWrap w:val="0"/>
            <w:vAlign w:val="center"/>
          </w:tcPr>
          <w:p w14:paraId="54CC45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4</w:t>
            </w:r>
          </w:p>
        </w:tc>
        <w:tc>
          <w:tcPr>
            <w:tcW w:w="1446" w:type="dxa"/>
            <w:noWrap w:val="0"/>
            <w:vAlign w:val="center"/>
          </w:tcPr>
          <w:p w14:paraId="345F287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FE3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7DCFAE85">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3CB798F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7227E56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p w14:paraId="31F9983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3E398C9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34" w:type="dxa"/>
            <w:noWrap w:val="0"/>
            <w:vAlign w:val="center"/>
          </w:tcPr>
          <w:p w14:paraId="53C8984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1813095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noWrap w:val="0"/>
            <w:vAlign w:val="center"/>
          </w:tcPr>
          <w:p w14:paraId="545643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产生一定的间接经济效益</w:t>
            </w:r>
          </w:p>
        </w:tc>
        <w:tc>
          <w:tcPr>
            <w:tcW w:w="1311" w:type="dxa"/>
            <w:noWrap w:val="0"/>
            <w:vAlign w:val="center"/>
          </w:tcPr>
          <w:p w14:paraId="07366B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提升城市管理工作效率，降低城市管理成本</w:t>
            </w:r>
          </w:p>
        </w:tc>
        <w:tc>
          <w:tcPr>
            <w:tcW w:w="1269" w:type="dxa"/>
            <w:noWrap w:val="0"/>
            <w:vAlign w:val="center"/>
          </w:tcPr>
          <w:p w14:paraId="7AB5E8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及时发现，及时有效处置城市管理问题，降低维护成本</w:t>
            </w:r>
          </w:p>
        </w:tc>
        <w:tc>
          <w:tcPr>
            <w:tcW w:w="716" w:type="dxa"/>
            <w:noWrap w:val="0"/>
            <w:vAlign w:val="center"/>
          </w:tcPr>
          <w:p w14:paraId="429E39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2AD665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46" w:type="dxa"/>
            <w:noWrap w:val="0"/>
            <w:vAlign w:val="center"/>
          </w:tcPr>
          <w:p w14:paraId="7F22BB9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68D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vMerge w:val="continue"/>
            <w:noWrap w:val="0"/>
            <w:vAlign w:val="center"/>
          </w:tcPr>
          <w:p w14:paraId="115C4D1D">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141771D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noWrap w:val="0"/>
            <w:vAlign w:val="center"/>
          </w:tcPr>
          <w:p w14:paraId="769AA3F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7E28E2E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noWrap w:val="0"/>
            <w:vAlign w:val="center"/>
          </w:tcPr>
          <w:p w14:paraId="3131ADB2">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高效处置各类城市管理事部件问题</w:t>
            </w:r>
            <w:r>
              <w:rPr>
                <w:rFonts w:hint="eastAsia" w:ascii="仿宋_GB2312" w:hAnsi="仿宋_GB2312" w:eastAsia="仿宋_GB2312" w:cs="仿宋_GB2312"/>
                <w:color w:val="000000"/>
                <w:sz w:val="20"/>
                <w:szCs w:val="20"/>
                <w:highlight w:val="none"/>
                <w:lang w:eastAsia="zh-CN"/>
              </w:rPr>
              <w:t>，提升城市公共服务水平</w:t>
            </w:r>
          </w:p>
        </w:tc>
        <w:tc>
          <w:tcPr>
            <w:tcW w:w="1311" w:type="dxa"/>
            <w:noWrap w:val="0"/>
            <w:vAlign w:val="center"/>
          </w:tcPr>
          <w:p w14:paraId="0942A6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高效处置各类城市管理事部件问题</w:t>
            </w:r>
            <w:r>
              <w:rPr>
                <w:rFonts w:hint="eastAsia" w:ascii="仿宋_GB2312" w:hAnsi="仿宋_GB2312" w:eastAsia="仿宋_GB2312" w:cs="仿宋_GB2312"/>
                <w:color w:val="000000"/>
                <w:sz w:val="20"/>
                <w:szCs w:val="20"/>
                <w:highlight w:val="none"/>
                <w:lang w:eastAsia="zh-CN"/>
              </w:rPr>
              <w:t>，提升城市公共服务水平</w:t>
            </w:r>
          </w:p>
        </w:tc>
        <w:tc>
          <w:tcPr>
            <w:tcW w:w="1269" w:type="dxa"/>
            <w:noWrap w:val="0"/>
            <w:vAlign w:val="center"/>
          </w:tcPr>
          <w:p w14:paraId="1CFC1C9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城市</w:t>
            </w:r>
            <w:r>
              <w:rPr>
                <w:rFonts w:hint="eastAsia" w:ascii="仿宋_GB2312" w:hAnsi="仿宋_GB2312" w:eastAsia="仿宋_GB2312" w:cs="仿宋_GB2312"/>
                <w:color w:val="000000"/>
                <w:sz w:val="20"/>
                <w:szCs w:val="20"/>
                <w:highlight w:val="none"/>
                <w:lang w:eastAsia="zh-CN"/>
              </w:rPr>
              <w:t>公共</w:t>
            </w:r>
            <w:r>
              <w:rPr>
                <w:rFonts w:hint="eastAsia" w:ascii="仿宋_GB2312" w:hAnsi="仿宋_GB2312" w:eastAsia="仿宋_GB2312" w:cs="仿宋_GB2312"/>
                <w:color w:val="000000"/>
                <w:sz w:val="20"/>
                <w:szCs w:val="20"/>
                <w:highlight w:val="none"/>
              </w:rPr>
              <w:t>服务</w:t>
            </w:r>
            <w:r>
              <w:rPr>
                <w:rFonts w:hint="eastAsia" w:ascii="仿宋_GB2312" w:hAnsi="仿宋_GB2312" w:eastAsia="仿宋_GB2312" w:cs="仿宋_GB2312"/>
                <w:color w:val="000000"/>
                <w:sz w:val="20"/>
                <w:szCs w:val="20"/>
                <w:highlight w:val="none"/>
                <w:lang w:eastAsia="zh-CN"/>
              </w:rPr>
              <w:t>质量和水平得到不断提升</w:t>
            </w:r>
          </w:p>
        </w:tc>
        <w:tc>
          <w:tcPr>
            <w:tcW w:w="716" w:type="dxa"/>
            <w:noWrap w:val="0"/>
            <w:vAlign w:val="center"/>
          </w:tcPr>
          <w:p w14:paraId="1CCD0A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0CABBB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46" w:type="dxa"/>
            <w:noWrap w:val="0"/>
            <w:vAlign w:val="center"/>
          </w:tcPr>
          <w:p w14:paraId="6D54CA2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部分事项离市民的要求还有一定差距，下一步加强管理，提升公共服务质量。</w:t>
            </w:r>
          </w:p>
        </w:tc>
      </w:tr>
      <w:tr w14:paraId="79DB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0EC8211">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3861E16A">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noWrap w:val="0"/>
            <w:vAlign w:val="center"/>
          </w:tcPr>
          <w:p w14:paraId="7F6AB11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5C9E7CA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noWrap w:val="0"/>
            <w:vAlign w:val="center"/>
          </w:tcPr>
          <w:p w14:paraId="03361B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城市道路污染、扬尘污染、商业噪声污染</w:t>
            </w:r>
            <w:r>
              <w:rPr>
                <w:rFonts w:hint="eastAsia" w:ascii="仿宋_GB2312" w:hAnsi="仿宋_GB2312" w:eastAsia="仿宋_GB2312" w:cs="仿宋_GB2312"/>
                <w:color w:val="000000"/>
                <w:sz w:val="20"/>
                <w:szCs w:val="20"/>
                <w:highlight w:val="none"/>
                <w:lang w:eastAsia="zh-CN"/>
              </w:rPr>
              <w:t>等问题管控</w:t>
            </w:r>
          </w:p>
        </w:tc>
        <w:tc>
          <w:tcPr>
            <w:tcW w:w="1311" w:type="dxa"/>
            <w:noWrap w:val="0"/>
            <w:vAlign w:val="center"/>
          </w:tcPr>
          <w:p w14:paraId="7CADC54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采集</w:t>
            </w:r>
            <w:r>
              <w:rPr>
                <w:rFonts w:hint="eastAsia" w:ascii="仿宋_GB2312" w:hAnsi="仿宋_GB2312" w:eastAsia="仿宋_GB2312" w:cs="仿宋_GB2312"/>
                <w:color w:val="000000"/>
                <w:sz w:val="20"/>
                <w:szCs w:val="20"/>
                <w:highlight w:val="none"/>
              </w:rPr>
              <w:t>道路污染、扬尘污染、商业噪声污染等问题，</w:t>
            </w:r>
            <w:r>
              <w:rPr>
                <w:rFonts w:hint="eastAsia" w:ascii="仿宋_GB2312" w:hAnsi="仿宋_GB2312" w:eastAsia="仿宋_GB2312" w:cs="仿宋_GB2312"/>
                <w:color w:val="000000"/>
                <w:sz w:val="20"/>
                <w:szCs w:val="20"/>
                <w:highlight w:val="none"/>
                <w:lang w:eastAsia="zh-CN"/>
              </w:rPr>
              <w:t>送相关部门及时有效处置</w:t>
            </w:r>
          </w:p>
        </w:tc>
        <w:tc>
          <w:tcPr>
            <w:tcW w:w="1269" w:type="dxa"/>
            <w:noWrap w:val="0"/>
            <w:vAlign w:val="center"/>
          </w:tcPr>
          <w:p w14:paraId="552F87D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城市生态环境不断改善</w:t>
            </w:r>
          </w:p>
        </w:tc>
        <w:tc>
          <w:tcPr>
            <w:tcW w:w="716" w:type="dxa"/>
            <w:noWrap w:val="0"/>
            <w:vAlign w:val="center"/>
          </w:tcPr>
          <w:p w14:paraId="596F3B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31069C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46" w:type="dxa"/>
            <w:noWrap w:val="0"/>
            <w:vAlign w:val="center"/>
          </w:tcPr>
          <w:p w14:paraId="689D240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B78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80" w:type="dxa"/>
            <w:vMerge w:val="continue"/>
            <w:noWrap w:val="0"/>
            <w:vAlign w:val="center"/>
          </w:tcPr>
          <w:p w14:paraId="1FF7D5C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825E86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noWrap w:val="0"/>
            <w:vAlign w:val="center"/>
          </w:tcPr>
          <w:p w14:paraId="4D07A41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70" w:type="dxa"/>
            <w:noWrap w:val="0"/>
            <w:vAlign w:val="center"/>
          </w:tcPr>
          <w:p w14:paraId="47D63E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推进信息化城市管理，提升工作效率</w:t>
            </w:r>
          </w:p>
        </w:tc>
        <w:tc>
          <w:tcPr>
            <w:tcW w:w="1311" w:type="dxa"/>
            <w:noWrap w:val="0"/>
            <w:vAlign w:val="center"/>
          </w:tcPr>
          <w:p w14:paraId="0EB7CE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提升城市管理工作效率</w:t>
            </w:r>
          </w:p>
        </w:tc>
        <w:tc>
          <w:tcPr>
            <w:tcW w:w="1269" w:type="dxa"/>
            <w:noWrap w:val="0"/>
            <w:vAlign w:val="center"/>
          </w:tcPr>
          <w:p w14:paraId="2384A14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不断提升</w:t>
            </w:r>
          </w:p>
        </w:tc>
        <w:tc>
          <w:tcPr>
            <w:tcW w:w="716" w:type="dxa"/>
            <w:noWrap w:val="0"/>
            <w:vAlign w:val="center"/>
          </w:tcPr>
          <w:p w14:paraId="7DD694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10968E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46" w:type="dxa"/>
            <w:noWrap w:val="0"/>
            <w:vAlign w:val="center"/>
          </w:tcPr>
          <w:p w14:paraId="4FBD2A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5BCD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80" w:type="dxa"/>
            <w:vMerge w:val="continue"/>
            <w:noWrap w:val="0"/>
            <w:vAlign w:val="center"/>
          </w:tcPr>
          <w:p w14:paraId="40D3F9C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7903F6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noWrap w:val="0"/>
            <w:vAlign w:val="center"/>
          </w:tcPr>
          <w:p w14:paraId="00579D7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70" w:type="dxa"/>
            <w:noWrap w:val="0"/>
            <w:vAlign w:val="center"/>
          </w:tcPr>
          <w:p w14:paraId="4B6A3F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及时</w:t>
            </w:r>
            <w:r>
              <w:rPr>
                <w:rFonts w:hint="eastAsia" w:ascii="仿宋_GB2312" w:hAnsi="仿宋_GB2312" w:eastAsia="仿宋_GB2312" w:cs="仿宋_GB2312"/>
                <w:color w:val="000000"/>
                <w:sz w:val="20"/>
                <w:szCs w:val="20"/>
                <w:highlight w:val="none"/>
              </w:rPr>
              <w:t>有效处置各类城市管理事部件问题，为市民提供良好人居环境</w:t>
            </w:r>
          </w:p>
        </w:tc>
        <w:tc>
          <w:tcPr>
            <w:tcW w:w="1311" w:type="dxa"/>
            <w:noWrap w:val="0"/>
            <w:vAlign w:val="center"/>
          </w:tcPr>
          <w:p w14:paraId="3BF8DF3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及时</w:t>
            </w:r>
            <w:r>
              <w:rPr>
                <w:rFonts w:hint="eastAsia" w:ascii="仿宋_GB2312" w:hAnsi="仿宋_GB2312" w:eastAsia="仿宋_GB2312" w:cs="仿宋_GB2312"/>
                <w:color w:val="000000"/>
                <w:sz w:val="20"/>
                <w:szCs w:val="20"/>
                <w:highlight w:val="none"/>
              </w:rPr>
              <w:t>有效处置各类城市管理事部件问题，为市民提供良好人居环境</w:t>
            </w:r>
          </w:p>
        </w:tc>
        <w:tc>
          <w:tcPr>
            <w:tcW w:w="1269" w:type="dxa"/>
            <w:noWrap w:val="0"/>
            <w:vAlign w:val="center"/>
          </w:tcPr>
          <w:p w14:paraId="1759DB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城市</w:t>
            </w:r>
            <w:r>
              <w:rPr>
                <w:rFonts w:hint="eastAsia" w:ascii="仿宋_GB2312" w:hAnsi="仿宋_GB2312" w:eastAsia="仿宋_GB2312" w:cs="仿宋_GB2312"/>
                <w:color w:val="000000"/>
                <w:sz w:val="20"/>
                <w:szCs w:val="20"/>
                <w:highlight w:val="none"/>
              </w:rPr>
              <w:t>人居环境</w:t>
            </w:r>
            <w:r>
              <w:rPr>
                <w:rFonts w:hint="eastAsia" w:ascii="仿宋_GB2312" w:hAnsi="仿宋_GB2312" w:eastAsia="仿宋_GB2312" w:cs="仿宋_GB2312"/>
                <w:color w:val="000000"/>
                <w:sz w:val="20"/>
                <w:szCs w:val="20"/>
                <w:highlight w:val="none"/>
                <w:lang w:eastAsia="zh-CN"/>
              </w:rPr>
              <w:t>明显改善</w:t>
            </w:r>
          </w:p>
        </w:tc>
        <w:tc>
          <w:tcPr>
            <w:tcW w:w="716" w:type="dxa"/>
            <w:noWrap w:val="0"/>
            <w:vAlign w:val="center"/>
          </w:tcPr>
          <w:p w14:paraId="57C2EC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4DF976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46" w:type="dxa"/>
            <w:noWrap w:val="0"/>
            <w:vAlign w:val="center"/>
          </w:tcPr>
          <w:p w14:paraId="0FF7F28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BF2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80" w:type="dxa"/>
            <w:vMerge w:val="continue"/>
            <w:noWrap w:val="0"/>
            <w:vAlign w:val="center"/>
          </w:tcPr>
          <w:p w14:paraId="0EE239FF">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noWrap w:val="0"/>
            <w:vAlign w:val="center"/>
          </w:tcPr>
          <w:p w14:paraId="1732EFA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7EFC9F9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5635C64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34" w:type="dxa"/>
            <w:noWrap w:val="0"/>
            <w:vAlign w:val="center"/>
          </w:tcPr>
          <w:p w14:paraId="261CE51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70" w:type="dxa"/>
            <w:noWrap w:val="0"/>
            <w:vAlign w:val="center"/>
          </w:tcPr>
          <w:p w14:paraId="2491444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市民满意度</w:t>
            </w:r>
          </w:p>
        </w:tc>
        <w:tc>
          <w:tcPr>
            <w:tcW w:w="1311" w:type="dxa"/>
            <w:noWrap w:val="0"/>
            <w:vAlign w:val="center"/>
          </w:tcPr>
          <w:p w14:paraId="2A05F60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96%以上</w:t>
            </w:r>
          </w:p>
        </w:tc>
        <w:tc>
          <w:tcPr>
            <w:tcW w:w="1269" w:type="dxa"/>
            <w:noWrap w:val="0"/>
            <w:vAlign w:val="center"/>
          </w:tcPr>
          <w:p w14:paraId="2FCED11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96.5%</w:t>
            </w:r>
          </w:p>
        </w:tc>
        <w:tc>
          <w:tcPr>
            <w:tcW w:w="716" w:type="dxa"/>
            <w:noWrap w:val="0"/>
            <w:vAlign w:val="center"/>
          </w:tcPr>
          <w:p w14:paraId="00668C8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noWrap w:val="0"/>
            <w:vAlign w:val="center"/>
          </w:tcPr>
          <w:p w14:paraId="609A75D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46" w:type="dxa"/>
            <w:noWrap w:val="0"/>
            <w:vAlign w:val="center"/>
          </w:tcPr>
          <w:p w14:paraId="45CBCC1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B7B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044" w:type="dxa"/>
            <w:gridSpan w:val="6"/>
            <w:noWrap w:val="0"/>
            <w:vAlign w:val="center"/>
          </w:tcPr>
          <w:p w14:paraId="4262326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16" w:type="dxa"/>
            <w:noWrap w:val="0"/>
            <w:vAlign w:val="center"/>
          </w:tcPr>
          <w:p w14:paraId="34AACBB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noWrap w:val="0"/>
            <w:vAlign w:val="center"/>
          </w:tcPr>
          <w:p w14:paraId="1DA8202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97.8</w:t>
            </w:r>
          </w:p>
        </w:tc>
        <w:tc>
          <w:tcPr>
            <w:tcW w:w="1446" w:type="dxa"/>
            <w:noWrap w:val="0"/>
            <w:vAlign w:val="center"/>
          </w:tcPr>
          <w:p w14:paraId="5AD62A1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52AFBA8C">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eastAsia="仿宋_GB2312" w:cs="Times New Roman"/>
          <w:sz w:val="22"/>
          <w:szCs w:val="22"/>
        </w:rPr>
      </w:pPr>
    </w:p>
    <w:p w14:paraId="6D0DC513">
      <w:pPr>
        <w:keepNext w:val="0"/>
        <w:keepLines w:val="0"/>
        <w:pageBreakBefore w:val="0"/>
        <w:kinsoku/>
        <w:wordWrap/>
        <w:overflowPunct/>
        <w:topLinePunct w:val="0"/>
        <w:autoSpaceDE/>
        <w:autoSpaceDN/>
        <w:bidi w:val="0"/>
        <w:adjustRightInd/>
        <w:snapToGrid/>
        <w:spacing w:line="300" w:lineRule="exact"/>
        <w:textAlignment w:val="auto"/>
        <w:rPr>
          <w:rFonts w:hint="eastAsia" w:ascii="Times New Roman" w:hAnsi="Times New Roman" w:eastAsia="仿宋_GB2312" w:cs="Times New Roman"/>
          <w:sz w:val="22"/>
          <w:szCs w:val="22"/>
          <w:lang w:eastAsia="zh-CN"/>
        </w:rPr>
      </w:pPr>
      <w:r>
        <w:rPr>
          <w:rFonts w:hint="eastAsia" w:ascii="仿宋_GB2312" w:hAnsi="仿宋_GB2312" w:eastAsia="仿宋_GB2312" w:cs="仿宋_GB2312"/>
          <w:sz w:val="22"/>
          <w:szCs w:val="22"/>
        </w:rPr>
        <w:t>填表人：</w:t>
      </w:r>
      <w:r>
        <w:rPr>
          <w:rFonts w:hint="eastAsia" w:ascii="仿宋_GB2312" w:hAnsi="仿宋_GB2312" w:eastAsia="仿宋_GB2312" w:cs="仿宋_GB2312"/>
          <w:sz w:val="22"/>
          <w:szCs w:val="22"/>
          <w:lang w:eastAsia="zh-CN"/>
        </w:rPr>
        <w:t>禹荣</w:t>
      </w:r>
      <w:r>
        <w:rPr>
          <w:rFonts w:hint="eastAsia" w:ascii="仿宋_GB2312" w:hAnsi="仿宋_GB2312" w:eastAsia="仿宋_GB2312" w:cs="仿宋_GB2312"/>
          <w:sz w:val="22"/>
          <w:szCs w:val="22"/>
          <w:lang w:val="en"/>
        </w:rPr>
        <w:t xml:space="preserve">  </w:t>
      </w:r>
      <w:r>
        <w:rPr>
          <w:rFonts w:hint="eastAsia" w:ascii="仿宋_GB2312" w:hAnsi="仿宋_GB2312" w:eastAsia="仿宋_GB2312" w:cs="仿宋_GB2312"/>
          <w:sz w:val="22"/>
          <w:szCs w:val="22"/>
        </w:rPr>
        <w:t>填报日期：</w:t>
      </w:r>
      <w:r>
        <w:rPr>
          <w:rFonts w:hint="eastAsia" w:ascii="仿宋_GB2312" w:hAnsi="仿宋_GB2312" w:eastAsia="仿宋_GB2312" w:cs="仿宋_GB2312"/>
          <w:sz w:val="22"/>
          <w:szCs w:val="22"/>
          <w:lang w:val="en-US" w:eastAsia="zh-CN"/>
        </w:rPr>
        <w:t>2026.6.23</w:t>
      </w:r>
      <w:r>
        <w:rPr>
          <w:rFonts w:hint="eastAsia" w:ascii="仿宋_GB2312" w:hAnsi="仿宋_GB2312" w:eastAsia="仿宋_GB2312" w:cs="仿宋_GB2312"/>
          <w:sz w:val="22"/>
          <w:szCs w:val="22"/>
        </w:rPr>
        <w:t xml:space="preserve"> 联系电话：</w:t>
      </w:r>
      <w:r>
        <w:rPr>
          <w:rFonts w:hint="eastAsia" w:ascii="仿宋_GB2312" w:hAnsi="仿宋_GB2312" w:eastAsia="仿宋_GB2312" w:cs="仿宋_GB2312"/>
          <w:sz w:val="22"/>
          <w:szCs w:val="22"/>
          <w:lang w:val="en-US" w:eastAsia="zh-CN"/>
        </w:rPr>
        <w:t>0730-8690022</w:t>
      </w:r>
      <w:r>
        <w:rPr>
          <w:rFonts w:hint="eastAsia" w:ascii="仿宋_GB2312" w:hAnsi="仿宋_GB2312" w:eastAsia="仿宋_GB2312" w:cs="仿宋_GB2312"/>
          <w:sz w:val="22"/>
          <w:szCs w:val="22"/>
        </w:rPr>
        <w:t xml:space="preserve">  单位负责人</w:t>
      </w:r>
      <w:r>
        <w:rPr>
          <w:rFonts w:hint="eastAsia" w:ascii="仿宋_GB2312" w:hAnsi="仿宋_GB2312" w:eastAsia="仿宋_GB2312" w:cs="仿宋_GB2312"/>
          <w:sz w:val="22"/>
          <w:szCs w:val="22"/>
          <w:lang w:eastAsia="zh-CN"/>
        </w:rPr>
        <w:t>：</w:t>
      </w:r>
    </w:p>
    <w:p w14:paraId="62579EC4">
      <w:pPr>
        <w:keepNext w:val="0"/>
        <w:keepLines w:val="0"/>
        <w:pageBreakBefore w:val="0"/>
        <w:widowControl w:val="0"/>
        <w:kinsoku/>
        <w:wordWrap/>
        <w:overflowPunct/>
        <w:topLinePunct w:val="0"/>
        <w:autoSpaceDE/>
        <w:autoSpaceDN/>
        <w:bidi w:val="0"/>
        <w:adjustRightInd/>
        <w:snapToGrid/>
        <w:spacing w:afterLines="0" w:line="360" w:lineRule="auto"/>
        <w:ind w:right="0" w:rightChars="0"/>
        <w:jc w:val="both"/>
        <w:textAlignment w:val="auto"/>
        <w:rPr>
          <w:rFonts w:hint="eastAsia" w:ascii="仿宋_GB2312" w:hAnsi="仿宋_GB2312" w:eastAsia="仿宋_GB2312" w:cs="仿宋_GB2312"/>
          <w:sz w:val="32"/>
          <w:szCs w:val="32"/>
          <w:highlight w:val="none"/>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18030">
    <w:altName w:val="URW Bookman"/>
    <w:panose1 w:val="00000000000000000000"/>
    <w:charset w:val="00"/>
    <w:family w:val="auto"/>
    <w:pitch w:val="default"/>
    <w:sig w:usb0="00000000" w:usb1="00000000" w:usb2="00000000" w:usb3="00000000" w:csb0="00000001" w:csb1="00000000"/>
  </w:font>
  <w:font w:name="URW Bookman">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FangSong_GB2312">
    <w:altName w:val="方正仿宋_GBK"/>
    <w:panose1 w:val="02010609030101010101"/>
    <w:charset w:val="86"/>
    <w:family w:val="auto"/>
    <w:pitch w:val="default"/>
    <w:sig w:usb0="00000000" w:usb1="00000000" w:usb2="00000000" w:usb3="00000000" w:csb0="00040000" w:csb1="00000000"/>
  </w:font>
  <w:font w:name="KaiTi_GB2312">
    <w:altName w:val="华文仿宋"/>
    <w:panose1 w:val="02010609030101010101"/>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2544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3F4E5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3F4E5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64F55F"/>
    <w:multiLevelType w:val="singleLevel"/>
    <w:tmpl w:val="F664F55F"/>
    <w:lvl w:ilvl="0" w:tentative="0">
      <w:start w:val="2"/>
      <w:numFmt w:val="chineseCounting"/>
      <w:suff w:val="nothing"/>
      <w:lvlText w:val="（%1）"/>
      <w:lvlJc w:val="left"/>
      <w:rPr>
        <w:rFonts w:hint="eastAsia"/>
      </w:rPr>
    </w:lvl>
  </w:abstractNum>
  <w:abstractNum w:abstractNumId="1">
    <w:nsid w:val="3D7E041D"/>
    <w:multiLevelType w:val="singleLevel"/>
    <w:tmpl w:val="3D7E041D"/>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886344"/>
    <w:rsid w:val="00247343"/>
    <w:rsid w:val="01641DCA"/>
    <w:rsid w:val="031606E2"/>
    <w:rsid w:val="03912F41"/>
    <w:rsid w:val="047C28FE"/>
    <w:rsid w:val="055714C2"/>
    <w:rsid w:val="07CF4038"/>
    <w:rsid w:val="07EB2BC8"/>
    <w:rsid w:val="08634780"/>
    <w:rsid w:val="090E0B90"/>
    <w:rsid w:val="098D1967"/>
    <w:rsid w:val="09C61F92"/>
    <w:rsid w:val="0BFDD69D"/>
    <w:rsid w:val="0C48260B"/>
    <w:rsid w:val="0DDFB3B8"/>
    <w:rsid w:val="0DFF0347"/>
    <w:rsid w:val="0E3966AF"/>
    <w:rsid w:val="0E6F5E40"/>
    <w:rsid w:val="0EFB7889"/>
    <w:rsid w:val="0F0C7CEB"/>
    <w:rsid w:val="0F1E389D"/>
    <w:rsid w:val="0F4A6ABA"/>
    <w:rsid w:val="0F7E536E"/>
    <w:rsid w:val="0FBF8B3B"/>
    <w:rsid w:val="0FD20B69"/>
    <w:rsid w:val="0FEDC698"/>
    <w:rsid w:val="0FF9048C"/>
    <w:rsid w:val="121151A2"/>
    <w:rsid w:val="14AA20B4"/>
    <w:rsid w:val="14FD240D"/>
    <w:rsid w:val="15BFC22F"/>
    <w:rsid w:val="16F7FF2F"/>
    <w:rsid w:val="176FCD33"/>
    <w:rsid w:val="17763486"/>
    <w:rsid w:val="17777180"/>
    <w:rsid w:val="177F76A5"/>
    <w:rsid w:val="179FFF6E"/>
    <w:rsid w:val="17F56292"/>
    <w:rsid w:val="17FA4EDC"/>
    <w:rsid w:val="184812E2"/>
    <w:rsid w:val="187EDF18"/>
    <w:rsid w:val="194C01BE"/>
    <w:rsid w:val="199D5F29"/>
    <w:rsid w:val="19BE5338"/>
    <w:rsid w:val="19FFE8CE"/>
    <w:rsid w:val="1A073B05"/>
    <w:rsid w:val="1AF94D60"/>
    <w:rsid w:val="1B2E450C"/>
    <w:rsid w:val="1B7F07FF"/>
    <w:rsid w:val="1B9C4323"/>
    <w:rsid w:val="1BBFE576"/>
    <w:rsid w:val="1BDFE838"/>
    <w:rsid w:val="1BFED546"/>
    <w:rsid w:val="1C4A7CD9"/>
    <w:rsid w:val="1C4E1577"/>
    <w:rsid w:val="1CFF502C"/>
    <w:rsid w:val="1D6F0942"/>
    <w:rsid w:val="1DBFE024"/>
    <w:rsid w:val="1DDE299E"/>
    <w:rsid w:val="1DEDE986"/>
    <w:rsid w:val="1DFE1B5B"/>
    <w:rsid w:val="1DFF2257"/>
    <w:rsid w:val="1DFF9C88"/>
    <w:rsid w:val="1E0D7210"/>
    <w:rsid w:val="1EB73BB1"/>
    <w:rsid w:val="1EBF068E"/>
    <w:rsid w:val="1EDEE23C"/>
    <w:rsid w:val="1EEF1766"/>
    <w:rsid w:val="1EFB9FB5"/>
    <w:rsid w:val="1FAF5BE1"/>
    <w:rsid w:val="1FD2A974"/>
    <w:rsid w:val="1FF545E1"/>
    <w:rsid w:val="1FFEC5A3"/>
    <w:rsid w:val="1FFEF5BE"/>
    <w:rsid w:val="1FFF589B"/>
    <w:rsid w:val="225B49EE"/>
    <w:rsid w:val="229B2DA2"/>
    <w:rsid w:val="23111551"/>
    <w:rsid w:val="23D305B4"/>
    <w:rsid w:val="2504136D"/>
    <w:rsid w:val="259A155B"/>
    <w:rsid w:val="25CDDFAD"/>
    <w:rsid w:val="269009DE"/>
    <w:rsid w:val="27EB1289"/>
    <w:rsid w:val="27F3738A"/>
    <w:rsid w:val="27F8A0A5"/>
    <w:rsid w:val="2A443FBA"/>
    <w:rsid w:val="2AE9690F"/>
    <w:rsid w:val="2B91322F"/>
    <w:rsid w:val="2BCE1E38"/>
    <w:rsid w:val="2BDFDAB4"/>
    <w:rsid w:val="2BE80DE3"/>
    <w:rsid w:val="2BFB146F"/>
    <w:rsid w:val="2BFE106F"/>
    <w:rsid w:val="2C8B83AB"/>
    <w:rsid w:val="2CBF3825"/>
    <w:rsid w:val="2D1C7470"/>
    <w:rsid w:val="2D962D7E"/>
    <w:rsid w:val="2DF5634E"/>
    <w:rsid w:val="2E5B27BD"/>
    <w:rsid w:val="2E6DB956"/>
    <w:rsid w:val="2E7F788C"/>
    <w:rsid w:val="2EDF1AD3"/>
    <w:rsid w:val="2EF718CD"/>
    <w:rsid w:val="2F5B8ECF"/>
    <w:rsid w:val="2F5C7FF7"/>
    <w:rsid w:val="2F7B6337"/>
    <w:rsid w:val="2F7FD54D"/>
    <w:rsid w:val="2FAC9206"/>
    <w:rsid w:val="2FB71C10"/>
    <w:rsid w:val="2FDEC40D"/>
    <w:rsid w:val="2FDFF612"/>
    <w:rsid w:val="2FF53271"/>
    <w:rsid w:val="2FFBAE80"/>
    <w:rsid w:val="2FFD6548"/>
    <w:rsid w:val="2FFF6343"/>
    <w:rsid w:val="2FFFEA84"/>
    <w:rsid w:val="30427C69"/>
    <w:rsid w:val="30607673"/>
    <w:rsid w:val="30874C00"/>
    <w:rsid w:val="30FFA157"/>
    <w:rsid w:val="31F3E9E1"/>
    <w:rsid w:val="31F63B48"/>
    <w:rsid w:val="324E3C27"/>
    <w:rsid w:val="327B2543"/>
    <w:rsid w:val="33C35A29"/>
    <w:rsid w:val="33D21F04"/>
    <w:rsid w:val="33DDF922"/>
    <w:rsid w:val="33FBCE28"/>
    <w:rsid w:val="35942299"/>
    <w:rsid w:val="35B325EF"/>
    <w:rsid w:val="35D1B424"/>
    <w:rsid w:val="35E11256"/>
    <w:rsid w:val="35FC1500"/>
    <w:rsid w:val="35FDF1E9"/>
    <w:rsid w:val="360F36CE"/>
    <w:rsid w:val="365B316D"/>
    <w:rsid w:val="365FD148"/>
    <w:rsid w:val="36806379"/>
    <w:rsid w:val="36BF15D1"/>
    <w:rsid w:val="36FCE3AE"/>
    <w:rsid w:val="375F31E4"/>
    <w:rsid w:val="379BD6C9"/>
    <w:rsid w:val="37B79F0F"/>
    <w:rsid w:val="37BE94EF"/>
    <w:rsid w:val="37FDF5AA"/>
    <w:rsid w:val="38835463"/>
    <w:rsid w:val="38C95E9F"/>
    <w:rsid w:val="390C2146"/>
    <w:rsid w:val="396F1D29"/>
    <w:rsid w:val="397E54A2"/>
    <w:rsid w:val="397F8C3C"/>
    <w:rsid w:val="3A371445"/>
    <w:rsid w:val="3AEED0F1"/>
    <w:rsid w:val="3B084B8F"/>
    <w:rsid w:val="3B1304D4"/>
    <w:rsid w:val="3B6DC358"/>
    <w:rsid w:val="3B6E25AA"/>
    <w:rsid w:val="3BB9583C"/>
    <w:rsid w:val="3BBF329D"/>
    <w:rsid w:val="3BED5609"/>
    <w:rsid w:val="3BEE1FD7"/>
    <w:rsid w:val="3BF15ADC"/>
    <w:rsid w:val="3BF7A50C"/>
    <w:rsid w:val="3BFD2D67"/>
    <w:rsid w:val="3BFF870B"/>
    <w:rsid w:val="3C1A3C0B"/>
    <w:rsid w:val="3C790F6C"/>
    <w:rsid w:val="3C9ABBCD"/>
    <w:rsid w:val="3D35D00D"/>
    <w:rsid w:val="3D4DAC05"/>
    <w:rsid w:val="3D57380F"/>
    <w:rsid w:val="3D770B95"/>
    <w:rsid w:val="3D7D974F"/>
    <w:rsid w:val="3D8D2FD3"/>
    <w:rsid w:val="3DCB25D0"/>
    <w:rsid w:val="3DCFEED9"/>
    <w:rsid w:val="3DDE286C"/>
    <w:rsid w:val="3DEA87E2"/>
    <w:rsid w:val="3DECAF2E"/>
    <w:rsid w:val="3DF1B932"/>
    <w:rsid w:val="3DFE4F9F"/>
    <w:rsid w:val="3E2F2F6E"/>
    <w:rsid w:val="3E730CFB"/>
    <w:rsid w:val="3E9EDD45"/>
    <w:rsid w:val="3EBDF5BF"/>
    <w:rsid w:val="3ECF234C"/>
    <w:rsid w:val="3EDD8225"/>
    <w:rsid w:val="3EE35516"/>
    <w:rsid w:val="3EE53DEC"/>
    <w:rsid w:val="3EFB0803"/>
    <w:rsid w:val="3EFD6A9B"/>
    <w:rsid w:val="3EFF5154"/>
    <w:rsid w:val="3EFF64AE"/>
    <w:rsid w:val="3EFF7398"/>
    <w:rsid w:val="3EFF81BB"/>
    <w:rsid w:val="3EFFBE69"/>
    <w:rsid w:val="3EFFFB0A"/>
    <w:rsid w:val="3F2B26C9"/>
    <w:rsid w:val="3F3E7611"/>
    <w:rsid w:val="3F3FC452"/>
    <w:rsid w:val="3F4B1223"/>
    <w:rsid w:val="3F6277D4"/>
    <w:rsid w:val="3F6B6649"/>
    <w:rsid w:val="3F7BFADA"/>
    <w:rsid w:val="3F7D34B7"/>
    <w:rsid w:val="3F7DD751"/>
    <w:rsid w:val="3F7E1454"/>
    <w:rsid w:val="3F7FB50E"/>
    <w:rsid w:val="3F9A1E89"/>
    <w:rsid w:val="3FBBDA45"/>
    <w:rsid w:val="3FBC4C84"/>
    <w:rsid w:val="3FBD40D8"/>
    <w:rsid w:val="3FDF6A27"/>
    <w:rsid w:val="3FDF6CFA"/>
    <w:rsid w:val="3FE36FEB"/>
    <w:rsid w:val="3FED83FB"/>
    <w:rsid w:val="3FF75575"/>
    <w:rsid w:val="3FF80208"/>
    <w:rsid w:val="3FFAD594"/>
    <w:rsid w:val="3FFB3801"/>
    <w:rsid w:val="3FFB6115"/>
    <w:rsid w:val="3FFEBC5A"/>
    <w:rsid w:val="3FFF0832"/>
    <w:rsid w:val="3FFF75C6"/>
    <w:rsid w:val="3FFFA7C5"/>
    <w:rsid w:val="403259CB"/>
    <w:rsid w:val="40A92971"/>
    <w:rsid w:val="412070D7"/>
    <w:rsid w:val="42424E2B"/>
    <w:rsid w:val="42AF4CD6"/>
    <w:rsid w:val="42C722FD"/>
    <w:rsid w:val="42CF5E08"/>
    <w:rsid w:val="4335E31F"/>
    <w:rsid w:val="43544E16"/>
    <w:rsid w:val="43CF9171"/>
    <w:rsid w:val="44CF8E00"/>
    <w:rsid w:val="456450B8"/>
    <w:rsid w:val="4572292F"/>
    <w:rsid w:val="459B31D0"/>
    <w:rsid w:val="45B50E1F"/>
    <w:rsid w:val="476F6529"/>
    <w:rsid w:val="47BF4B7D"/>
    <w:rsid w:val="47E0136E"/>
    <w:rsid w:val="47FF12CF"/>
    <w:rsid w:val="47FFE844"/>
    <w:rsid w:val="4999358E"/>
    <w:rsid w:val="49FFBF19"/>
    <w:rsid w:val="4AD30D16"/>
    <w:rsid w:val="4BBFA36F"/>
    <w:rsid w:val="4BDE5545"/>
    <w:rsid w:val="4BDEC5FA"/>
    <w:rsid w:val="4BEC34B5"/>
    <w:rsid w:val="4C5440D8"/>
    <w:rsid w:val="4C8B0FB5"/>
    <w:rsid w:val="4D115B26"/>
    <w:rsid w:val="4D5F8BCD"/>
    <w:rsid w:val="4D7B1DEF"/>
    <w:rsid w:val="4D7F02F6"/>
    <w:rsid w:val="4DEB0CA4"/>
    <w:rsid w:val="4DF3F961"/>
    <w:rsid w:val="4DFD1763"/>
    <w:rsid w:val="4E6751D2"/>
    <w:rsid w:val="4EAFAEF6"/>
    <w:rsid w:val="4EBDE5BE"/>
    <w:rsid w:val="4EC7C670"/>
    <w:rsid w:val="4EEF4CC6"/>
    <w:rsid w:val="4EFDA77F"/>
    <w:rsid w:val="4F5F7F5C"/>
    <w:rsid w:val="4F5F80C2"/>
    <w:rsid w:val="4F7B4954"/>
    <w:rsid w:val="4F96C152"/>
    <w:rsid w:val="4FAE3B00"/>
    <w:rsid w:val="4FD349DE"/>
    <w:rsid w:val="4FD78B7E"/>
    <w:rsid w:val="4FDF1E9F"/>
    <w:rsid w:val="4FFE8EF5"/>
    <w:rsid w:val="4FFF345F"/>
    <w:rsid w:val="50AF4A20"/>
    <w:rsid w:val="50DED30D"/>
    <w:rsid w:val="511AD439"/>
    <w:rsid w:val="527B5385"/>
    <w:rsid w:val="52A82A88"/>
    <w:rsid w:val="52BE7FBB"/>
    <w:rsid w:val="52D41ACF"/>
    <w:rsid w:val="52F67C97"/>
    <w:rsid w:val="538452A3"/>
    <w:rsid w:val="53DF27B1"/>
    <w:rsid w:val="53DF7C8D"/>
    <w:rsid w:val="53EE4978"/>
    <w:rsid w:val="53EFF465"/>
    <w:rsid w:val="54FF3A26"/>
    <w:rsid w:val="55784B87"/>
    <w:rsid w:val="55ADBBE0"/>
    <w:rsid w:val="55BB3811"/>
    <w:rsid w:val="55BDCB44"/>
    <w:rsid w:val="55D7CEBF"/>
    <w:rsid w:val="566C325B"/>
    <w:rsid w:val="56EE0C86"/>
    <w:rsid w:val="5727C4BD"/>
    <w:rsid w:val="576FBD0E"/>
    <w:rsid w:val="57777D4E"/>
    <w:rsid w:val="577DAB7D"/>
    <w:rsid w:val="577F88D5"/>
    <w:rsid w:val="57836BAF"/>
    <w:rsid w:val="57BE332E"/>
    <w:rsid w:val="57E51C23"/>
    <w:rsid w:val="57FF27A7"/>
    <w:rsid w:val="57FF7EE6"/>
    <w:rsid w:val="58730C08"/>
    <w:rsid w:val="597FEE5A"/>
    <w:rsid w:val="59886344"/>
    <w:rsid w:val="59A5D0AC"/>
    <w:rsid w:val="59B31939"/>
    <w:rsid w:val="59DFCBB8"/>
    <w:rsid w:val="59FF5935"/>
    <w:rsid w:val="5A32275E"/>
    <w:rsid w:val="5A7D97D2"/>
    <w:rsid w:val="5AA75995"/>
    <w:rsid w:val="5AAFB2E4"/>
    <w:rsid w:val="5AE752CB"/>
    <w:rsid w:val="5B3FDD4C"/>
    <w:rsid w:val="5B5D8313"/>
    <w:rsid w:val="5B5F65E0"/>
    <w:rsid w:val="5B5F852D"/>
    <w:rsid w:val="5B9F7A3C"/>
    <w:rsid w:val="5BBF1E22"/>
    <w:rsid w:val="5BD74E86"/>
    <w:rsid w:val="5BDD11DD"/>
    <w:rsid w:val="5BDFC6FD"/>
    <w:rsid w:val="5BE75D9B"/>
    <w:rsid w:val="5BF9ED4F"/>
    <w:rsid w:val="5BFB3706"/>
    <w:rsid w:val="5BFBAF23"/>
    <w:rsid w:val="5BFF32A7"/>
    <w:rsid w:val="5C8A5DE1"/>
    <w:rsid w:val="5CDB8E88"/>
    <w:rsid w:val="5D35B649"/>
    <w:rsid w:val="5D6F0D72"/>
    <w:rsid w:val="5D916F3A"/>
    <w:rsid w:val="5D988306"/>
    <w:rsid w:val="5DA6C333"/>
    <w:rsid w:val="5DCF0825"/>
    <w:rsid w:val="5DE725A8"/>
    <w:rsid w:val="5DEBB794"/>
    <w:rsid w:val="5DEFF5AF"/>
    <w:rsid w:val="5E6A0B41"/>
    <w:rsid w:val="5E79B992"/>
    <w:rsid w:val="5EEF0B71"/>
    <w:rsid w:val="5EFBE3E2"/>
    <w:rsid w:val="5EFF2831"/>
    <w:rsid w:val="5EFFA00E"/>
    <w:rsid w:val="5F3EBEAA"/>
    <w:rsid w:val="5F510B3F"/>
    <w:rsid w:val="5F55D5C3"/>
    <w:rsid w:val="5F690707"/>
    <w:rsid w:val="5F6B901E"/>
    <w:rsid w:val="5F6E014E"/>
    <w:rsid w:val="5F75D995"/>
    <w:rsid w:val="5F7708E4"/>
    <w:rsid w:val="5F7F44F3"/>
    <w:rsid w:val="5F7F9C9D"/>
    <w:rsid w:val="5F7FD99B"/>
    <w:rsid w:val="5F8FEEC8"/>
    <w:rsid w:val="5F9F9DBA"/>
    <w:rsid w:val="5FAE0C10"/>
    <w:rsid w:val="5FB4B72A"/>
    <w:rsid w:val="5FBDF86A"/>
    <w:rsid w:val="5FBF2B08"/>
    <w:rsid w:val="5FC5540C"/>
    <w:rsid w:val="5FD559D1"/>
    <w:rsid w:val="5FD60B95"/>
    <w:rsid w:val="5FDE42C2"/>
    <w:rsid w:val="5FE257D9"/>
    <w:rsid w:val="5FEF8D5C"/>
    <w:rsid w:val="5FF1658B"/>
    <w:rsid w:val="5FF2D8BA"/>
    <w:rsid w:val="5FFB20B1"/>
    <w:rsid w:val="5FFBC99A"/>
    <w:rsid w:val="5FFDA288"/>
    <w:rsid w:val="5FFEE4F8"/>
    <w:rsid w:val="5FFF4D20"/>
    <w:rsid w:val="5FFF9602"/>
    <w:rsid w:val="5FFFA2FA"/>
    <w:rsid w:val="5FFFBDBC"/>
    <w:rsid w:val="5FFFD648"/>
    <w:rsid w:val="5FFFE40F"/>
    <w:rsid w:val="619863BE"/>
    <w:rsid w:val="62143C96"/>
    <w:rsid w:val="62E97E69"/>
    <w:rsid w:val="630006BE"/>
    <w:rsid w:val="63F7C0B3"/>
    <w:rsid w:val="64E33305"/>
    <w:rsid w:val="65376664"/>
    <w:rsid w:val="657D47A2"/>
    <w:rsid w:val="65CB8C99"/>
    <w:rsid w:val="65DBD6FF"/>
    <w:rsid w:val="65DE95C6"/>
    <w:rsid w:val="66572450"/>
    <w:rsid w:val="668F4233"/>
    <w:rsid w:val="669F145C"/>
    <w:rsid w:val="66BF067E"/>
    <w:rsid w:val="66C2084A"/>
    <w:rsid w:val="66FF7BB2"/>
    <w:rsid w:val="66FFED7D"/>
    <w:rsid w:val="6740EC66"/>
    <w:rsid w:val="677EFC92"/>
    <w:rsid w:val="67A23AF2"/>
    <w:rsid w:val="67BC6CA7"/>
    <w:rsid w:val="67C841D9"/>
    <w:rsid w:val="67D546BD"/>
    <w:rsid w:val="67E75469"/>
    <w:rsid w:val="67EF0214"/>
    <w:rsid w:val="67F76D2F"/>
    <w:rsid w:val="67FE94E4"/>
    <w:rsid w:val="67FF3667"/>
    <w:rsid w:val="68BDD685"/>
    <w:rsid w:val="69731BEA"/>
    <w:rsid w:val="69AE677E"/>
    <w:rsid w:val="69CA161E"/>
    <w:rsid w:val="69D6D14E"/>
    <w:rsid w:val="69D7969C"/>
    <w:rsid w:val="69DA6E4C"/>
    <w:rsid w:val="69DB9E33"/>
    <w:rsid w:val="69ECE3B3"/>
    <w:rsid w:val="69F9560E"/>
    <w:rsid w:val="69FD8B13"/>
    <w:rsid w:val="6A371ABC"/>
    <w:rsid w:val="6A4680CC"/>
    <w:rsid w:val="6AB3E285"/>
    <w:rsid w:val="6AC65D4A"/>
    <w:rsid w:val="6AD40467"/>
    <w:rsid w:val="6B39547A"/>
    <w:rsid w:val="6B4C31A5"/>
    <w:rsid w:val="6B5B0C90"/>
    <w:rsid w:val="6B6D5A3B"/>
    <w:rsid w:val="6B911302"/>
    <w:rsid w:val="6BCC2331"/>
    <w:rsid w:val="6BD79023"/>
    <w:rsid w:val="6BDF3852"/>
    <w:rsid w:val="6BDF58C6"/>
    <w:rsid w:val="6BEA2B9B"/>
    <w:rsid w:val="6BEF5E74"/>
    <w:rsid w:val="6BEF84C5"/>
    <w:rsid w:val="6BF7257D"/>
    <w:rsid w:val="6BF9A72C"/>
    <w:rsid w:val="6BFF4653"/>
    <w:rsid w:val="6C573390"/>
    <w:rsid w:val="6C634F33"/>
    <w:rsid w:val="6C6F7282"/>
    <w:rsid w:val="6C833268"/>
    <w:rsid w:val="6CF5E9AF"/>
    <w:rsid w:val="6CFD4960"/>
    <w:rsid w:val="6CFED853"/>
    <w:rsid w:val="6CFF5842"/>
    <w:rsid w:val="6D140FEE"/>
    <w:rsid w:val="6D3F786E"/>
    <w:rsid w:val="6D704DCC"/>
    <w:rsid w:val="6D9B0495"/>
    <w:rsid w:val="6DBFC2B5"/>
    <w:rsid w:val="6DC42A14"/>
    <w:rsid w:val="6DCA5A51"/>
    <w:rsid w:val="6DD34202"/>
    <w:rsid w:val="6DEE6ECD"/>
    <w:rsid w:val="6DF7F3E2"/>
    <w:rsid w:val="6DFB0992"/>
    <w:rsid w:val="6DFBDEAB"/>
    <w:rsid w:val="6E7F8479"/>
    <w:rsid w:val="6ECDDB5A"/>
    <w:rsid w:val="6EFE4D39"/>
    <w:rsid w:val="6EFEAD0E"/>
    <w:rsid w:val="6EFF8FAE"/>
    <w:rsid w:val="6F37AE7F"/>
    <w:rsid w:val="6F3F6922"/>
    <w:rsid w:val="6F4FABD4"/>
    <w:rsid w:val="6F5FC25C"/>
    <w:rsid w:val="6F7219C6"/>
    <w:rsid w:val="6F840D4E"/>
    <w:rsid w:val="6F8EBDFB"/>
    <w:rsid w:val="6FBB9D53"/>
    <w:rsid w:val="6FBEB59A"/>
    <w:rsid w:val="6FBF10AC"/>
    <w:rsid w:val="6FBF4764"/>
    <w:rsid w:val="6FD7BD67"/>
    <w:rsid w:val="6FDDFED0"/>
    <w:rsid w:val="6FDE0A35"/>
    <w:rsid w:val="6FDEB843"/>
    <w:rsid w:val="6FDF6562"/>
    <w:rsid w:val="6FDF9F69"/>
    <w:rsid w:val="6FE66A10"/>
    <w:rsid w:val="6FEBD931"/>
    <w:rsid w:val="6FF3548C"/>
    <w:rsid w:val="6FF505A1"/>
    <w:rsid w:val="6FF57345"/>
    <w:rsid w:val="6FF6AD38"/>
    <w:rsid w:val="6FF8DD12"/>
    <w:rsid w:val="6FFCAA06"/>
    <w:rsid w:val="6FFD9B01"/>
    <w:rsid w:val="6FFDA1AA"/>
    <w:rsid w:val="6FFE9795"/>
    <w:rsid w:val="6FFF0871"/>
    <w:rsid w:val="6FFF622E"/>
    <w:rsid w:val="6FFFFB0B"/>
    <w:rsid w:val="70E37655"/>
    <w:rsid w:val="70F738C0"/>
    <w:rsid w:val="721D0A90"/>
    <w:rsid w:val="72EE53A2"/>
    <w:rsid w:val="739369E5"/>
    <w:rsid w:val="73D21E61"/>
    <w:rsid w:val="73DC65DE"/>
    <w:rsid w:val="73EFC4D6"/>
    <w:rsid w:val="73F712CE"/>
    <w:rsid w:val="73FAB109"/>
    <w:rsid w:val="73FD1E57"/>
    <w:rsid w:val="73FF2FFD"/>
    <w:rsid w:val="73FF7A5D"/>
    <w:rsid w:val="74A569D0"/>
    <w:rsid w:val="74D5E3B3"/>
    <w:rsid w:val="74DF7846"/>
    <w:rsid w:val="74F203C2"/>
    <w:rsid w:val="74FBB286"/>
    <w:rsid w:val="755CD3B3"/>
    <w:rsid w:val="75678958"/>
    <w:rsid w:val="756F4A47"/>
    <w:rsid w:val="757B1AF4"/>
    <w:rsid w:val="757B7BF7"/>
    <w:rsid w:val="75BD3A58"/>
    <w:rsid w:val="75BE28B2"/>
    <w:rsid w:val="75BF4754"/>
    <w:rsid w:val="75E266C8"/>
    <w:rsid w:val="75EFDEF0"/>
    <w:rsid w:val="75F76CA2"/>
    <w:rsid w:val="75F821B1"/>
    <w:rsid w:val="75FD2252"/>
    <w:rsid w:val="75FD707D"/>
    <w:rsid w:val="75FFE055"/>
    <w:rsid w:val="765F6492"/>
    <w:rsid w:val="76AB8BA4"/>
    <w:rsid w:val="76B9A332"/>
    <w:rsid w:val="76BC6675"/>
    <w:rsid w:val="76D7E83E"/>
    <w:rsid w:val="76DFD95A"/>
    <w:rsid w:val="76EDAD0F"/>
    <w:rsid w:val="76FF24AD"/>
    <w:rsid w:val="76FF5BF3"/>
    <w:rsid w:val="76FFF445"/>
    <w:rsid w:val="773FEC35"/>
    <w:rsid w:val="775C9FF2"/>
    <w:rsid w:val="775D2787"/>
    <w:rsid w:val="776ED39D"/>
    <w:rsid w:val="777D4628"/>
    <w:rsid w:val="777D81CB"/>
    <w:rsid w:val="77874BA8"/>
    <w:rsid w:val="778F81EF"/>
    <w:rsid w:val="77AD168D"/>
    <w:rsid w:val="77B5C90E"/>
    <w:rsid w:val="77BDD1FF"/>
    <w:rsid w:val="77D18263"/>
    <w:rsid w:val="77DCB601"/>
    <w:rsid w:val="77DD1491"/>
    <w:rsid w:val="77DDBAD6"/>
    <w:rsid w:val="77DE2C27"/>
    <w:rsid w:val="77DFC451"/>
    <w:rsid w:val="77FF59B4"/>
    <w:rsid w:val="77FFC33B"/>
    <w:rsid w:val="78746DE5"/>
    <w:rsid w:val="787559F1"/>
    <w:rsid w:val="78A568E3"/>
    <w:rsid w:val="78E62BDC"/>
    <w:rsid w:val="78F24F8D"/>
    <w:rsid w:val="78FDFB12"/>
    <w:rsid w:val="78FEEE5F"/>
    <w:rsid w:val="7916882A"/>
    <w:rsid w:val="795F06CF"/>
    <w:rsid w:val="7995A3DF"/>
    <w:rsid w:val="799EAD38"/>
    <w:rsid w:val="79B749A4"/>
    <w:rsid w:val="79B9C392"/>
    <w:rsid w:val="79DDDE46"/>
    <w:rsid w:val="79EA2B75"/>
    <w:rsid w:val="79F59E4D"/>
    <w:rsid w:val="79FCDF09"/>
    <w:rsid w:val="79FD5E16"/>
    <w:rsid w:val="7A7FB193"/>
    <w:rsid w:val="7AA16713"/>
    <w:rsid w:val="7ABFA6E0"/>
    <w:rsid w:val="7ABFD940"/>
    <w:rsid w:val="7AFB9548"/>
    <w:rsid w:val="7AFF6E73"/>
    <w:rsid w:val="7AFFA050"/>
    <w:rsid w:val="7B5920F9"/>
    <w:rsid w:val="7B5A4458"/>
    <w:rsid w:val="7B5F4778"/>
    <w:rsid w:val="7B5FAC9D"/>
    <w:rsid w:val="7B7423E9"/>
    <w:rsid w:val="7B7781F5"/>
    <w:rsid w:val="7B7EF0B3"/>
    <w:rsid w:val="7B7F9860"/>
    <w:rsid w:val="7B9D7233"/>
    <w:rsid w:val="7B9E04AD"/>
    <w:rsid w:val="7B9E78B3"/>
    <w:rsid w:val="7BA7DE85"/>
    <w:rsid w:val="7BB51376"/>
    <w:rsid w:val="7BBE6240"/>
    <w:rsid w:val="7BBE6F6D"/>
    <w:rsid w:val="7BBF8678"/>
    <w:rsid w:val="7BCBEAB2"/>
    <w:rsid w:val="7BCD037E"/>
    <w:rsid w:val="7BCD9B31"/>
    <w:rsid w:val="7BCDD2D7"/>
    <w:rsid w:val="7BE27558"/>
    <w:rsid w:val="7BE7A222"/>
    <w:rsid w:val="7BEBBFFA"/>
    <w:rsid w:val="7BED2891"/>
    <w:rsid w:val="7BEEBB91"/>
    <w:rsid w:val="7BEF7521"/>
    <w:rsid w:val="7BEF8D90"/>
    <w:rsid w:val="7BEFDCE1"/>
    <w:rsid w:val="7BF411F2"/>
    <w:rsid w:val="7BF71023"/>
    <w:rsid w:val="7BF9A006"/>
    <w:rsid w:val="7BFB2951"/>
    <w:rsid w:val="7BFB9042"/>
    <w:rsid w:val="7BFB9EE4"/>
    <w:rsid w:val="7BFBBDC7"/>
    <w:rsid w:val="7BFBEA78"/>
    <w:rsid w:val="7BFE4C21"/>
    <w:rsid w:val="7BFEBEA7"/>
    <w:rsid w:val="7BFF2998"/>
    <w:rsid w:val="7BFF33CC"/>
    <w:rsid w:val="7BFF34E7"/>
    <w:rsid w:val="7BFF8FC1"/>
    <w:rsid w:val="7C174657"/>
    <w:rsid w:val="7C5E41FE"/>
    <w:rsid w:val="7C680787"/>
    <w:rsid w:val="7C6B916D"/>
    <w:rsid w:val="7C6FBBF0"/>
    <w:rsid w:val="7C7BC9FC"/>
    <w:rsid w:val="7C7DE802"/>
    <w:rsid w:val="7C864D79"/>
    <w:rsid w:val="7CB784CC"/>
    <w:rsid w:val="7CCF65DE"/>
    <w:rsid w:val="7CDFA9FA"/>
    <w:rsid w:val="7CE7CE65"/>
    <w:rsid w:val="7CFEF48B"/>
    <w:rsid w:val="7D3DDB90"/>
    <w:rsid w:val="7D4D5207"/>
    <w:rsid w:val="7D6BE49C"/>
    <w:rsid w:val="7D755D65"/>
    <w:rsid w:val="7D75E571"/>
    <w:rsid w:val="7D771A6F"/>
    <w:rsid w:val="7D7F485C"/>
    <w:rsid w:val="7D7F661B"/>
    <w:rsid w:val="7D7FFB23"/>
    <w:rsid w:val="7D915D59"/>
    <w:rsid w:val="7D967B99"/>
    <w:rsid w:val="7D9FE096"/>
    <w:rsid w:val="7DB7E63A"/>
    <w:rsid w:val="7DBF924F"/>
    <w:rsid w:val="7DBFCC68"/>
    <w:rsid w:val="7DCF684C"/>
    <w:rsid w:val="7DD969EB"/>
    <w:rsid w:val="7DDB07EB"/>
    <w:rsid w:val="7DDBEF4A"/>
    <w:rsid w:val="7DDF6C73"/>
    <w:rsid w:val="7DEBB32A"/>
    <w:rsid w:val="7DED6F3A"/>
    <w:rsid w:val="7DEDA760"/>
    <w:rsid w:val="7DEFC265"/>
    <w:rsid w:val="7DF11B67"/>
    <w:rsid w:val="7DF74F89"/>
    <w:rsid w:val="7DF8374A"/>
    <w:rsid w:val="7DFD7DC3"/>
    <w:rsid w:val="7DFEFBC6"/>
    <w:rsid w:val="7DFF131D"/>
    <w:rsid w:val="7DFF69E8"/>
    <w:rsid w:val="7DFF84FE"/>
    <w:rsid w:val="7DFFE617"/>
    <w:rsid w:val="7DFFFD21"/>
    <w:rsid w:val="7E1F7906"/>
    <w:rsid w:val="7E1FEDDB"/>
    <w:rsid w:val="7E56D2E1"/>
    <w:rsid w:val="7E7DEADB"/>
    <w:rsid w:val="7E7F49B3"/>
    <w:rsid w:val="7E7F697F"/>
    <w:rsid w:val="7E9F7319"/>
    <w:rsid w:val="7EA8F10B"/>
    <w:rsid w:val="7EAF0EBD"/>
    <w:rsid w:val="7EBD1AB9"/>
    <w:rsid w:val="7EDBE656"/>
    <w:rsid w:val="7EECE530"/>
    <w:rsid w:val="7EEFF3C9"/>
    <w:rsid w:val="7EF38053"/>
    <w:rsid w:val="7EF5CE1A"/>
    <w:rsid w:val="7EF643DB"/>
    <w:rsid w:val="7EF76732"/>
    <w:rsid w:val="7EF79581"/>
    <w:rsid w:val="7EF7C191"/>
    <w:rsid w:val="7EF82D8B"/>
    <w:rsid w:val="7EFBCE93"/>
    <w:rsid w:val="7EFD6209"/>
    <w:rsid w:val="7EFDD867"/>
    <w:rsid w:val="7EFE4DB8"/>
    <w:rsid w:val="7EFE61BE"/>
    <w:rsid w:val="7EFF1DFF"/>
    <w:rsid w:val="7EFFC4D2"/>
    <w:rsid w:val="7F0784C5"/>
    <w:rsid w:val="7F2B5784"/>
    <w:rsid w:val="7F2BE579"/>
    <w:rsid w:val="7F39B05D"/>
    <w:rsid w:val="7F3EBE2B"/>
    <w:rsid w:val="7F3F94F3"/>
    <w:rsid w:val="7F5B2E4C"/>
    <w:rsid w:val="7F5D040A"/>
    <w:rsid w:val="7F73FD06"/>
    <w:rsid w:val="7F745B59"/>
    <w:rsid w:val="7F790839"/>
    <w:rsid w:val="7F79E59D"/>
    <w:rsid w:val="7F7A91D7"/>
    <w:rsid w:val="7F7CA8A4"/>
    <w:rsid w:val="7F7DB3BD"/>
    <w:rsid w:val="7F7DE03A"/>
    <w:rsid w:val="7F7E79B5"/>
    <w:rsid w:val="7F7F20BB"/>
    <w:rsid w:val="7F7F363B"/>
    <w:rsid w:val="7F7F86C1"/>
    <w:rsid w:val="7F8EAE32"/>
    <w:rsid w:val="7F9AD864"/>
    <w:rsid w:val="7F9B34E3"/>
    <w:rsid w:val="7F9C2CD5"/>
    <w:rsid w:val="7F9F46A9"/>
    <w:rsid w:val="7F9FBD4E"/>
    <w:rsid w:val="7FA8E36B"/>
    <w:rsid w:val="7FAB927F"/>
    <w:rsid w:val="7FB5493C"/>
    <w:rsid w:val="7FB98872"/>
    <w:rsid w:val="7FBC2F67"/>
    <w:rsid w:val="7FBFE751"/>
    <w:rsid w:val="7FBFF3E3"/>
    <w:rsid w:val="7FC70386"/>
    <w:rsid w:val="7FCDD001"/>
    <w:rsid w:val="7FCF4DD5"/>
    <w:rsid w:val="7FD0E71A"/>
    <w:rsid w:val="7FD2AB14"/>
    <w:rsid w:val="7FD491B2"/>
    <w:rsid w:val="7FD60349"/>
    <w:rsid w:val="7FD7B93E"/>
    <w:rsid w:val="7FDBBEBA"/>
    <w:rsid w:val="7FDC58B2"/>
    <w:rsid w:val="7FDD289F"/>
    <w:rsid w:val="7FDF4425"/>
    <w:rsid w:val="7FDFC237"/>
    <w:rsid w:val="7FDFE9BB"/>
    <w:rsid w:val="7FE6B2D4"/>
    <w:rsid w:val="7FE727E9"/>
    <w:rsid w:val="7FE72FE8"/>
    <w:rsid w:val="7FE9A226"/>
    <w:rsid w:val="7FEB4BE2"/>
    <w:rsid w:val="7FEBCAC9"/>
    <w:rsid w:val="7FEC23D2"/>
    <w:rsid w:val="7FECAE52"/>
    <w:rsid w:val="7FECC014"/>
    <w:rsid w:val="7FED7034"/>
    <w:rsid w:val="7FEEC82B"/>
    <w:rsid w:val="7FF1D8D2"/>
    <w:rsid w:val="7FF3B0D5"/>
    <w:rsid w:val="7FF4BFC9"/>
    <w:rsid w:val="7FF50E4E"/>
    <w:rsid w:val="7FF61C59"/>
    <w:rsid w:val="7FF7E57E"/>
    <w:rsid w:val="7FF9E745"/>
    <w:rsid w:val="7FFCF26F"/>
    <w:rsid w:val="7FFD539B"/>
    <w:rsid w:val="7FFD57AA"/>
    <w:rsid w:val="7FFF61CE"/>
    <w:rsid w:val="7FFF6B5D"/>
    <w:rsid w:val="7FFFA4CB"/>
    <w:rsid w:val="7FFFB57D"/>
    <w:rsid w:val="7FFFB747"/>
    <w:rsid w:val="7FFFC79C"/>
    <w:rsid w:val="7FFFDE6B"/>
    <w:rsid w:val="7FFFE3D4"/>
    <w:rsid w:val="7FFFEC53"/>
    <w:rsid w:val="89B3D0B9"/>
    <w:rsid w:val="8BEB9515"/>
    <w:rsid w:val="8BFE9F19"/>
    <w:rsid w:val="8CB739FA"/>
    <w:rsid w:val="8D9EF9FC"/>
    <w:rsid w:val="8DB1FB3D"/>
    <w:rsid w:val="8DFD8475"/>
    <w:rsid w:val="8EF71A48"/>
    <w:rsid w:val="8EFF7E4D"/>
    <w:rsid w:val="8FCB83EE"/>
    <w:rsid w:val="924E53D3"/>
    <w:rsid w:val="97BF407F"/>
    <w:rsid w:val="97CF7609"/>
    <w:rsid w:val="97F7915B"/>
    <w:rsid w:val="97F80809"/>
    <w:rsid w:val="97FCEA8D"/>
    <w:rsid w:val="997F5360"/>
    <w:rsid w:val="9AD308A0"/>
    <w:rsid w:val="9AFE32E5"/>
    <w:rsid w:val="9B7DE181"/>
    <w:rsid w:val="9BCFA0C2"/>
    <w:rsid w:val="9BFF99C6"/>
    <w:rsid w:val="9BFFF9BE"/>
    <w:rsid w:val="9CF02FE5"/>
    <w:rsid w:val="9DD65D11"/>
    <w:rsid w:val="9EAB092B"/>
    <w:rsid w:val="9EAB803B"/>
    <w:rsid w:val="9EBC0393"/>
    <w:rsid w:val="9EDB2250"/>
    <w:rsid w:val="9EDEBF2F"/>
    <w:rsid w:val="9F7F075F"/>
    <w:rsid w:val="9F87C54C"/>
    <w:rsid w:val="9F97F410"/>
    <w:rsid w:val="9FCF5002"/>
    <w:rsid w:val="9FF3615A"/>
    <w:rsid w:val="9FF6A58C"/>
    <w:rsid w:val="9FF96474"/>
    <w:rsid w:val="9FFEE64F"/>
    <w:rsid w:val="9FFF42A0"/>
    <w:rsid w:val="9FFFFD35"/>
    <w:rsid w:val="A63751A3"/>
    <w:rsid w:val="A6B71C68"/>
    <w:rsid w:val="A77FC440"/>
    <w:rsid w:val="A7D93FFC"/>
    <w:rsid w:val="A7F7E235"/>
    <w:rsid w:val="A7FB036F"/>
    <w:rsid w:val="A975298F"/>
    <w:rsid w:val="AB66024C"/>
    <w:rsid w:val="ABDFE62D"/>
    <w:rsid w:val="AC97826E"/>
    <w:rsid w:val="AD669DAA"/>
    <w:rsid w:val="AD7321D4"/>
    <w:rsid w:val="ADDACBF1"/>
    <w:rsid w:val="ADEF2F7A"/>
    <w:rsid w:val="AE339811"/>
    <w:rsid w:val="AE5D12AB"/>
    <w:rsid w:val="AEDD7FBB"/>
    <w:rsid w:val="AEDF0085"/>
    <w:rsid w:val="AEDF19E7"/>
    <w:rsid w:val="AF66C811"/>
    <w:rsid w:val="AF7D895A"/>
    <w:rsid w:val="AFB71D1A"/>
    <w:rsid w:val="AFBF977D"/>
    <w:rsid w:val="AFD724D2"/>
    <w:rsid w:val="AFEF293B"/>
    <w:rsid w:val="AFFE64B3"/>
    <w:rsid w:val="AFFEAF99"/>
    <w:rsid w:val="AFFF5797"/>
    <w:rsid w:val="B07FAF89"/>
    <w:rsid w:val="B2FF9288"/>
    <w:rsid w:val="B37FF0B2"/>
    <w:rsid w:val="B3BF03F5"/>
    <w:rsid w:val="B3EBEB31"/>
    <w:rsid w:val="B3FA243C"/>
    <w:rsid w:val="B57FB7AA"/>
    <w:rsid w:val="B5BF1AA1"/>
    <w:rsid w:val="B5EFF62C"/>
    <w:rsid w:val="B5FF440D"/>
    <w:rsid w:val="B6B21338"/>
    <w:rsid w:val="B6DC5B62"/>
    <w:rsid w:val="B6F339A8"/>
    <w:rsid w:val="B6FFD9FE"/>
    <w:rsid w:val="B7457EE3"/>
    <w:rsid w:val="B7574525"/>
    <w:rsid w:val="B7897B91"/>
    <w:rsid w:val="B7BE8E24"/>
    <w:rsid w:val="B7CBEDD7"/>
    <w:rsid w:val="B7DD2753"/>
    <w:rsid w:val="B7FB7784"/>
    <w:rsid w:val="B8AF847F"/>
    <w:rsid w:val="B967A8E0"/>
    <w:rsid w:val="B97E1C78"/>
    <w:rsid w:val="B97FC3A6"/>
    <w:rsid w:val="B9FF7DD5"/>
    <w:rsid w:val="BA6F16AC"/>
    <w:rsid w:val="BAAA7A08"/>
    <w:rsid w:val="BABB3605"/>
    <w:rsid w:val="BAF4E41B"/>
    <w:rsid w:val="BAFCF89A"/>
    <w:rsid w:val="BB1E9258"/>
    <w:rsid w:val="BBDEB7D3"/>
    <w:rsid w:val="BBDF4C4C"/>
    <w:rsid w:val="BBEF3035"/>
    <w:rsid w:val="BBF60DB7"/>
    <w:rsid w:val="BBFC94BE"/>
    <w:rsid w:val="BBFE8DE4"/>
    <w:rsid w:val="BBFF749F"/>
    <w:rsid w:val="BCCF0E2F"/>
    <w:rsid w:val="BD2F958E"/>
    <w:rsid w:val="BD7C482D"/>
    <w:rsid w:val="BD7FA39F"/>
    <w:rsid w:val="BDDE25F2"/>
    <w:rsid w:val="BDDF2268"/>
    <w:rsid w:val="BDDF5EC0"/>
    <w:rsid w:val="BDDFD00E"/>
    <w:rsid w:val="BDF2BB50"/>
    <w:rsid w:val="BDF9227E"/>
    <w:rsid w:val="BDF92FED"/>
    <w:rsid w:val="BDFD5B5A"/>
    <w:rsid w:val="BDFF1194"/>
    <w:rsid w:val="BDFF9F73"/>
    <w:rsid w:val="BE7FCC1F"/>
    <w:rsid w:val="BEAF3D13"/>
    <w:rsid w:val="BEFE6099"/>
    <w:rsid w:val="BEFEE876"/>
    <w:rsid w:val="BEFF8E85"/>
    <w:rsid w:val="BF1D8A5A"/>
    <w:rsid w:val="BF3E4FB6"/>
    <w:rsid w:val="BF4AE094"/>
    <w:rsid w:val="BF734F64"/>
    <w:rsid w:val="BF772CDC"/>
    <w:rsid w:val="BF7B0D31"/>
    <w:rsid w:val="BF7FB9C9"/>
    <w:rsid w:val="BF8D96B4"/>
    <w:rsid w:val="BFB4CFE4"/>
    <w:rsid w:val="BFBA1E0E"/>
    <w:rsid w:val="BFBDE707"/>
    <w:rsid w:val="BFBDEFCC"/>
    <w:rsid w:val="BFBE64FE"/>
    <w:rsid w:val="BFCB26B2"/>
    <w:rsid w:val="BFD9E6FC"/>
    <w:rsid w:val="BFDBB76F"/>
    <w:rsid w:val="BFDE589B"/>
    <w:rsid w:val="BFEBD03D"/>
    <w:rsid w:val="BFEF47DA"/>
    <w:rsid w:val="BFEFC956"/>
    <w:rsid w:val="BFF122AB"/>
    <w:rsid w:val="BFF3CFD8"/>
    <w:rsid w:val="BFF7B889"/>
    <w:rsid w:val="BFFD745D"/>
    <w:rsid w:val="BFFE9E42"/>
    <w:rsid w:val="BFFF2573"/>
    <w:rsid w:val="BFFF40EA"/>
    <w:rsid w:val="BFFF710F"/>
    <w:rsid w:val="C17F5E68"/>
    <w:rsid w:val="C65F365C"/>
    <w:rsid w:val="C72F72B3"/>
    <w:rsid w:val="C7BB1E0B"/>
    <w:rsid w:val="C7BD72C9"/>
    <w:rsid w:val="C97C1D2C"/>
    <w:rsid w:val="CBDF3A82"/>
    <w:rsid w:val="CBEFFA33"/>
    <w:rsid w:val="CBF7121C"/>
    <w:rsid w:val="CCA9AC69"/>
    <w:rsid w:val="CD8BB21A"/>
    <w:rsid w:val="CDA2FEA2"/>
    <w:rsid w:val="CDD6C038"/>
    <w:rsid w:val="CDE9F251"/>
    <w:rsid w:val="CDFB5FCA"/>
    <w:rsid w:val="CE7759EF"/>
    <w:rsid w:val="CEAB463A"/>
    <w:rsid w:val="CED7017A"/>
    <w:rsid w:val="CEEF3E9A"/>
    <w:rsid w:val="CEFFECBA"/>
    <w:rsid w:val="CF1F3B43"/>
    <w:rsid w:val="CF69E5C0"/>
    <w:rsid w:val="CF6FF558"/>
    <w:rsid w:val="CF793570"/>
    <w:rsid w:val="CFAF79BC"/>
    <w:rsid w:val="CFB56DB3"/>
    <w:rsid w:val="CFBE64BB"/>
    <w:rsid w:val="CFDA6050"/>
    <w:rsid w:val="CFE7A3EB"/>
    <w:rsid w:val="CFEFBDB4"/>
    <w:rsid w:val="CFF9C76A"/>
    <w:rsid w:val="CFFDD0B9"/>
    <w:rsid w:val="CFFDFB17"/>
    <w:rsid w:val="CFFE7406"/>
    <w:rsid w:val="CFFF8796"/>
    <w:rsid w:val="D1973E5D"/>
    <w:rsid w:val="D34F4C70"/>
    <w:rsid w:val="D37CB755"/>
    <w:rsid w:val="D3B2281B"/>
    <w:rsid w:val="D3DE5160"/>
    <w:rsid w:val="D3DF1D05"/>
    <w:rsid w:val="D3F8305B"/>
    <w:rsid w:val="D3FB4468"/>
    <w:rsid w:val="D3FF2AE1"/>
    <w:rsid w:val="D56FA2E3"/>
    <w:rsid w:val="D59A8D51"/>
    <w:rsid w:val="D5BB8C46"/>
    <w:rsid w:val="D5ED5AAC"/>
    <w:rsid w:val="D5FA4C8F"/>
    <w:rsid w:val="D67FF52A"/>
    <w:rsid w:val="D6EF1B3D"/>
    <w:rsid w:val="D71FF57A"/>
    <w:rsid w:val="D75F3DFC"/>
    <w:rsid w:val="D75F62DA"/>
    <w:rsid w:val="D776DDEF"/>
    <w:rsid w:val="D777D967"/>
    <w:rsid w:val="D7BB9E0C"/>
    <w:rsid w:val="D7CF185F"/>
    <w:rsid w:val="D7D6C41B"/>
    <w:rsid w:val="D7DF90D1"/>
    <w:rsid w:val="D7EFB432"/>
    <w:rsid w:val="D7FB42CD"/>
    <w:rsid w:val="D81FB226"/>
    <w:rsid w:val="D83D34F1"/>
    <w:rsid w:val="D8B4C51A"/>
    <w:rsid w:val="D8FB74C1"/>
    <w:rsid w:val="D8FF5D3C"/>
    <w:rsid w:val="D97FF89C"/>
    <w:rsid w:val="D9BD40B7"/>
    <w:rsid w:val="D9DE8F90"/>
    <w:rsid w:val="D9EEA194"/>
    <w:rsid w:val="D9F7AE41"/>
    <w:rsid w:val="DA91A4DE"/>
    <w:rsid w:val="DABFF498"/>
    <w:rsid w:val="DAFA809D"/>
    <w:rsid w:val="DB2B2FA6"/>
    <w:rsid w:val="DB3AE5DE"/>
    <w:rsid w:val="DB7F473B"/>
    <w:rsid w:val="DB874363"/>
    <w:rsid w:val="DBDF4034"/>
    <w:rsid w:val="DBFAB0D1"/>
    <w:rsid w:val="DBFB6CE2"/>
    <w:rsid w:val="DC770E3A"/>
    <w:rsid w:val="DCE5C49C"/>
    <w:rsid w:val="DCEFC0B4"/>
    <w:rsid w:val="DD0C5C9E"/>
    <w:rsid w:val="DD3F3740"/>
    <w:rsid w:val="DD50BFBC"/>
    <w:rsid w:val="DD558E49"/>
    <w:rsid w:val="DD7DB51C"/>
    <w:rsid w:val="DD7EBF9A"/>
    <w:rsid w:val="DD9F48BD"/>
    <w:rsid w:val="DDBB9C42"/>
    <w:rsid w:val="DDCF4CF4"/>
    <w:rsid w:val="DDD6C4AE"/>
    <w:rsid w:val="DDDBEF2B"/>
    <w:rsid w:val="DDDD2611"/>
    <w:rsid w:val="DDDE1B18"/>
    <w:rsid w:val="DDDF8C9D"/>
    <w:rsid w:val="DDDFCD6B"/>
    <w:rsid w:val="DDE695EF"/>
    <w:rsid w:val="DDF5B572"/>
    <w:rsid w:val="DDF7988A"/>
    <w:rsid w:val="DDFF9743"/>
    <w:rsid w:val="DE6E698D"/>
    <w:rsid w:val="DE6F6650"/>
    <w:rsid w:val="DE78E779"/>
    <w:rsid w:val="DE7A3459"/>
    <w:rsid w:val="DE7E74FA"/>
    <w:rsid w:val="DE7FB170"/>
    <w:rsid w:val="DEB3DCF3"/>
    <w:rsid w:val="DECB6B51"/>
    <w:rsid w:val="DED57C46"/>
    <w:rsid w:val="DED9FF76"/>
    <w:rsid w:val="DEDF7F3B"/>
    <w:rsid w:val="DEEF300F"/>
    <w:rsid w:val="DEFDF52B"/>
    <w:rsid w:val="DEFF4CC6"/>
    <w:rsid w:val="DF3984C1"/>
    <w:rsid w:val="DF3F21CB"/>
    <w:rsid w:val="DF77E8DB"/>
    <w:rsid w:val="DF9FEB5D"/>
    <w:rsid w:val="DFAF069B"/>
    <w:rsid w:val="DFBE2AB1"/>
    <w:rsid w:val="DFDB2713"/>
    <w:rsid w:val="DFDDFBE3"/>
    <w:rsid w:val="DFDF787B"/>
    <w:rsid w:val="DFE72904"/>
    <w:rsid w:val="DFE754D9"/>
    <w:rsid w:val="DFED2371"/>
    <w:rsid w:val="DFEF884A"/>
    <w:rsid w:val="DFF975B4"/>
    <w:rsid w:val="DFFA0436"/>
    <w:rsid w:val="DFFF5916"/>
    <w:rsid w:val="DFFF5ADF"/>
    <w:rsid w:val="DFFF9E04"/>
    <w:rsid w:val="E0FFD83D"/>
    <w:rsid w:val="E20DF872"/>
    <w:rsid w:val="E35720DD"/>
    <w:rsid w:val="E35FC826"/>
    <w:rsid w:val="E399175A"/>
    <w:rsid w:val="E39F174D"/>
    <w:rsid w:val="E3ED016B"/>
    <w:rsid w:val="E3F6C6E9"/>
    <w:rsid w:val="E3FFCB26"/>
    <w:rsid w:val="E467DCB1"/>
    <w:rsid w:val="E4FB85DA"/>
    <w:rsid w:val="E5AA44AC"/>
    <w:rsid w:val="E5FF456E"/>
    <w:rsid w:val="E6AFE25B"/>
    <w:rsid w:val="E6D9692A"/>
    <w:rsid w:val="E6DA5407"/>
    <w:rsid w:val="E6F7AD0B"/>
    <w:rsid w:val="E7532F0B"/>
    <w:rsid w:val="E7A292AD"/>
    <w:rsid w:val="E7FF182A"/>
    <w:rsid w:val="E7FF764A"/>
    <w:rsid w:val="E7FFAF21"/>
    <w:rsid w:val="E86FFCBE"/>
    <w:rsid w:val="E9E63BFB"/>
    <w:rsid w:val="E9E756DE"/>
    <w:rsid w:val="E9F382A0"/>
    <w:rsid w:val="E9FE3927"/>
    <w:rsid w:val="E9FFAA25"/>
    <w:rsid w:val="EA7AE4F7"/>
    <w:rsid w:val="EA7D1344"/>
    <w:rsid w:val="EAF3D903"/>
    <w:rsid w:val="EB2BCD2C"/>
    <w:rsid w:val="EB70F1FF"/>
    <w:rsid w:val="EB7609C2"/>
    <w:rsid w:val="EB7E862F"/>
    <w:rsid w:val="EB97AF3C"/>
    <w:rsid w:val="EBAD2C91"/>
    <w:rsid w:val="EBBFB420"/>
    <w:rsid w:val="EBBFD06E"/>
    <w:rsid w:val="EBDB37B3"/>
    <w:rsid w:val="EBE6C286"/>
    <w:rsid w:val="EBEF951E"/>
    <w:rsid w:val="EBF31F23"/>
    <w:rsid w:val="EBF752B0"/>
    <w:rsid w:val="EBFB473B"/>
    <w:rsid w:val="EC79C310"/>
    <w:rsid w:val="ECADBC26"/>
    <w:rsid w:val="ECF706DC"/>
    <w:rsid w:val="ED3F8049"/>
    <w:rsid w:val="ED53CB99"/>
    <w:rsid w:val="ED7E9F16"/>
    <w:rsid w:val="EDBBBBA1"/>
    <w:rsid w:val="EDC69F4C"/>
    <w:rsid w:val="EDCBA021"/>
    <w:rsid w:val="EDFB3422"/>
    <w:rsid w:val="EDFCC1D4"/>
    <w:rsid w:val="EDFF8689"/>
    <w:rsid w:val="EE2B5576"/>
    <w:rsid w:val="EE63ECA8"/>
    <w:rsid w:val="EE73FE5E"/>
    <w:rsid w:val="EE77CD8E"/>
    <w:rsid w:val="EEBB3BBC"/>
    <w:rsid w:val="EEBDA904"/>
    <w:rsid w:val="EECC8373"/>
    <w:rsid w:val="EED784F4"/>
    <w:rsid w:val="EED7FACD"/>
    <w:rsid w:val="EEE72F6C"/>
    <w:rsid w:val="EEE74C18"/>
    <w:rsid w:val="EEEDCA24"/>
    <w:rsid w:val="EF1F8C43"/>
    <w:rsid w:val="EF2E904F"/>
    <w:rsid w:val="EF37F366"/>
    <w:rsid w:val="EF56CE3F"/>
    <w:rsid w:val="EF5B2286"/>
    <w:rsid w:val="EF5E3632"/>
    <w:rsid w:val="EF5EF18E"/>
    <w:rsid w:val="EF717BFD"/>
    <w:rsid w:val="EF7B5ADC"/>
    <w:rsid w:val="EF7C54F2"/>
    <w:rsid w:val="EF7CD153"/>
    <w:rsid w:val="EF7D7748"/>
    <w:rsid w:val="EF8E787F"/>
    <w:rsid w:val="EF9B3293"/>
    <w:rsid w:val="EF9DB8B7"/>
    <w:rsid w:val="EFA32614"/>
    <w:rsid w:val="EFBD9E1E"/>
    <w:rsid w:val="EFCA4C36"/>
    <w:rsid w:val="EFCB7DE5"/>
    <w:rsid w:val="EFCDBFEF"/>
    <w:rsid w:val="EFCF7D56"/>
    <w:rsid w:val="EFD47131"/>
    <w:rsid w:val="EFD712E4"/>
    <w:rsid w:val="EFDE2231"/>
    <w:rsid w:val="EFDF5FFF"/>
    <w:rsid w:val="EFF5BFE3"/>
    <w:rsid w:val="EFF762D2"/>
    <w:rsid w:val="EFF78AC9"/>
    <w:rsid w:val="EFF8072A"/>
    <w:rsid w:val="EFFBBE7F"/>
    <w:rsid w:val="EFFE0033"/>
    <w:rsid w:val="EFFE2DFD"/>
    <w:rsid w:val="EFFE596A"/>
    <w:rsid w:val="EFFE5AC0"/>
    <w:rsid w:val="EFFF05F6"/>
    <w:rsid w:val="EFFF0A66"/>
    <w:rsid w:val="EFFFEFED"/>
    <w:rsid w:val="F07BC14E"/>
    <w:rsid w:val="F0E58098"/>
    <w:rsid w:val="F1BF064C"/>
    <w:rsid w:val="F1F7E06B"/>
    <w:rsid w:val="F1FF3E1C"/>
    <w:rsid w:val="F1FFADDF"/>
    <w:rsid w:val="F2BE33FC"/>
    <w:rsid w:val="F2BF8DC0"/>
    <w:rsid w:val="F2DB786E"/>
    <w:rsid w:val="F2FCDE09"/>
    <w:rsid w:val="F36AF729"/>
    <w:rsid w:val="F37515D6"/>
    <w:rsid w:val="F3DB2400"/>
    <w:rsid w:val="F3DE1C69"/>
    <w:rsid w:val="F3EEBA52"/>
    <w:rsid w:val="F3F8A7A2"/>
    <w:rsid w:val="F3FB5803"/>
    <w:rsid w:val="F3FC8101"/>
    <w:rsid w:val="F4BBFD59"/>
    <w:rsid w:val="F4BD7B94"/>
    <w:rsid w:val="F4FD8DAA"/>
    <w:rsid w:val="F4FEDC7A"/>
    <w:rsid w:val="F4FFA8A4"/>
    <w:rsid w:val="F55B4628"/>
    <w:rsid w:val="F5B2C71F"/>
    <w:rsid w:val="F5B58C94"/>
    <w:rsid w:val="F5BF5A13"/>
    <w:rsid w:val="F5DD6C5C"/>
    <w:rsid w:val="F5ED1FBA"/>
    <w:rsid w:val="F5EFFF3B"/>
    <w:rsid w:val="F5F1AA80"/>
    <w:rsid w:val="F5FA9456"/>
    <w:rsid w:val="F5FDD497"/>
    <w:rsid w:val="F5FE05FE"/>
    <w:rsid w:val="F5FEA743"/>
    <w:rsid w:val="F5FECE47"/>
    <w:rsid w:val="F66F2A01"/>
    <w:rsid w:val="F6AFA129"/>
    <w:rsid w:val="F6C54566"/>
    <w:rsid w:val="F6D73FBF"/>
    <w:rsid w:val="F6DF11D8"/>
    <w:rsid w:val="F6F536B5"/>
    <w:rsid w:val="F6FCF2FF"/>
    <w:rsid w:val="F6FDAD38"/>
    <w:rsid w:val="F6FE82E2"/>
    <w:rsid w:val="F6FF9DC1"/>
    <w:rsid w:val="F73F45FB"/>
    <w:rsid w:val="F73F8923"/>
    <w:rsid w:val="F7578934"/>
    <w:rsid w:val="F75B499A"/>
    <w:rsid w:val="F78B6D6C"/>
    <w:rsid w:val="F79A838E"/>
    <w:rsid w:val="F7AD1A04"/>
    <w:rsid w:val="F7B7E7A0"/>
    <w:rsid w:val="F7B9DE50"/>
    <w:rsid w:val="F7BB6A92"/>
    <w:rsid w:val="F7BB7728"/>
    <w:rsid w:val="F7BE19BF"/>
    <w:rsid w:val="F7BF65B4"/>
    <w:rsid w:val="F7BFD0A7"/>
    <w:rsid w:val="F7C65662"/>
    <w:rsid w:val="F7C7F999"/>
    <w:rsid w:val="F7CF17D2"/>
    <w:rsid w:val="F7D7B261"/>
    <w:rsid w:val="F7EF519E"/>
    <w:rsid w:val="F7EFC465"/>
    <w:rsid w:val="F7EFFA29"/>
    <w:rsid w:val="F7F675CE"/>
    <w:rsid w:val="F7F7D444"/>
    <w:rsid w:val="F7FD5BF2"/>
    <w:rsid w:val="F7FD8340"/>
    <w:rsid w:val="F7FE455D"/>
    <w:rsid w:val="F7FF3770"/>
    <w:rsid w:val="F7FFF5D0"/>
    <w:rsid w:val="F85CAB29"/>
    <w:rsid w:val="F877F415"/>
    <w:rsid w:val="F8F744C4"/>
    <w:rsid w:val="F95E13D5"/>
    <w:rsid w:val="F96386ED"/>
    <w:rsid w:val="F96AF7C8"/>
    <w:rsid w:val="F99AA149"/>
    <w:rsid w:val="F9B76169"/>
    <w:rsid w:val="F9BF03EE"/>
    <w:rsid w:val="F9E583ED"/>
    <w:rsid w:val="F9E80338"/>
    <w:rsid w:val="F9F744C6"/>
    <w:rsid w:val="FA4EDBF5"/>
    <w:rsid w:val="FA6B39CE"/>
    <w:rsid w:val="FA7E2AA8"/>
    <w:rsid w:val="FA7FC4AB"/>
    <w:rsid w:val="FAB5D30E"/>
    <w:rsid w:val="FAEB68B5"/>
    <w:rsid w:val="FAED730F"/>
    <w:rsid w:val="FAED9D92"/>
    <w:rsid w:val="FAEF8D71"/>
    <w:rsid w:val="FAF387FB"/>
    <w:rsid w:val="FAFA31BE"/>
    <w:rsid w:val="FAFBED91"/>
    <w:rsid w:val="FB56F8EA"/>
    <w:rsid w:val="FB5707DC"/>
    <w:rsid w:val="FB67ABB6"/>
    <w:rsid w:val="FB77210E"/>
    <w:rsid w:val="FB7994EE"/>
    <w:rsid w:val="FB7DFFA6"/>
    <w:rsid w:val="FBB9A53A"/>
    <w:rsid w:val="FBBB41C0"/>
    <w:rsid w:val="FBBE710E"/>
    <w:rsid w:val="FBBF0EAE"/>
    <w:rsid w:val="FBBF7CBA"/>
    <w:rsid w:val="FBBFF335"/>
    <w:rsid w:val="FBCB1B82"/>
    <w:rsid w:val="FBCCDB01"/>
    <w:rsid w:val="FBDDCA2A"/>
    <w:rsid w:val="FBDEA8F7"/>
    <w:rsid w:val="FBDF3C2A"/>
    <w:rsid w:val="FBEB4C9E"/>
    <w:rsid w:val="FBEDE30F"/>
    <w:rsid w:val="FBEF5FCC"/>
    <w:rsid w:val="FBEFC01B"/>
    <w:rsid w:val="FBFC3B65"/>
    <w:rsid w:val="FBFE30D5"/>
    <w:rsid w:val="FBFF49CE"/>
    <w:rsid w:val="FBFFB940"/>
    <w:rsid w:val="FBFFBB85"/>
    <w:rsid w:val="FBFFE154"/>
    <w:rsid w:val="FBFFE773"/>
    <w:rsid w:val="FC6EDB10"/>
    <w:rsid w:val="FC7FD5B4"/>
    <w:rsid w:val="FCAD7135"/>
    <w:rsid w:val="FCBBA4E6"/>
    <w:rsid w:val="FCFF1F01"/>
    <w:rsid w:val="FD2787B5"/>
    <w:rsid w:val="FD2A12A7"/>
    <w:rsid w:val="FD39275E"/>
    <w:rsid w:val="FD3BB5AF"/>
    <w:rsid w:val="FD4F33BE"/>
    <w:rsid w:val="FD633EB5"/>
    <w:rsid w:val="FD6F250E"/>
    <w:rsid w:val="FD77245C"/>
    <w:rsid w:val="FD775837"/>
    <w:rsid w:val="FD7CB389"/>
    <w:rsid w:val="FD7F4A65"/>
    <w:rsid w:val="FD7F8E75"/>
    <w:rsid w:val="FD7FAFE3"/>
    <w:rsid w:val="FDAFE1E9"/>
    <w:rsid w:val="FDBB2581"/>
    <w:rsid w:val="FDBF78CC"/>
    <w:rsid w:val="FDBF9C09"/>
    <w:rsid w:val="FDC5AD69"/>
    <w:rsid w:val="FDD55B29"/>
    <w:rsid w:val="FDD7CEC9"/>
    <w:rsid w:val="FDDA1A30"/>
    <w:rsid w:val="FDDBC8CF"/>
    <w:rsid w:val="FDE820F2"/>
    <w:rsid w:val="FDEEFBA7"/>
    <w:rsid w:val="FDEF873C"/>
    <w:rsid w:val="FDF3F7A6"/>
    <w:rsid w:val="FDFA800B"/>
    <w:rsid w:val="FDFAFFAE"/>
    <w:rsid w:val="FDFBDA97"/>
    <w:rsid w:val="FDFDFC5C"/>
    <w:rsid w:val="FDFF1EAF"/>
    <w:rsid w:val="FDFF2A30"/>
    <w:rsid w:val="FE37E72E"/>
    <w:rsid w:val="FE57B057"/>
    <w:rsid w:val="FE5BDA9F"/>
    <w:rsid w:val="FE6B6A0F"/>
    <w:rsid w:val="FE6ED01B"/>
    <w:rsid w:val="FE7DC431"/>
    <w:rsid w:val="FE7E8EB1"/>
    <w:rsid w:val="FE8A01A4"/>
    <w:rsid w:val="FE992609"/>
    <w:rsid w:val="FEAF5ECD"/>
    <w:rsid w:val="FEB05EF1"/>
    <w:rsid w:val="FEB79761"/>
    <w:rsid w:val="FEBBB3AF"/>
    <w:rsid w:val="FEBF4AA1"/>
    <w:rsid w:val="FEBF9062"/>
    <w:rsid w:val="FECA9D7E"/>
    <w:rsid w:val="FECF7DBE"/>
    <w:rsid w:val="FECFB5DA"/>
    <w:rsid w:val="FEDF4422"/>
    <w:rsid w:val="FEDF6936"/>
    <w:rsid w:val="FEE78FD7"/>
    <w:rsid w:val="FEE84BA1"/>
    <w:rsid w:val="FEEB0C45"/>
    <w:rsid w:val="FEEB4BC0"/>
    <w:rsid w:val="FEEE1482"/>
    <w:rsid w:val="FEEE938D"/>
    <w:rsid w:val="FEEFDA3E"/>
    <w:rsid w:val="FEF3139F"/>
    <w:rsid w:val="FEF79233"/>
    <w:rsid w:val="FEF7AA4E"/>
    <w:rsid w:val="FEFF022B"/>
    <w:rsid w:val="FEFF193C"/>
    <w:rsid w:val="FEFF4187"/>
    <w:rsid w:val="FEFF6955"/>
    <w:rsid w:val="FEFFF738"/>
    <w:rsid w:val="FF1AAE3E"/>
    <w:rsid w:val="FF1F6906"/>
    <w:rsid w:val="FF31229F"/>
    <w:rsid w:val="FF3B1873"/>
    <w:rsid w:val="FF3FFFB4"/>
    <w:rsid w:val="FF4DCE69"/>
    <w:rsid w:val="FF5351E6"/>
    <w:rsid w:val="FF5B9BBD"/>
    <w:rsid w:val="FF5F6291"/>
    <w:rsid w:val="FF67996C"/>
    <w:rsid w:val="FF6B12BC"/>
    <w:rsid w:val="FF6D6F4A"/>
    <w:rsid w:val="FF6E63A0"/>
    <w:rsid w:val="FF6FEE40"/>
    <w:rsid w:val="FF71E595"/>
    <w:rsid w:val="FF73A108"/>
    <w:rsid w:val="FF7560B9"/>
    <w:rsid w:val="FF761966"/>
    <w:rsid w:val="FF7713B6"/>
    <w:rsid w:val="FF788D96"/>
    <w:rsid w:val="FF7BB3D4"/>
    <w:rsid w:val="FF7EDC98"/>
    <w:rsid w:val="FF7F5A8C"/>
    <w:rsid w:val="FF7F67FA"/>
    <w:rsid w:val="FF7FA340"/>
    <w:rsid w:val="FF7FCADC"/>
    <w:rsid w:val="FF834E39"/>
    <w:rsid w:val="FF8F7E04"/>
    <w:rsid w:val="FF9F0FAC"/>
    <w:rsid w:val="FF9F3866"/>
    <w:rsid w:val="FF9FB7DE"/>
    <w:rsid w:val="FFAF0D25"/>
    <w:rsid w:val="FFB36AF6"/>
    <w:rsid w:val="FFB5C37B"/>
    <w:rsid w:val="FFB9E5FA"/>
    <w:rsid w:val="FFBB6A91"/>
    <w:rsid w:val="FFBB87DC"/>
    <w:rsid w:val="FFBD9AB4"/>
    <w:rsid w:val="FFBE92CA"/>
    <w:rsid w:val="FFBF0C38"/>
    <w:rsid w:val="FFBF53B3"/>
    <w:rsid w:val="FFBF61DD"/>
    <w:rsid w:val="FFBF6E35"/>
    <w:rsid w:val="FFBFB248"/>
    <w:rsid w:val="FFBFF5C0"/>
    <w:rsid w:val="FFC9E238"/>
    <w:rsid w:val="FFCB47E9"/>
    <w:rsid w:val="FFCBCBC0"/>
    <w:rsid w:val="FFCBF44A"/>
    <w:rsid w:val="FFCFEA05"/>
    <w:rsid w:val="FFD3F962"/>
    <w:rsid w:val="FFDA8AAB"/>
    <w:rsid w:val="FFDB0E39"/>
    <w:rsid w:val="FFDBADE3"/>
    <w:rsid w:val="FFDBFB54"/>
    <w:rsid w:val="FFDE2902"/>
    <w:rsid w:val="FFDE7B73"/>
    <w:rsid w:val="FFDF21C0"/>
    <w:rsid w:val="FFDFCF64"/>
    <w:rsid w:val="FFE526F7"/>
    <w:rsid w:val="FFE7B077"/>
    <w:rsid w:val="FFE92FC8"/>
    <w:rsid w:val="FFEC63D7"/>
    <w:rsid w:val="FFEE7175"/>
    <w:rsid w:val="FFEF043E"/>
    <w:rsid w:val="FFEF977F"/>
    <w:rsid w:val="FFEFCEF4"/>
    <w:rsid w:val="FFF10E7A"/>
    <w:rsid w:val="FFF2524E"/>
    <w:rsid w:val="FFF59FE1"/>
    <w:rsid w:val="FFF63C7A"/>
    <w:rsid w:val="FFF73829"/>
    <w:rsid w:val="FFF84ABE"/>
    <w:rsid w:val="FFF9F56F"/>
    <w:rsid w:val="FFFAAAE5"/>
    <w:rsid w:val="FFFB148D"/>
    <w:rsid w:val="FFFB9530"/>
    <w:rsid w:val="FFFD1DE9"/>
    <w:rsid w:val="FFFD2D1F"/>
    <w:rsid w:val="FFFD88E9"/>
    <w:rsid w:val="FFFD9B74"/>
    <w:rsid w:val="FFFDB94B"/>
    <w:rsid w:val="FFFDEAB1"/>
    <w:rsid w:val="FFFE2F7C"/>
    <w:rsid w:val="FFFE9CDE"/>
    <w:rsid w:val="FFFEAC17"/>
    <w:rsid w:val="FFFEBF0A"/>
    <w:rsid w:val="FFFEEB1B"/>
    <w:rsid w:val="FFFF3469"/>
    <w:rsid w:val="FFFF3A77"/>
    <w:rsid w:val="FFFF3E17"/>
    <w:rsid w:val="FFFF430E"/>
    <w:rsid w:val="FFFF9709"/>
    <w:rsid w:val="FFFF99EE"/>
    <w:rsid w:val="FFFFC2AF"/>
    <w:rsid w:val="FFFFF36A"/>
    <w:rsid w:val="FFFFF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宋体" w:cs="Times New Roman"/>
      <w:kern w:val="0"/>
      <w:sz w:val="28"/>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semiHidden/>
    <w:qFormat/>
    <w:uiPriority w:val="0"/>
    <w:rPr>
      <w:rFonts w:ascii="仿宋" w:hAnsi="仿宋" w:eastAsia="仿宋" w:cs="仿宋"/>
      <w:sz w:val="31"/>
      <w:szCs w:val="31"/>
      <w:lang w:val="en-US" w:eastAsia="en-US" w:bidi="ar-SA"/>
    </w:rPr>
  </w:style>
  <w:style w:type="paragraph" w:customStyle="1" w:styleId="5">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pPr>
    <w:rPr>
      <w:rFonts w:ascii="???-18030" w:hAnsi="???-18030" w:cs="???-18030"/>
      <w:kern w:val="0"/>
    </w:rPr>
  </w:style>
  <w:style w:type="paragraph" w:styleId="6">
    <w:name w:val="toc 5"/>
    <w:basedOn w:val="1"/>
    <w:next w:val="1"/>
    <w:qFormat/>
    <w:uiPriority w:val="0"/>
    <w:pPr>
      <w:ind w:left="1680" w:leftChars="8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12">
    <w:name w:val="列出段落1"/>
    <w:basedOn w:val="1"/>
    <w:qFormat/>
    <w:uiPriority w:val="34"/>
    <w:pPr>
      <w:ind w:firstLine="420" w:firstLineChars="200"/>
    </w:pPr>
  </w:style>
  <w:style w:type="paragraph" w:styleId="13">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5099</Words>
  <Characters>5660</Characters>
  <Lines>0</Lines>
  <Paragraphs>0</Paragraphs>
  <TotalTime>80</TotalTime>
  <ScaleCrop>false</ScaleCrop>
  <LinksUpToDate>false</LinksUpToDate>
  <CharactersWithSpaces>5830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2024-04-02T08:36:00Z</dcterms:created>
  <dc:creator>Administrator</dc:creator>
  <cp:lastModifiedBy>huawei</cp:lastModifiedBy>
  <cp:lastPrinted>2026-06-29T10:36:27Z</cp:lastPrinted>
  <dcterms:modified xsi:type="dcterms:W3CDTF">2026-06-29T11:03:11Z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6182D3A10D564617983F46DEE354AEAF</vt:lpwstr>
  </property>
  <property fmtid="{D5CDD505-2E9C-101B-9397-08002B2CF9AE}" pid="4" name="KSOTemplateDocerSaveRecord">
    <vt:lpwstr>eyJoZGlkIjoiMTQ5OTBlMjkxOGJkZTY2YWVjYTkxNWZjODEzNjkwZDciLCJ1c2VySWQiOiI3MzkwMTIwMjYifQ==</vt:lpwstr>
  </property>
</Properties>
</file>