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BE27C">
      <w:pPr>
        <w:jc w:val="center"/>
        <w:rPr>
          <w:rFonts w:hint="eastAsia" w:ascii="宋体" w:hAnsi="宋体" w:eastAsia="宋体" w:cs="宋体"/>
          <w:b/>
          <w:bCs/>
          <w:sz w:val="44"/>
          <w:szCs w:val="44"/>
        </w:rPr>
      </w:pPr>
    </w:p>
    <w:p w14:paraId="2B7F8F38">
      <w:pPr>
        <w:jc w:val="center"/>
        <w:rPr>
          <w:rFonts w:hint="eastAsia" w:ascii="宋体" w:hAnsi="宋体" w:eastAsia="宋体" w:cs="宋体"/>
          <w:b/>
          <w:bCs/>
          <w:sz w:val="44"/>
          <w:szCs w:val="44"/>
        </w:rPr>
      </w:pPr>
    </w:p>
    <w:p w14:paraId="69018BF5">
      <w:pPr>
        <w:jc w:val="center"/>
        <w:rPr>
          <w:rFonts w:hint="eastAsia" w:ascii="宋体" w:hAnsi="宋体" w:eastAsia="宋体" w:cs="宋体"/>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
        </w:rPr>
        <w:t>5</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color w:val="auto"/>
          <w:sz w:val="44"/>
          <w:szCs w:val="44"/>
        </w:rPr>
        <w:t>岳阳市城市管理综合行政执法支队站场执法大队</w:t>
      </w:r>
      <w:r>
        <w:rPr>
          <w:rFonts w:hint="eastAsia" w:asciiTheme="majorEastAsia" w:hAnsiTheme="majorEastAsia" w:eastAsiaTheme="majorEastAsia" w:cstheme="majorEastAsia"/>
          <w:b/>
          <w:bCs/>
          <w:sz w:val="44"/>
          <w:szCs w:val="44"/>
        </w:rPr>
        <w:t>整体支出绩效自评报告</w:t>
      </w:r>
    </w:p>
    <w:p w14:paraId="43A98248">
      <w:pPr>
        <w:jc w:val="center"/>
        <w:rPr>
          <w:rFonts w:hint="eastAsia" w:ascii="宋体" w:hAnsi="宋体" w:eastAsia="宋体" w:cs="宋体"/>
          <w:b/>
          <w:sz w:val="52"/>
          <w:szCs w:val="52"/>
        </w:rPr>
      </w:pPr>
    </w:p>
    <w:p w14:paraId="345CFD9B">
      <w:pPr>
        <w:jc w:val="center"/>
        <w:rPr>
          <w:rFonts w:hint="default" w:ascii="Times New Roman" w:hAnsi="Times New Roman" w:eastAsia="楷体_GB2312" w:cs="Times New Roman"/>
          <w:b/>
          <w:sz w:val="32"/>
          <w:szCs w:val="32"/>
        </w:rPr>
      </w:pPr>
    </w:p>
    <w:p w14:paraId="538C9033">
      <w:pPr>
        <w:jc w:val="center"/>
        <w:rPr>
          <w:rFonts w:hint="default" w:ascii="Times New Roman" w:hAnsi="Times New Roman" w:eastAsia="楷体_GB2312" w:cs="Times New Roman"/>
          <w:b/>
          <w:sz w:val="32"/>
          <w:szCs w:val="32"/>
        </w:rPr>
      </w:pPr>
    </w:p>
    <w:p w14:paraId="1DE6DD12">
      <w:pPr>
        <w:jc w:val="center"/>
        <w:rPr>
          <w:rFonts w:hint="default" w:ascii="Times New Roman" w:hAnsi="Times New Roman" w:eastAsia="楷体_GB2312" w:cs="Times New Roman"/>
          <w:b/>
          <w:sz w:val="32"/>
          <w:szCs w:val="32"/>
        </w:rPr>
      </w:pPr>
    </w:p>
    <w:p w14:paraId="28E4D817">
      <w:pPr>
        <w:jc w:val="center"/>
        <w:rPr>
          <w:rFonts w:hint="default" w:ascii="Times New Roman" w:hAnsi="Times New Roman" w:eastAsia="楷体_GB2312" w:cs="Times New Roman"/>
          <w:b/>
          <w:sz w:val="32"/>
          <w:szCs w:val="32"/>
        </w:rPr>
      </w:pPr>
    </w:p>
    <w:p w14:paraId="640DF62A">
      <w:pPr>
        <w:jc w:val="center"/>
        <w:rPr>
          <w:rFonts w:hint="default" w:ascii="Times New Roman" w:hAnsi="Times New Roman" w:eastAsia="楷体_GB2312" w:cs="Times New Roman"/>
          <w:b/>
          <w:sz w:val="32"/>
          <w:szCs w:val="32"/>
        </w:rPr>
      </w:pPr>
    </w:p>
    <w:p w14:paraId="30FB260B">
      <w:pPr>
        <w:jc w:val="both"/>
        <w:rPr>
          <w:rFonts w:hint="default" w:ascii="Times New Roman" w:hAnsi="Times New Roman" w:eastAsia="黑体" w:cs="Times New Roman"/>
          <w:sz w:val="32"/>
          <w:szCs w:val="32"/>
        </w:rPr>
      </w:pPr>
    </w:p>
    <w:p w14:paraId="285C0ADA">
      <w:pPr>
        <w:jc w:val="center"/>
        <w:rPr>
          <w:rFonts w:hint="default" w:ascii="Times New Roman" w:hAnsi="Times New Roman" w:eastAsia="黑体" w:cs="Times New Roman"/>
          <w:sz w:val="32"/>
          <w:szCs w:val="32"/>
        </w:rPr>
      </w:pPr>
    </w:p>
    <w:p w14:paraId="2D76631D">
      <w:pPr>
        <w:spacing w:line="600" w:lineRule="exact"/>
        <w:jc w:val="center"/>
        <w:rPr>
          <w:rFonts w:hint="eastAsia" w:asciiTheme="majorEastAsia" w:hAnsiTheme="majorEastAsia" w:eastAsiaTheme="majorEastAsia" w:cstheme="majorEastAsia"/>
          <w:b/>
          <w:bCs/>
          <w:sz w:val="32"/>
          <w:szCs w:val="32"/>
          <w:u w:val="single"/>
          <w:lang w:val="en-US" w:eastAsia="zh-CN"/>
        </w:rPr>
      </w:pPr>
      <w:r>
        <w:rPr>
          <w:rFonts w:hint="eastAsia" w:asciiTheme="majorEastAsia" w:hAnsiTheme="majorEastAsia" w:eastAsiaTheme="majorEastAsia" w:cstheme="majorEastAsia"/>
          <w:b/>
          <w:bCs/>
          <w:sz w:val="32"/>
          <w:szCs w:val="32"/>
        </w:rPr>
        <w:t>单位名称：</w:t>
      </w:r>
      <w:r>
        <w:rPr>
          <w:rFonts w:hint="eastAsia" w:asciiTheme="majorEastAsia" w:hAnsiTheme="majorEastAsia" w:eastAsiaTheme="majorEastAsia" w:cstheme="majorEastAsia"/>
          <w:b/>
          <w:bCs/>
          <w:color w:val="auto"/>
          <w:sz w:val="32"/>
          <w:szCs w:val="32"/>
          <w:u w:val="single"/>
        </w:rPr>
        <w:t>岳阳市城市管理综合行政执法支队站场执法大队</w:t>
      </w:r>
    </w:p>
    <w:p w14:paraId="317930CA">
      <w:pPr>
        <w:spacing w:line="600" w:lineRule="exact"/>
        <w:jc w:val="center"/>
        <w:rPr>
          <w:rFonts w:hint="eastAsia" w:asciiTheme="majorEastAsia" w:hAnsiTheme="majorEastAsia" w:eastAsiaTheme="majorEastAsia" w:cstheme="majorEastAsia"/>
          <w:b/>
          <w:bCs/>
          <w:sz w:val="32"/>
          <w:szCs w:val="32"/>
          <w:lang w:val="en-US" w:eastAsia="zh-CN"/>
        </w:rPr>
      </w:pPr>
    </w:p>
    <w:p w14:paraId="22C26AA3">
      <w:pPr>
        <w:spacing w:line="600" w:lineRule="exact"/>
        <w:jc w:val="center"/>
        <w:rPr>
          <w:rFonts w:hint="default" w:ascii="Times New Roman" w:hAnsi="Times New Roman" w:eastAsia="楷体_GB2312" w:cs="Times New Roman"/>
          <w:sz w:val="32"/>
          <w:szCs w:val="32"/>
        </w:rPr>
      </w:pPr>
      <w:r>
        <w:rPr>
          <w:rFonts w:hint="eastAsia" w:asciiTheme="majorEastAsia" w:hAnsiTheme="majorEastAsia" w:eastAsiaTheme="majorEastAsia" w:cstheme="majorEastAsia"/>
          <w:b/>
          <w:bCs/>
          <w:sz w:val="32"/>
          <w:szCs w:val="32"/>
          <w:lang w:val="en-US" w:eastAsia="zh-CN"/>
        </w:rPr>
        <w:t>202</w:t>
      </w:r>
      <w:r>
        <w:rPr>
          <w:rFonts w:hint="default" w:asciiTheme="majorEastAsia" w:hAnsiTheme="majorEastAsia" w:eastAsiaTheme="majorEastAsia" w:cstheme="majorEastAsia"/>
          <w:b/>
          <w:bCs/>
          <w:sz w:val="32"/>
          <w:szCs w:val="32"/>
          <w:lang w:val="en" w:eastAsia="zh-CN"/>
        </w:rPr>
        <w:t>6</w:t>
      </w:r>
      <w:r>
        <w:rPr>
          <w:rFonts w:hint="eastAsia" w:asciiTheme="majorEastAsia" w:hAnsiTheme="majorEastAsia" w:eastAsiaTheme="majorEastAsia" w:cstheme="majorEastAsia"/>
          <w:b/>
          <w:bCs/>
          <w:sz w:val="32"/>
          <w:szCs w:val="32"/>
        </w:rPr>
        <w:t>年</w:t>
      </w:r>
      <w:r>
        <w:rPr>
          <w:rFonts w:hint="eastAsia" w:asciiTheme="majorEastAsia" w:hAnsiTheme="majorEastAsia" w:eastAsiaTheme="majorEastAsia" w:cstheme="majorEastAsia"/>
          <w:b/>
          <w:bCs/>
          <w:sz w:val="32"/>
          <w:szCs w:val="32"/>
          <w:lang w:val="en-US" w:eastAsia="zh-CN"/>
        </w:rPr>
        <w:t>6</w:t>
      </w:r>
      <w:r>
        <w:rPr>
          <w:rFonts w:hint="eastAsia" w:asciiTheme="majorEastAsia" w:hAnsiTheme="majorEastAsia" w:eastAsiaTheme="majorEastAsia" w:cstheme="majorEastAsia"/>
          <w:b/>
          <w:bCs/>
          <w:sz w:val="32"/>
          <w:szCs w:val="32"/>
        </w:rPr>
        <w:t>月</w:t>
      </w:r>
      <w:r>
        <w:rPr>
          <w:rFonts w:hint="eastAsia" w:asciiTheme="majorEastAsia" w:hAnsiTheme="majorEastAsia" w:eastAsiaTheme="majorEastAsia" w:cstheme="majorEastAsia"/>
          <w:b/>
          <w:bCs/>
          <w:sz w:val="32"/>
          <w:szCs w:val="32"/>
          <w:lang w:val="en-US" w:eastAsia="zh-CN"/>
        </w:rPr>
        <w:t>18</w:t>
      </w:r>
      <w:r>
        <w:rPr>
          <w:rFonts w:hint="eastAsia" w:asciiTheme="majorEastAsia" w:hAnsiTheme="majorEastAsia" w:eastAsiaTheme="majorEastAsia" w:cstheme="majorEastAsia"/>
          <w:b/>
          <w:bCs/>
          <w:sz w:val="32"/>
          <w:szCs w:val="32"/>
        </w:rPr>
        <w:t>日</w:t>
      </w:r>
    </w:p>
    <w:p w14:paraId="74C66792">
      <w:pPr>
        <w:jc w:val="center"/>
        <w:rPr>
          <w:rFonts w:hint="default" w:ascii="Times New Roman" w:hAnsi="Times New Roman" w:eastAsia="仿宋_GB2312" w:cs="Times New Roman"/>
          <w:sz w:val="32"/>
          <w:szCs w:val="32"/>
        </w:rPr>
      </w:pPr>
    </w:p>
    <w:p w14:paraId="266E42ED">
      <w:pPr>
        <w:jc w:val="center"/>
        <w:rPr>
          <w:rFonts w:hint="eastAsia" w:ascii="方正小标宋简体" w:hAnsi="方正小标宋简体" w:eastAsia="方正小标宋简体" w:cs="方正小标宋简体"/>
          <w:sz w:val="44"/>
          <w:szCs w:val="44"/>
        </w:rPr>
        <w:sectPr>
          <w:pgSz w:w="11906" w:h="16838"/>
          <w:pgMar w:top="1440" w:right="1800" w:bottom="1440" w:left="1800" w:header="851" w:footer="992" w:gutter="0"/>
          <w:cols w:space="425" w:num="1"/>
          <w:docGrid w:type="lines" w:linePitch="312" w:charSpace="0"/>
        </w:sectPr>
      </w:pPr>
    </w:p>
    <w:p w14:paraId="557C2A4E">
      <w:pPr>
        <w:jc w:val="center"/>
        <w:rPr>
          <w:rFonts w:hint="eastAsia" w:ascii="方正小标宋简体" w:hAnsi="方正小标宋简体" w:eastAsia="方正小标宋简体" w:cs="方正小标宋简体"/>
          <w:b w:val="0"/>
          <w:bCs w:val="0"/>
          <w:sz w:val="44"/>
          <w:szCs w:val="44"/>
        </w:rPr>
      </w:pPr>
    </w:p>
    <w:p w14:paraId="591D7894">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
        </w:rPr>
        <w:t>5</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color w:val="auto"/>
          <w:sz w:val="44"/>
          <w:szCs w:val="44"/>
        </w:rPr>
        <w:t>岳阳市城市管理综合行政执法支队站场执法大队</w:t>
      </w:r>
      <w:r>
        <w:rPr>
          <w:rFonts w:hint="eastAsia" w:asciiTheme="majorEastAsia" w:hAnsiTheme="majorEastAsia" w:eastAsiaTheme="majorEastAsia" w:cstheme="majorEastAsia"/>
          <w:b/>
          <w:bCs/>
          <w:sz w:val="44"/>
          <w:szCs w:val="44"/>
        </w:rPr>
        <w:t>整体支出绩效自评报告</w:t>
      </w:r>
    </w:p>
    <w:p w14:paraId="49E91336">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p>
    <w:p w14:paraId="11788D0F">
      <w:pPr>
        <w:keepNext w:val="0"/>
        <w:keepLines w:val="0"/>
        <w:pageBreakBefore w:val="0"/>
        <w:numPr>
          <w:ilvl w:val="0"/>
          <w:numId w:val="0"/>
        </w:numPr>
        <w:kinsoku/>
        <w:wordWrap/>
        <w:overflowPunct/>
        <w:topLinePunct w:val="0"/>
        <w:autoSpaceDE/>
        <w:autoSpaceDN/>
        <w:bidi w:val="0"/>
        <w:adjustRightInd/>
        <w:snapToGrid/>
        <w:spacing w:line="600" w:lineRule="exact"/>
        <w:ind w:left="840" w:leftChars="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单位基本情况</w:t>
      </w:r>
    </w:p>
    <w:p w14:paraId="236C0EE0">
      <w:pPr>
        <w:keepNext w:val="0"/>
        <w:keepLines w:val="0"/>
        <w:pageBreakBefore w:val="0"/>
        <w:widowControl/>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（一）职能职责</w:t>
      </w:r>
    </w:p>
    <w:p w14:paraId="41128F38">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主要负责岳阳火车站、岳阳火车东站地区的综合管理、行政执法的综合协调和监督工作，在辖区开展综合执法并行使相对集中行政处罚权，具体行使市容环境卫生、市政、城市绿化、规划、环境保护、公安交通、工商行政、交通运输、物价、食品安全、文化市场等部分职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负责协调相关部门依法对辖区的社会治安和道路交通等实施管理，协调行政许可机关办理涉及市容环境、市政园林、道路运输等行政审批事项，对可能影响岳阳火车站地区管理秩序的，在审核批准前提出意见，以及协助市春运办做好岳阳火车站、岳阳火车东站春运工作，拟订并组织实施岳阳火车站地区应急预案。</w:t>
      </w:r>
      <w:r>
        <w:rPr>
          <w:rFonts w:hint="eastAsia" w:ascii="仿宋_GB2312" w:hAnsi="仿宋_GB2312" w:eastAsia="仿宋_GB2312" w:cs="仿宋_GB2312"/>
          <w:sz w:val="32"/>
          <w:szCs w:val="32"/>
          <w:lang w:val="en-US" w:eastAsia="zh-CN"/>
        </w:rPr>
        <w:t>2024年9月， 机构改革划入职能：承担金凤桥管理处、通海路管理处、木里港管理处辖区范围内城管综合行政执法工作。</w:t>
      </w:r>
    </w:p>
    <w:p w14:paraId="43F7204A">
      <w:pPr>
        <w:keepNext w:val="0"/>
        <w:keepLines w:val="0"/>
        <w:pageBreakBefore w:val="0"/>
        <w:widowControl/>
        <w:kinsoku/>
        <w:wordWrap/>
        <w:overflowPunct/>
        <w:topLinePunct w:val="0"/>
        <w:bidi w:val="0"/>
        <w:adjustRightInd/>
        <w:snapToGrid/>
        <w:spacing w:line="600" w:lineRule="exact"/>
        <w:ind w:firstLine="643" w:firstLineChars="200"/>
        <w:jc w:val="both"/>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（二）机构设置</w:t>
      </w:r>
    </w:p>
    <w:p w14:paraId="5B0FB596">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我单位为</w:t>
      </w:r>
      <w:r>
        <w:rPr>
          <w:rFonts w:hint="eastAsia" w:ascii="仿宋_GB2312" w:hAnsi="仿宋_GB2312" w:eastAsia="仿宋_GB2312" w:cs="仿宋_GB2312"/>
          <w:sz w:val="32"/>
          <w:szCs w:val="32"/>
        </w:rPr>
        <w:t>岳阳市城市管理综合行政执法支队</w:t>
      </w:r>
      <w:r>
        <w:rPr>
          <w:rFonts w:hint="eastAsia" w:ascii="仿宋_GB2312" w:hAnsi="仿宋_GB2312" w:eastAsia="仿宋_GB2312" w:cs="仿宋_GB2312"/>
          <w:sz w:val="32"/>
          <w:szCs w:val="32"/>
          <w:lang w:val="en-US" w:eastAsia="zh-CN"/>
        </w:rPr>
        <w:t>直属</w:t>
      </w:r>
      <w:r>
        <w:rPr>
          <w:rFonts w:hint="eastAsia" w:ascii="仿宋_GB2312" w:hAnsi="仿宋_GB2312" w:eastAsia="仿宋_GB2312" w:cs="仿宋_GB2312"/>
          <w:sz w:val="32"/>
          <w:szCs w:val="32"/>
        </w:rPr>
        <w:t>公益一类事业单位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现有人员编制</w:t>
      </w:r>
      <w:r>
        <w:rPr>
          <w:rFonts w:hint="eastAsia" w:ascii="仿宋_GB2312" w:hAnsi="仿宋_GB2312" w:eastAsia="仿宋_GB2312" w:cs="仿宋_GB2312"/>
          <w:sz w:val="32"/>
          <w:szCs w:val="32"/>
          <w:lang w:val="en-US" w:eastAsia="zh-CN"/>
        </w:rPr>
        <w:t>79人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rPr>
        <w:t>内设综合</w:t>
      </w:r>
      <w:r>
        <w:rPr>
          <w:rFonts w:hint="eastAsia" w:ascii="仿宋_GB2312" w:hAnsi="仿宋_GB2312" w:eastAsia="仿宋_GB2312" w:cs="仿宋_GB2312"/>
          <w:sz w:val="32"/>
          <w:szCs w:val="32"/>
          <w:lang w:val="en-US" w:eastAsia="zh-CN"/>
        </w:rPr>
        <w:t>股</w:t>
      </w:r>
      <w:r>
        <w:rPr>
          <w:rFonts w:hint="eastAsia" w:ascii="仿宋_GB2312" w:hAnsi="仿宋_GB2312" w:eastAsia="仿宋_GB2312" w:cs="仿宋_GB2312"/>
          <w:sz w:val="32"/>
          <w:szCs w:val="32"/>
          <w:lang w:val="en-US"/>
        </w:rPr>
        <w:t>、财务</w:t>
      </w:r>
      <w:r>
        <w:rPr>
          <w:rFonts w:hint="eastAsia" w:ascii="仿宋_GB2312" w:hAnsi="仿宋_GB2312" w:eastAsia="仿宋_GB2312" w:cs="仿宋_GB2312"/>
          <w:sz w:val="32"/>
          <w:szCs w:val="32"/>
          <w:lang w:val="en-US" w:eastAsia="zh-CN"/>
        </w:rPr>
        <w:t>股</w:t>
      </w:r>
      <w:r>
        <w:rPr>
          <w:rFonts w:hint="eastAsia" w:ascii="仿宋_GB2312" w:hAnsi="仿宋_GB2312" w:eastAsia="仿宋_GB2312" w:cs="仿宋_GB2312"/>
          <w:sz w:val="32"/>
          <w:szCs w:val="32"/>
          <w:lang w:val="en-US"/>
        </w:rPr>
        <w:t>、人事</w:t>
      </w:r>
      <w:r>
        <w:rPr>
          <w:rFonts w:hint="eastAsia" w:ascii="仿宋_GB2312" w:hAnsi="仿宋_GB2312" w:eastAsia="仿宋_GB2312" w:cs="仿宋_GB2312"/>
          <w:sz w:val="32"/>
          <w:szCs w:val="32"/>
          <w:lang w:val="en-US" w:eastAsia="zh-CN"/>
        </w:rPr>
        <w:t>股</w:t>
      </w:r>
      <w:r>
        <w:rPr>
          <w:rFonts w:hint="eastAsia" w:ascii="仿宋_GB2312" w:hAnsi="仿宋_GB2312" w:eastAsia="仿宋_GB2312" w:cs="仿宋_GB2312"/>
          <w:sz w:val="32"/>
          <w:szCs w:val="32"/>
          <w:lang w:val="en-US"/>
        </w:rPr>
        <w:t>、法</w:t>
      </w:r>
      <w:r>
        <w:rPr>
          <w:rFonts w:hint="eastAsia" w:ascii="仿宋_GB2312" w:hAnsi="仿宋_GB2312" w:eastAsia="仿宋_GB2312" w:cs="仿宋_GB2312"/>
          <w:sz w:val="32"/>
          <w:szCs w:val="32"/>
          <w:lang w:val="en-US" w:eastAsia="zh-CN"/>
        </w:rPr>
        <w:t>制股</w:t>
      </w:r>
      <w:r>
        <w:rPr>
          <w:rFonts w:hint="eastAsia" w:ascii="仿宋_GB2312" w:hAnsi="仿宋_GB2312" w:eastAsia="仿宋_GB2312" w:cs="仿宋_GB2312"/>
          <w:sz w:val="32"/>
          <w:szCs w:val="32"/>
          <w:lang w:val="en-US"/>
        </w:rPr>
        <w:t>和</w:t>
      </w:r>
      <w:r>
        <w:rPr>
          <w:rFonts w:hint="eastAsia" w:ascii="仿宋_GB2312" w:hAnsi="仿宋_GB2312" w:eastAsia="仿宋_GB2312" w:cs="仿宋_GB2312"/>
          <w:sz w:val="32"/>
          <w:szCs w:val="32"/>
          <w:lang w:val="en-US" w:eastAsia="zh-CN"/>
        </w:rPr>
        <w:t>执法协调股5</w:t>
      </w:r>
      <w:r>
        <w:rPr>
          <w:rFonts w:hint="eastAsia" w:ascii="仿宋_GB2312" w:hAnsi="仿宋_GB2312" w:eastAsia="仿宋_GB2312" w:cs="仿宋_GB2312"/>
          <w:sz w:val="32"/>
          <w:szCs w:val="32"/>
          <w:lang w:val="en-US"/>
        </w:rPr>
        <w:t>个职能</w:t>
      </w:r>
      <w:r>
        <w:rPr>
          <w:rFonts w:hint="eastAsia" w:ascii="仿宋_GB2312" w:hAnsi="仿宋_GB2312" w:eastAsia="仿宋_GB2312" w:cs="仿宋_GB2312"/>
          <w:sz w:val="32"/>
          <w:szCs w:val="32"/>
          <w:lang w:val="en-US" w:eastAsia="zh-CN"/>
        </w:rPr>
        <w:t>股</w:t>
      </w:r>
      <w:r>
        <w:rPr>
          <w:rFonts w:hint="eastAsia" w:ascii="仿宋_GB2312" w:hAnsi="仿宋_GB2312" w:eastAsia="仿宋_GB2312" w:cs="仿宋_GB2312"/>
          <w:sz w:val="32"/>
          <w:szCs w:val="32"/>
          <w:lang w:val="en-US"/>
        </w:rPr>
        <w:t>室</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下设</w:t>
      </w:r>
      <w:r>
        <w:rPr>
          <w:rFonts w:hint="eastAsia" w:ascii="仿宋_GB2312" w:hAnsi="仿宋_GB2312" w:eastAsia="仿宋_GB2312" w:cs="仿宋_GB2312"/>
          <w:sz w:val="32"/>
          <w:szCs w:val="32"/>
          <w:lang w:val="en"/>
        </w:rPr>
        <w:t>6</w:t>
      </w:r>
      <w:r>
        <w:rPr>
          <w:rFonts w:hint="eastAsia" w:ascii="仿宋_GB2312" w:hAnsi="仿宋_GB2312" w:eastAsia="仿宋_GB2312" w:cs="仿宋_GB2312"/>
          <w:sz w:val="32"/>
          <w:szCs w:val="32"/>
        </w:rPr>
        <w:t>个分支机构：</w:t>
      </w:r>
      <w:r>
        <w:rPr>
          <w:rFonts w:hint="eastAsia" w:ascii="仿宋_GB2312" w:hAnsi="仿宋_GB2312" w:eastAsia="仿宋_GB2312" w:cs="仿宋_GB2312"/>
          <w:sz w:val="32"/>
          <w:szCs w:val="32"/>
          <w:lang w:eastAsia="zh-CN"/>
        </w:rPr>
        <w:t>东站中</w:t>
      </w:r>
      <w:r>
        <w:rPr>
          <w:rFonts w:hint="eastAsia" w:ascii="仿宋_GB2312" w:hAnsi="仿宋_GB2312" w:eastAsia="仿宋_GB2312" w:cs="仿宋_GB2312"/>
          <w:sz w:val="32"/>
          <w:szCs w:val="32"/>
        </w:rPr>
        <w:t>队、</w:t>
      </w:r>
      <w:r>
        <w:rPr>
          <w:rFonts w:hint="eastAsia" w:ascii="仿宋_GB2312" w:hAnsi="仿宋_GB2312" w:eastAsia="仿宋_GB2312" w:cs="仿宋_GB2312"/>
          <w:sz w:val="32"/>
          <w:szCs w:val="32"/>
          <w:lang w:eastAsia="zh-CN"/>
        </w:rPr>
        <w:t>火车站中</w:t>
      </w:r>
      <w:r>
        <w:rPr>
          <w:rFonts w:hint="eastAsia" w:ascii="仿宋_GB2312" w:hAnsi="仿宋_GB2312" w:eastAsia="仿宋_GB2312" w:cs="仿宋_GB2312"/>
          <w:sz w:val="32"/>
          <w:szCs w:val="32"/>
        </w:rPr>
        <w:t>队、</w:t>
      </w:r>
      <w:r>
        <w:rPr>
          <w:rFonts w:hint="eastAsia" w:ascii="仿宋_GB2312" w:hAnsi="仿宋_GB2312" w:eastAsia="仿宋_GB2312" w:cs="仿宋_GB2312"/>
          <w:sz w:val="32"/>
          <w:szCs w:val="32"/>
          <w:lang w:eastAsia="zh-CN"/>
        </w:rPr>
        <w:t>通海路中</w:t>
      </w:r>
      <w:r>
        <w:rPr>
          <w:rFonts w:hint="eastAsia" w:ascii="仿宋_GB2312" w:hAnsi="仿宋_GB2312" w:eastAsia="仿宋_GB2312" w:cs="仿宋_GB2312"/>
          <w:sz w:val="32"/>
          <w:szCs w:val="32"/>
        </w:rPr>
        <w:t>队</w:t>
      </w:r>
      <w:r>
        <w:rPr>
          <w:rFonts w:hint="eastAsia" w:ascii="仿宋_GB2312" w:hAnsi="仿宋_GB2312" w:eastAsia="仿宋_GB2312" w:cs="仿宋_GB2312"/>
          <w:sz w:val="32"/>
          <w:szCs w:val="32"/>
          <w:lang w:eastAsia="zh-CN"/>
        </w:rPr>
        <w:t>、金凤桥中队、木里港中队、机动应急中队</w:t>
      </w:r>
      <w:r>
        <w:rPr>
          <w:rFonts w:hint="eastAsia" w:ascii="仿宋_GB2312" w:hAnsi="仿宋_GB2312" w:eastAsia="仿宋_GB2312" w:cs="仿宋_GB2312"/>
          <w:sz w:val="32"/>
          <w:szCs w:val="32"/>
        </w:rPr>
        <w:t>。</w:t>
      </w:r>
    </w:p>
    <w:p w14:paraId="08DE00C5">
      <w:pPr>
        <w:pStyle w:val="11"/>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二、一般公共预算支出情况</w:t>
      </w:r>
    </w:p>
    <w:p w14:paraId="39F17F14">
      <w:pPr>
        <w:pStyle w:val="11"/>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（一）基本支出情况</w:t>
      </w:r>
    </w:p>
    <w:p w14:paraId="006E2CB0">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总额为1</w:t>
      </w:r>
      <w:r>
        <w:rPr>
          <w:rFonts w:hint="eastAsia" w:ascii="仿宋_GB2312" w:hAnsi="仿宋_GB2312" w:eastAsia="仿宋_GB2312" w:cs="仿宋_GB2312"/>
          <w:sz w:val="32"/>
          <w:szCs w:val="32"/>
          <w:lang w:val="en" w:eastAsia="zh-CN"/>
        </w:rPr>
        <w:t>466.46</w:t>
      </w:r>
      <w:r>
        <w:rPr>
          <w:rFonts w:hint="eastAsia" w:ascii="仿宋_GB2312" w:hAnsi="仿宋_GB2312" w:eastAsia="仿宋_GB2312" w:cs="仿宋_GB2312"/>
          <w:sz w:val="32"/>
          <w:szCs w:val="32"/>
        </w:rPr>
        <w:t>万元，其中人员经费支出</w:t>
      </w:r>
      <w:r>
        <w:rPr>
          <w:rFonts w:hint="eastAsia" w:ascii="仿宋_GB2312" w:hAnsi="仿宋_GB2312" w:eastAsia="仿宋_GB2312" w:cs="仿宋_GB2312"/>
          <w:sz w:val="32"/>
          <w:szCs w:val="32"/>
          <w:lang w:val="en" w:eastAsia="zh-CN"/>
        </w:rPr>
        <w:t>1337.95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主要用于职工基本工资、津补贴、绩效工资及社会保险缴费、退休费等支出。</w:t>
      </w:r>
      <w:r>
        <w:rPr>
          <w:rFonts w:hint="eastAsia" w:ascii="仿宋_GB2312" w:hAnsi="仿宋_GB2312" w:eastAsia="仿宋_GB2312" w:cs="仿宋_GB2312"/>
          <w:sz w:val="32"/>
          <w:szCs w:val="32"/>
        </w:rPr>
        <w:t>公用</w:t>
      </w:r>
      <w:r>
        <w:rPr>
          <w:rFonts w:hint="eastAsia" w:ascii="仿宋_GB2312" w:hAnsi="仿宋_GB2312" w:eastAsia="仿宋_GB2312" w:cs="仿宋_GB2312"/>
          <w:sz w:val="32"/>
          <w:szCs w:val="32"/>
          <w:lang w:val="en-US" w:eastAsia="zh-CN"/>
        </w:rPr>
        <w:t>经费</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128.51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用于办公费、印刷费、水电费、邮电费、物业费、差旅费、维修（护）费、租赁费、培训费、公务接待费、劳务费、委托业务费、工会经费、公务用车运行费、其他交通费用、其他商品和服务支出等单位运转费用支出。</w:t>
      </w:r>
    </w:p>
    <w:p w14:paraId="4851BD8E">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本年度公务接待费</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lang w:val="en-US" w:eastAsia="zh-CN"/>
        </w:rPr>
        <w:t>0万元，实际</w:t>
      </w:r>
      <w:r>
        <w:rPr>
          <w:rFonts w:hint="eastAsia" w:ascii="仿宋_GB2312" w:hAnsi="仿宋_GB2312" w:eastAsia="仿宋_GB2312" w:cs="仿宋_GB2312"/>
          <w:sz w:val="32"/>
          <w:szCs w:val="32"/>
        </w:rPr>
        <w:t>支出0万元，</w:t>
      </w:r>
      <w:r>
        <w:rPr>
          <w:rFonts w:hint="eastAsia" w:ascii="仿宋_GB2312" w:hAnsi="仿宋_GB2312" w:eastAsia="仿宋_GB2312" w:cs="仿宋_GB2312"/>
          <w:sz w:val="32"/>
          <w:szCs w:val="32"/>
          <w:lang w:val="en-US" w:eastAsia="zh-CN"/>
        </w:rPr>
        <w:t>公务用车购置及</w:t>
      </w:r>
      <w:r>
        <w:rPr>
          <w:rFonts w:hint="eastAsia" w:ascii="仿宋_GB2312" w:hAnsi="仿宋_GB2312" w:eastAsia="仿宋_GB2312" w:cs="仿宋_GB2312"/>
          <w:sz w:val="32"/>
          <w:szCs w:val="32"/>
        </w:rPr>
        <w:t>公务用车运行维护费支出</w:t>
      </w:r>
      <w:r>
        <w:rPr>
          <w:rFonts w:hint="eastAsia" w:ascii="仿宋_GB2312" w:hAnsi="仿宋_GB2312" w:eastAsia="仿宋_GB2312" w:cs="仿宋_GB2312"/>
          <w:sz w:val="32"/>
          <w:szCs w:val="32"/>
          <w:lang w:eastAsia="zh-CN"/>
        </w:rPr>
        <w:t>预算</w:t>
      </w:r>
      <w:r>
        <w:rPr>
          <w:rFonts w:hint="eastAsia" w:ascii="仿宋_GB2312" w:hAnsi="仿宋_GB2312" w:eastAsia="仿宋_GB2312" w:cs="仿宋_GB2312"/>
          <w:sz w:val="32"/>
          <w:szCs w:val="32"/>
          <w:lang w:val="en-US" w:eastAsia="zh-CN"/>
        </w:rPr>
        <w:t>21.00万元（其中公车购置预算0万元），</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val="en-US" w:eastAsia="zh-CN"/>
        </w:rPr>
        <w:t>实际支出21.00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，因</w:t>
      </w:r>
      <w:r>
        <w:rPr>
          <w:rFonts w:hint="eastAsia" w:ascii="仿宋_GB2312" w:hAnsi="仿宋_GB2312" w:eastAsia="仿宋_GB2312" w:cs="仿宋_GB2312"/>
          <w:sz w:val="32"/>
          <w:szCs w:val="32"/>
        </w:rPr>
        <w:t>公出国</w:t>
      </w:r>
      <w:r>
        <w:rPr>
          <w:rFonts w:hint="eastAsia" w:ascii="仿宋_GB2312" w:hAnsi="仿宋_GB2312" w:eastAsia="仿宋_GB2312" w:cs="仿宋_GB2312"/>
          <w:sz w:val="32"/>
          <w:szCs w:val="32"/>
          <w:lang w:eastAsia="zh-CN"/>
        </w:rPr>
        <w:t>费用</w:t>
      </w:r>
      <w:r>
        <w:rPr>
          <w:rFonts w:hint="eastAsia" w:ascii="仿宋_GB2312" w:hAnsi="仿宋_GB2312" w:eastAsia="仿宋_GB2312" w:cs="仿宋_GB2312"/>
          <w:sz w:val="32"/>
          <w:szCs w:val="32"/>
          <w:lang w:val="en-US" w:eastAsia="zh-CN"/>
        </w:rPr>
        <w:t>预算与实际</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均为</w:t>
      </w:r>
      <w:r>
        <w:rPr>
          <w:rFonts w:hint="eastAsia" w:ascii="仿宋_GB2312" w:hAnsi="仿宋_GB2312" w:eastAsia="仿宋_GB2312" w:cs="仿宋_GB2312"/>
          <w:sz w:val="32"/>
          <w:szCs w:val="32"/>
        </w:rPr>
        <w:t>0万元</w:t>
      </w:r>
      <w:r>
        <w:rPr>
          <w:rFonts w:hint="eastAsia" w:ascii="仿宋_GB2312" w:hAnsi="仿宋_GB2312" w:eastAsia="仿宋_GB2312" w:cs="仿宋_GB2312"/>
          <w:sz w:val="32"/>
          <w:szCs w:val="32"/>
          <w:lang w:eastAsia="zh-CN"/>
        </w:rPr>
        <w:t>，“三公经费”支出</w:t>
      </w:r>
      <w:r>
        <w:rPr>
          <w:rFonts w:hint="eastAsia" w:ascii="仿宋_GB2312" w:hAnsi="仿宋_GB2312" w:eastAsia="仿宋_GB2312" w:cs="仿宋_GB2312"/>
          <w:sz w:val="32"/>
          <w:szCs w:val="32"/>
          <w:lang w:val="en-US" w:eastAsia="zh-CN"/>
        </w:rPr>
        <w:t>总额为21.00万元，</w:t>
      </w:r>
      <w:r>
        <w:rPr>
          <w:rFonts w:hint="eastAsia" w:ascii="仿宋_GB2312" w:hAnsi="仿宋_GB2312" w:eastAsia="仿宋_GB2312" w:cs="仿宋_GB2312"/>
          <w:sz w:val="32"/>
          <w:szCs w:val="32"/>
          <w:lang w:eastAsia="zh-CN"/>
        </w:rPr>
        <w:t>控制在年初预算之内</w:t>
      </w:r>
      <w:r>
        <w:rPr>
          <w:rFonts w:hint="eastAsia" w:ascii="仿宋_GB2312" w:hAnsi="仿宋_GB2312" w:eastAsia="仿宋_GB2312" w:cs="仿宋_GB2312"/>
          <w:sz w:val="32"/>
          <w:szCs w:val="32"/>
        </w:rPr>
        <w:t>。</w:t>
      </w:r>
    </w:p>
    <w:p w14:paraId="270AF5DA">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二）</w:t>
      </w:r>
      <w:r>
        <w:rPr>
          <w:rFonts w:hint="eastAsia" w:ascii="仿宋_GB2312" w:hAnsi="仿宋_GB2312" w:eastAsia="仿宋_GB2312" w:cs="仿宋_GB2312"/>
          <w:b/>
          <w:sz w:val="32"/>
          <w:szCs w:val="32"/>
        </w:rPr>
        <w:t>项目支出情况</w:t>
      </w:r>
    </w:p>
    <w:p w14:paraId="33635713">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支出年初</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val="en-US" w:eastAsia="zh-CN"/>
        </w:rPr>
        <w:t>金额为870.00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本年</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lang w:val="en-US" w:eastAsia="zh-CN"/>
        </w:rPr>
        <w:t>金额为867.99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城管事务经费</w:t>
      </w:r>
      <w:r>
        <w:rPr>
          <w:rFonts w:hint="eastAsia" w:ascii="仿宋_GB2312" w:hAnsi="仿宋_GB2312" w:eastAsia="仿宋_GB2312" w:cs="仿宋_GB2312"/>
          <w:sz w:val="32"/>
          <w:szCs w:val="32"/>
          <w:lang w:val="en-US" w:eastAsia="zh-CN"/>
        </w:rPr>
        <w:t>支出197.49万元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协管员经费</w:t>
      </w:r>
      <w:r>
        <w:rPr>
          <w:rFonts w:hint="eastAsia" w:ascii="仿宋_GB2312" w:hAnsi="仿宋_GB2312" w:eastAsia="仿宋_GB2312" w:cs="仿宋_GB2312"/>
          <w:sz w:val="32"/>
          <w:szCs w:val="32"/>
          <w:lang w:val="en-US" w:eastAsia="zh-CN"/>
        </w:rPr>
        <w:t>支出670.50万元，主要用于保障岳阳火车站地区和岳阳火车东站地区执法执勤、综合整治、广场设施设备维护及运行、两站广场绿化、</w:t>
      </w:r>
      <w:r>
        <w:rPr>
          <w:rFonts w:hint="eastAsia" w:ascii="仿宋_GB2312" w:hAnsi="仿宋_GB2312" w:eastAsia="仿宋_GB2312" w:cs="仿宋_GB2312"/>
          <w:sz w:val="32"/>
          <w:szCs w:val="32"/>
        </w:rPr>
        <w:t>春运</w:t>
      </w:r>
      <w:r>
        <w:rPr>
          <w:rFonts w:hint="eastAsia" w:ascii="仿宋_GB2312" w:hAnsi="仿宋_GB2312" w:eastAsia="仿宋_GB2312" w:cs="仿宋_GB2312"/>
          <w:sz w:val="32"/>
          <w:szCs w:val="32"/>
          <w:lang w:val="en-US" w:eastAsia="zh-CN"/>
        </w:rPr>
        <w:t>秩序</w:t>
      </w:r>
      <w:r>
        <w:rPr>
          <w:rFonts w:hint="eastAsia" w:ascii="仿宋_GB2312" w:hAnsi="仿宋_GB2312" w:eastAsia="仿宋_GB2312" w:cs="仿宋_GB2312"/>
          <w:sz w:val="32"/>
          <w:szCs w:val="32"/>
        </w:rPr>
        <w:t>管理</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lang w:val="en-US" w:eastAsia="zh-CN"/>
        </w:rPr>
        <w:t>金凤桥管理处、通海路管理处、木里港管理处辖区范围内城管综合行政执法等工作顺利实施。</w:t>
      </w:r>
    </w:p>
    <w:p w14:paraId="5A1FA8E4">
      <w:pPr>
        <w:pStyle w:val="11"/>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政府性基金预算</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国有资本经营预算</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社会保险基金预算支出情况</w:t>
      </w:r>
    </w:p>
    <w:p w14:paraId="5490CEAF">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政府性基金预算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国有资本经营预算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社会保险基金预算支出</w:t>
      </w:r>
      <w:r>
        <w:rPr>
          <w:rFonts w:hint="eastAsia" w:ascii="仿宋_GB2312" w:hAnsi="仿宋_GB2312" w:eastAsia="仿宋_GB2312" w:cs="仿宋_GB2312"/>
          <w:sz w:val="32"/>
          <w:szCs w:val="32"/>
          <w:lang w:val="en-US" w:eastAsia="zh-CN"/>
        </w:rPr>
        <w:t>。</w:t>
      </w:r>
    </w:p>
    <w:p w14:paraId="01EF0779">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部门整体支出绩效情况</w:t>
      </w:r>
    </w:p>
    <w:p w14:paraId="09D07E9A">
      <w:pPr>
        <w:pStyle w:val="3"/>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_GB2312" w:hAnsi="仿宋_GB2312" w:eastAsia="仿宋_GB2312" w:cs="仿宋_GB2312"/>
          <w:b/>
          <w:bCs w:val="0"/>
          <w:color w:val="auto"/>
          <w:kern w:val="2"/>
          <w:sz w:val="32"/>
          <w:szCs w:val="32"/>
          <w:highlight w:val="none"/>
          <w:lang w:val="en-US" w:eastAsia="zh-CN" w:bidi="ar-SA"/>
        </w:rPr>
      </w:pPr>
      <w:r>
        <w:rPr>
          <w:rFonts w:hint="eastAsia" w:ascii="仿宋_GB2312" w:hAnsi="仿宋_GB2312" w:eastAsia="仿宋_GB2312" w:cs="仿宋_GB2312"/>
          <w:b/>
          <w:bCs w:val="0"/>
          <w:color w:val="auto"/>
          <w:kern w:val="2"/>
          <w:sz w:val="32"/>
          <w:szCs w:val="32"/>
          <w:highlight w:val="none"/>
          <w:lang w:val="en-US" w:eastAsia="zh-CN" w:bidi="ar-SA"/>
        </w:rPr>
        <w:t>年度绩效目标及完成情况</w:t>
      </w:r>
    </w:p>
    <w:p w14:paraId="670E61FB">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目标</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认真贯彻、执行国家和地方关于综合行政执法的政策、法规；</w:t>
      </w:r>
    </w:p>
    <w:p w14:paraId="2FBFE09A">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目标</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依法实施行政处罚，加强岳阳火车站、岳阳火车东站客运市场、道路交通、环境卫生、市政设施、园林绿化等各类秩序管理，强化服务群众特别是过往旅客工作，全面提</w:t>
      </w:r>
      <w:r>
        <w:rPr>
          <w:rFonts w:hint="eastAsia" w:ascii="仿宋_GB2312" w:hAnsi="仿宋_GB2312" w:eastAsia="仿宋_GB2312" w:cs="仿宋_GB2312"/>
          <w:sz w:val="32"/>
          <w:szCs w:val="32"/>
          <w:lang w:eastAsia="zh-CN"/>
        </w:rPr>
        <w:t>升</w:t>
      </w:r>
      <w:r>
        <w:rPr>
          <w:rFonts w:hint="eastAsia" w:ascii="仿宋_GB2312" w:hAnsi="仿宋_GB2312" w:eastAsia="仿宋_GB2312" w:cs="仿宋_GB2312"/>
          <w:sz w:val="32"/>
          <w:szCs w:val="32"/>
        </w:rPr>
        <w:t>窗口形象；协助市春运办做好两站一年一度的的春运工作；强化通海路管理处、金凤桥管理处、木里港管理处等区域城市管理和综合执法；</w:t>
      </w:r>
    </w:p>
    <w:p w14:paraId="0440F510">
      <w:pPr>
        <w:pStyle w:val="2"/>
        <w:bidi w:val="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目标</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为我市打造环境优美、秩序井然、干净整洁的环境。</w:t>
      </w:r>
    </w:p>
    <w:p w14:paraId="5D6BF373">
      <w:pPr>
        <w:pStyle w:val="2"/>
        <w:keepNext w:val="0"/>
        <w:keepLines w:val="0"/>
        <w:pageBreakBefore w:val="0"/>
        <w:wordWrap/>
        <w:overflowPunct/>
        <w:topLinePunct w:val="0"/>
        <w:bidi w:val="0"/>
        <w:spacing w:line="600" w:lineRule="exact"/>
        <w:ind w:firstLine="964" w:firstLineChars="3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val="0"/>
          <w:color w:val="auto"/>
          <w:kern w:val="2"/>
          <w:sz w:val="32"/>
          <w:szCs w:val="32"/>
          <w:highlight w:val="none"/>
          <w:lang w:val="en-US" w:eastAsia="zh-CN" w:bidi="ar-SA"/>
        </w:rPr>
        <w:t>完成情况：</w:t>
      </w:r>
    </w:p>
    <w:p w14:paraId="7AC5B7A4">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目标</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完成情况：在岳阳火车站地区</w:t>
      </w:r>
      <w:r>
        <w:rPr>
          <w:rFonts w:hint="eastAsia" w:ascii="仿宋_GB2312" w:hAnsi="仿宋_GB2312" w:eastAsia="仿宋_GB2312" w:cs="仿宋_GB2312"/>
          <w:sz w:val="32"/>
          <w:szCs w:val="32"/>
        </w:rPr>
        <w:t>认真贯彻、执行国家和地方关于综合行政执法的政策、法规</w:t>
      </w:r>
      <w:r>
        <w:rPr>
          <w:rFonts w:hint="eastAsia" w:ascii="仿宋_GB2312" w:hAnsi="仿宋_GB2312" w:eastAsia="仿宋_GB2312" w:cs="仿宋_GB2312"/>
          <w:sz w:val="32"/>
          <w:szCs w:val="32"/>
          <w:lang w:eastAsia="zh-CN"/>
        </w:rPr>
        <w:t>，取得了良好的效果</w:t>
      </w:r>
      <w:r>
        <w:rPr>
          <w:rFonts w:hint="eastAsia" w:ascii="仿宋_GB2312" w:hAnsi="仿宋_GB2312" w:eastAsia="仿宋_GB2312" w:cs="仿宋_GB2312"/>
          <w:sz w:val="32"/>
          <w:szCs w:val="32"/>
        </w:rPr>
        <w:t>；</w:t>
      </w:r>
    </w:p>
    <w:p w14:paraId="7AD31E8F">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目标</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完成情况：</w:t>
      </w:r>
      <w:r>
        <w:rPr>
          <w:rFonts w:hint="eastAsia" w:ascii="仿宋_GB2312" w:hAnsi="仿宋_GB2312" w:eastAsia="仿宋_GB2312" w:cs="仿宋_GB2312"/>
          <w:sz w:val="32"/>
          <w:szCs w:val="32"/>
        </w:rPr>
        <w:t>依法实施行政处罚，加</w:t>
      </w:r>
      <w:r>
        <w:rPr>
          <w:rFonts w:hint="eastAsia" w:ascii="仿宋_GB2312" w:hAnsi="仿宋_GB2312" w:eastAsia="仿宋_GB2312" w:cs="仿宋_GB2312"/>
          <w:sz w:val="32"/>
          <w:szCs w:val="32"/>
          <w:lang w:eastAsia="zh-CN"/>
        </w:rPr>
        <w:t>大了</w:t>
      </w:r>
      <w:r>
        <w:rPr>
          <w:rFonts w:hint="eastAsia" w:ascii="仿宋_GB2312" w:hAnsi="仿宋_GB2312" w:eastAsia="仿宋_GB2312" w:cs="仿宋_GB2312"/>
          <w:sz w:val="32"/>
          <w:szCs w:val="32"/>
        </w:rPr>
        <w:t>两站辖区内</w:t>
      </w:r>
      <w:r>
        <w:rPr>
          <w:rFonts w:hint="eastAsia" w:ascii="仿宋_GB2312" w:hAnsi="仿宋_GB2312" w:eastAsia="仿宋_GB2312" w:cs="仿宋_GB2312"/>
          <w:sz w:val="32"/>
          <w:szCs w:val="32"/>
          <w:lang w:eastAsia="zh-CN"/>
        </w:rPr>
        <w:t>管理力度，</w:t>
      </w:r>
      <w:r>
        <w:rPr>
          <w:rFonts w:hint="eastAsia" w:ascii="仿宋_GB2312" w:hAnsi="仿宋_GB2312" w:eastAsia="仿宋_GB2312" w:cs="仿宋_GB2312"/>
          <w:sz w:val="32"/>
          <w:szCs w:val="32"/>
        </w:rPr>
        <w:t>强化服务群众特别是过往旅客工作，全面提</w:t>
      </w:r>
      <w:r>
        <w:rPr>
          <w:rFonts w:hint="eastAsia" w:ascii="仿宋_GB2312" w:hAnsi="仿宋_GB2312" w:eastAsia="仿宋_GB2312" w:cs="仿宋_GB2312"/>
          <w:sz w:val="32"/>
          <w:szCs w:val="32"/>
          <w:lang w:eastAsia="zh-CN"/>
        </w:rPr>
        <w:t>升</w:t>
      </w:r>
      <w:r>
        <w:rPr>
          <w:rFonts w:hint="eastAsia" w:ascii="仿宋_GB2312" w:hAnsi="仿宋_GB2312" w:eastAsia="仿宋_GB2312" w:cs="仿宋_GB2312"/>
          <w:sz w:val="32"/>
          <w:szCs w:val="32"/>
        </w:rPr>
        <w:t>窗口形象；协助市春运办做好两站</w:t>
      </w:r>
      <w:r>
        <w:rPr>
          <w:rFonts w:hint="eastAsia" w:ascii="仿宋_GB2312" w:hAnsi="仿宋_GB2312" w:eastAsia="仿宋_GB2312" w:cs="仿宋_GB2312"/>
          <w:sz w:val="32"/>
          <w:szCs w:val="32"/>
          <w:lang w:eastAsia="zh-CN"/>
        </w:rPr>
        <w:t>地区</w:t>
      </w:r>
      <w:r>
        <w:rPr>
          <w:rFonts w:hint="eastAsia" w:ascii="仿宋_GB2312" w:hAnsi="仿宋_GB2312" w:eastAsia="仿宋_GB2312" w:cs="仿宋_GB2312"/>
          <w:sz w:val="32"/>
          <w:szCs w:val="32"/>
        </w:rPr>
        <w:t>春运工作；</w:t>
      </w:r>
      <w:r>
        <w:rPr>
          <w:rFonts w:hint="eastAsia" w:ascii="仿宋_GB2312" w:hAnsi="仿宋_GB2312" w:eastAsia="仿宋_GB2312" w:cs="仿宋_GB2312"/>
          <w:sz w:val="32"/>
          <w:szCs w:val="32"/>
          <w:lang w:eastAsia="zh-CN"/>
        </w:rPr>
        <w:t>加</w:t>
      </w:r>
      <w:r>
        <w:rPr>
          <w:rFonts w:hint="eastAsia" w:ascii="仿宋_GB2312" w:hAnsi="仿宋_GB2312" w:eastAsia="仿宋_GB2312" w:cs="仿宋_GB2312"/>
          <w:sz w:val="32"/>
          <w:szCs w:val="32"/>
        </w:rPr>
        <w:t>强</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通海路管理处、金凤桥管理处、木里港管理处等区域城市管理和综合执法</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p>
    <w:p w14:paraId="0970CB03">
      <w:pPr>
        <w:pStyle w:val="2"/>
        <w:bidi w:val="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目标</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完成情况：</w:t>
      </w:r>
      <w:r>
        <w:rPr>
          <w:rFonts w:hint="eastAsia" w:ascii="仿宋_GB2312" w:hAnsi="仿宋_GB2312" w:eastAsia="仿宋_GB2312" w:cs="仿宋_GB2312"/>
          <w:sz w:val="32"/>
          <w:szCs w:val="32"/>
        </w:rPr>
        <w:t>为我市打造</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环境优美、秩序井然、干净整洁的</w:t>
      </w:r>
      <w:r>
        <w:rPr>
          <w:rFonts w:hint="eastAsia" w:ascii="仿宋_GB2312" w:hAnsi="仿宋_GB2312" w:eastAsia="仿宋_GB2312" w:cs="仿宋_GB2312"/>
          <w:sz w:val="32"/>
          <w:szCs w:val="32"/>
          <w:lang w:eastAsia="zh-CN"/>
        </w:rPr>
        <w:t>城市</w:t>
      </w:r>
      <w:r>
        <w:rPr>
          <w:rFonts w:hint="eastAsia" w:ascii="仿宋_GB2312" w:hAnsi="仿宋_GB2312" w:eastAsia="仿宋_GB2312" w:cs="仿宋_GB2312"/>
          <w:sz w:val="32"/>
          <w:szCs w:val="32"/>
        </w:rPr>
        <w:t>环境。　</w:t>
      </w:r>
    </w:p>
    <w:p w14:paraId="06E046AA">
      <w:pPr>
        <w:keepNext w:val="0"/>
        <w:keepLines w:val="0"/>
        <w:pageBreakBefore w:val="0"/>
        <w:wordWrap/>
        <w:overflowPunct/>
        <w:topLinePunct w:val="0"/>
        <w:bidi w:val="0"/>
        <w:spacing w:after="120" w:afterLines="50" w:line="600" w:lineRule="exact"/>
        <w:ind w:firstLine="643"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kern w:val="0"/>
          <w:sz w:val="32"/>
          <w:szCs w:val="32"/>
          <w:lang w:val="en-US" w:eastAsia="zh-CN"/>
        </w:rPr>
        <w:t>（二）实现产出和取得效益情况</w:t>
      </w:r>
    </w:p>
    <w:p w14:paraId="3AEAAD12">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
        </w:rPr>
        <w:t>5</w:t>
      </w:r>
      <w:r>
        <w:rPr>
          <w:rFonts w:hint="eastAsia" w:ascii="仿宋_GB2312" w:hAnsi="仿宋_GB2312" w:eastAsia="仿宋_GB2312" w:cs="仿宋_GB2312"/>
          <w:sz w:val="32"/>
          <w:szCs w:val="32"/>
        </w:rPr>
        <w:t>年，在市城管局的正确领导和支队的关心指导下，站场执法大队紧紧围绕打造“七个岳阳”美好蓝图，加快推进“六大城管”建设，紧密结合工作实际，在“打牢基础、服务基层、创新方法”上下功夫，进一步开拓思路，强化责任，狠抓落实，较好地完成了全年各项工作任务，为推动城市高质量发展贡献城管执法力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具体情况如下：</w:t>
      </w:r>
    </w:p>
    <w:p w14:paraId="68C378D1">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强化党建引领，筑牢队伍建设根基。（1）强化理论武装，筑牢思想堡垒。始终坚持把学习放在首位，严格执行“第一议题”制度，组织广大党员干部深入学习总书记系列重要讲话精神、党的二十大精神，推动习近平新时代中国特色社会主义思想学习常态化。（2）丰富活动载体，凝聚队伍合力。注重以形式多样的党建活动增强队伍凝聚力和向心力，先后组织开展了“平安春运，情满旅途”志愿服务活动、“观影学党史，笃行忆初心”观看红色影视主题党日活动、“吃心不改，纠风不停”八项规定专题学习教育活动等系列主题活动。</w:t>
      </w:r>
    </w:p>
    <w:p w14:paraId="3EBE5DD9">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2、聚焦主业主责，</w:t>
      </w:r>
      <w:r>
        <w:rPr>
          <w:rFonts w:hint="eastAsia" w:ascii="仿宋_GB2312" w:hAnsi="仿宋_GB2312" w:eastAsia="仿宋_GB2312" w:cs="仿宋_GB2312"/>
          <w:sz w:val="32"/>
          <w:szCs w:val="32"/>
          <w:lang w:eastAsia="zh-CN"/>
        </w:rPr>
        <w:t>多措并举狠抓</w:t>
      </w:r>
      <w:r>
        <w:rPr>
          <w:rFonts w:hint="eastAsia" w:ascii="仿宋_GB2312" w:hAnsi="仿宋_GB2312" w:eastAsia="仿宋_GB2312" w:cs="仿宋_GB2312"/>
          <w:sz w:val="32"/>
          <w:szCs w:val="32"/>
        </w:rPr>
        <w:t>市容秩序</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一是占道经营整治。坚决打击违规占道经营行为，实施高频次、常态化的巡查执法。二是餐饮油烟治理。三是停车秩序管理。四是户外广告整治。完成辖区广告设施底数摸排，依法拆除广告设施46块，排除隐患166处。五是禁炮工作扎实开展。组织督导辖区管理处及各社区在关键节日开展联合巡查，累计开展执法行动18次，巡查门店328家次。六是燃气安全专项整治。持续聚焦城镇燃气安全风险隐患排查整治，累计开展执法检查200余次，联合检查餐饮门店累计883家次。检查电动自行车充电违规停放占用公共门厅、楼梯间、堵塞疏散通道和安全出口，违规“进楼入户”“飞线充电”行为。</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是建筑垃圾整治。加大对建筑垃圾堆放点的巡查监管力度，累计巡查107国道、连接线等重点区域17次，查处违规倾倒行为14起，清理堆放点31处。</w:t>
      </w:r>
    </w:p>
    <w:p w14:paraId="53B0A065">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深化宣传引导，营造共建共治氛围。（1）开展多渠道宣传。通过报纸、电子屏、宣传标语等途径进行广泛宣传，同时借助微信公众号、湖南法制报等平台，积极发布宣传报道。（2）开展主题宣传活动。结合重要节点和重点工作，组织开展形式多样的主题宣传活动。联合通海路管理处围绕“落实安全人人有责 维护国家安全人人可为”的主题</w:t>
      </w:r>
      <w:r>
        <w:rPr>
          <w:rFonts w:hint="eastAsia" w:ascii="仿宋_GB2312" w:hAnsi="仿宋_GB2312" w:eastAsia="仿宋_GB2312" w:cs="仿宋_GB2312"/>
          <w:sz w:val="32"/>
          <w:szCs w:val="32"/>
          <w:lang w:eastAsia="zh-CN"/>
        </w:rPr>
        <w:t>，采取</w:t>
      </w:r>
      <w:r>
        <w:rPr>
          <w:rFonts w:hint="eastAsia" w:ascii="仿宋_GB2312" w:hAnsi="仿宋_GB2312" w:eastAsia="仿宋_GB2312" w:cs="仿宋_GB2312"/>
          <w:sz w:val="32"/>
          <w:szCs w:val="32"/>
        </w:rPr>
        <w:t>悬挂横幅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设置展板</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分发宣传单</w:t>
      </w:r>
      <w:r>
        <w:rPr>
          <w:rFonts w:hint="eastAsia" w:ascii="仿宋_GB2312" w:hAnsi="仿宋_GB2312" w:eastAsia="仿宋_GB2312" w:cs="仿宋_GB2312"/>
          <w:sz w:val="32"/>
          <w:szCs w:val="32"/>
          <w:lang w:eastAsia="zh-CN"/>
        </w:rPr>
        <w:t>等方式开展宣传活动</w:t>
      </w:r>
      <w:r>
        <w:rPr>
          <w:rFonts w:hint="eastAsia" w:ascii="仿宋_GB2312" w:hAnsi="仿宋_GB2312" w:eastAsia="仿宋_GB2312" w:cs="仿宋_GB2312"/>
          <w:sz w:val="32"/>
          <w:szCs w:val="32"/>
        </w:rPr>
        <w:t>。联合楼区燃气办、中燃百江开展燃气安全宣传活动，演示并讲解了最新减压阀的结构设计和先进的材料技术。（3）积极推进城管进社区工作。结合日常执法工作，深入社区、学校、企业开展面对面宣传，累计开展各类宣传活动80余次，开展服务活动70余次，处理居民投诉1000余起。</w:t>
      </w:r>
    </w:p>
    <w:p w14:paraId="6FB1A94C">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加强内部建设，锻造过硬执法队伍。（1）健全考评机制，激发队伍效能。根据城市管理的新形势、新要求，对考评体系进行了修订和完善。制定了《站场执法大队城市管理执法工作考核实施细则》，明确了考评标准、方法和程序，增强考评工作的科学性、公正性和有效性。强化日常督查工作，通过现场检查、视频监控、市民投诉等多渠道发现问题，并跟踪督办整改。严格实施绩效考评，定期召开考评会议，通报考评结果，将考评结果与奖惩、评优挂钩，有效激发各中队、股室的工作积极性与创造力。（2）强化教育培训，提升履职能力。围绕城市管理法律法规、执法程序规范、典型案例分析等内容，积极组织干部职工深入学习与城管工作密切相关的法律法规知识，进一步提高干部职工的理论水平和法律素养，提高依法决策、依法行政和依法管理的能力。（3）严明纪律作风，树立良好形象。持续深化作风建设，严格执行各项规章制度及执法风纪规定。加强廉政风险防控，常态化开展警示教育，引导队员知敬畏、存戒惧、守底线。规范执法言行，推行“柔性执法”模式，不断提升执法公信力和群众满意度，着力打造一支纪律严明、作风过硬、形象优良的执法队伍。</w:t>
      </w:r>
    </w:p>
    <w:p w14:paraId="298270E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beforeLines="50" w:line="600" w:lineRule="exact"/>
        <w:ind w:right="11" w:rightChars="0" w:firstLine="667" w:firstLineChars="200"/>
        <w:jc w:val="both"/>
        <w:textAlignment w:val="baseline"/>
        <w:rPr>
          <w:rFonts w:hint="eastAsia" w:ascii="仿宋_GB2312" w:hAnsi="仿宋_GB2312" w:eastAsia="仿宋_GB2312" w:cs="仿宋_GB2312"/>
          <w:b/>
          <w:bCs/>
          <w:spacing w:val="6"/>
          <w:kern w:val="0"/>
          <w:sz w:val="32"/>
          <w:szCs w:val="32"/>
          <w:lang w:val="en-US" w:eastAsia="zh-CN"/>
        </w:rPr>
      </w:pPr>
      <w:r>
        <w:rPr>
          <w:rFonts w:hint="eastAsia" w:ascii="仿宋_GB2312" w:hAnsi="仿宋_GB2312" w:eastAsia="仿宋_GB2312" w:cs="仿宋_GB2312"/>
          <w:b/>
          <w:bCs/>
          <w:spacing w:val="6"/>
          <w:kern w:val="0"/>
          <w:sz w:val="32"/>
          <w:szCs w:val="32"/>
          <w:lang w:val="en-US" w:eastAsia="zh-CN"/>
        </w:rPr>
        <w:t>（三）预算资金管理情况</w:t>
      </w:r>
    </w:p>
    <w:p w14:paraId="7B0D0D54">
      <w:pPr>
        <w:pStyle w:val="2"/>
        <w:keepNext w:val="0"/>
        <w:keepLines w:val="0"/>
        <w:pageBreakBefore w:val="0"/>
        <w:numPr>
          <w:ilvl w:val="0"/>
          <w:numId w:val="0"/>
        </w:numPr>
        <w:wordWrap/>
        <w:overflowPunct/>
        <w:topLinePunct w:val="0"/>
        <w:bidi w:val="0"/>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中共岳阳市委办公室 岳阳市人民政府办公室关于印发&lt;岳阳市预算绩效管理实施办法&gt;的通知》（岳办发</w:t>
      </w:r>
      <w:r>
        <w:rPr>
          <w:rFonts w:hint="eastAsia" w:ascii="仿宋_GB2312" w:hAnsi="仿宋_GB2312" w:eastAsia="仿宋_GB2312" w:cs="仿宋_GB2312"/>
          <w:b w:val="0"/>
          <w:bCs w:val="0"/>
          <w:sz w:val="32"/>
          <w:szCs w:val="32"/>
          <w:lang w:val="en-US" w:eastAsia="zh-CN"/>
        </w:rPr>
        <w:t>〔2020〕4号）及</w:t>
      </w:r>
      <w:r>
        <w:rPr>
          <w:rFonts w:hint="eastAsia" w:ascii="仿宋_GB2312" w:hAnsi="仿宋_GB2312" w:eastAsia="仿宋_GB2312" w:cs="仿宋_GB2312"/>
          <w:sz w:val="32"/>
          <w:szCs w:val="32"/>
          <w:lang w:val="en-US" w:eastAsia="zh-CN"/>
        </w:rPr>
        <w:t>其他相关文件精神，大队成立了绩效评价及监督小组，定期开展相关工作。</w:t>
      </w:r>
    </w:p>
    <w:p w14:paraId="5CAB2885">
      <w:pPr>
        <w:pStyle w:val="3"/>
        <w:keepNext w:val="0"/>
        <w:keepLines w:val="0"/>
        <w:pageBreakBefore w:val="0"/>
        <w:wordWrap/>
        <w:overflowPunct/>
        <w:topLinePunct w:val="0"/>
        <w:bidi w:val="0"/>
        <w:spacing w:line="600" w:lineRule="exact"/>
        <w:ind w:left="0" w:lef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1、资金预算及绩效管理</w:t>
      </w:r>
    </w:p>
    <w:p w14:paraId="5234FF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64" w:firstLineChars="200"/>
        <w:jc w:val="both"/>
        <w:textAlignment w:val="auto"/>
        <w:rPr>
          <w:rFonts w:hint="eastAsia" w:ascii="仿宋_GB2312" w:hAnsi="仿宋_GB2312" w:eastAsia="仿宋_GB2312" w:cs="仿宋_GB2312"/>
          <w:spacing w:val="6"/>
          <w:kern w:val="0"/>
          <w:sz w:val="32"/>
          <w:szCs w:val="32"/>
          <w:lang w:eastAsia="zh-CN"/>
        </w:rPr>
      </w:pPr>
      <w:r>
        <w:rPr>
          <w:rFonts w:hint="eastAsia" w:ascii="仿宋_GB2312" w:hAnsi="仿宋_GB2312" w:eastAsia="仿宋_GB2312" w:cs="仿宋_GB2312"/>
          <w:spacing w:val="6"/>
          <w:kern w:val="0"/>
          <w:sz w:val="32"/>
          <w:szCs w:val="32"/>
          <w:lang w:val="en-US" w:eastAsia="zh-CN"/>
        </w:rPr>
        <w:t>大队为加强</w:t>
      </w:r>
      <w:r>
        <w:rPr>
          <w:rFonts w:hint="eastAsia" w:ascii="仿宋_GB2312" w:hAnsi="仿宋_GB2312" w:eastAsia="仿宋_GB2312" w:cs="仿宋_GB2312"/>
          <w:spacing w:val="6"/>
          <w:kern w:val="0"/>
          <w:sz w:val="32"/>
          <w:szCs w:val="32"/>
        </w:rPr>
        <w:t>预算管理</w:t>
      </w:r>
      <w:r>
        <w:rPr>
          <w:rFonts w:hint="eastAsia" w:ascii="仿宋_GB2312" w:hAnsi="仿宋_GB2312" w:eastAsia="仿宋_GB2312" w:cs="仿宋_GB2312"/>
          <w:spacing w:val="6"/>
          <w:kern w:val="0"/>
          <w:sz w:val="32"/>
          <w:szCs w:val="32"/>
          <w:lang w:val="en-US" w:eastAsia="zh-CN"/>
        </w:rPr>
        <w:t>，从预算编制入手，编制</w:t>
      </w:r>
      <w:r>
        <w:rPr>
          <w:rFonts w:hint="eastAsia" w:ascii="仿宋_GB2312" w:hAnsi="仿宋_GB2312" w:eastAsia="仿宋_GB2312" w:cs="仿宋_GB2312"/>
          <w:spacing w:val="6"/>
          <w:kern w:val="0"/>
          <w:sz w:val="32"/>
          <w:szCs w:val="32"/>
        </w:rPr>
        <w:t>资金预算</w:t>
      </w:r>
      <w:r>
        <w:rPr>
          <w:rFonts w:hint="eastAsia" w:ascii="仿宋_GB2312" w:hAnsi="仿宋_GB2312" w:eastAsia="仿宋_GB2312" w:cs="仿宋_GB2312"/>
          <w:spacing w:val="6"/>
          <w:kern w:val="0"/>
          <w:sz w:val="32"/>
          <w:szCs w:val="32"/>
          <w:lang w:val="en-US" w:eastAsia="zh-CN"/>
        </w:rPr>
        <w:t>必须先</w:t>
      </w:r>
      <w:r>
        <w:rPr>
          <w:rFonts w:hint="eastAsia" w:ascii="仿宋_GB2312" w:hAnsi="仿宋_GB2312" w:eastAsia="仿宋_GB2312" w:cs="仿宋_GB2312"/>
          <w:spacing w:val="6"/>
          <w:kern w:val="0"/>
          <w:sz w:val="32"/>
          <w:szCs w:val="32"/>
        </w:rPr>
        <w:t>编制</w:t>
      </w:r>
      <w:r>
        <w:rPr>
          <w:rFonts w:hint="eastAsia" w:ascii="仿宋_GB2312" w:hAnsi="仿宋_GB2312" w:eastAsia="仿宋_GB2312" w:cs="仿宋_GB2312"/>
          <w:spacing w:val="6"/>
          <w:kern w:val="0"/>
          <w:sz w:val="32"/>
          <w:szCs w:val="32"/>
          <w:lang w:val="en-US" w:eastAsia="zh-CN"/>
        </w:rPr>
        <w:t>资金绩效</w:t>
      </w:r>
      <w:r>
        <w:rPr>
          <w:rFonts w:hint="eastAsia" w:ascii="仿宋_GB2312" w:hAnsi="仿宋_GB2312" w:eastAsia="仿宋_GB2312" w:cs="仿宋_GB2312"/>
          <w:spacing w:val="6"/>
          <w:kern w:val="0"/>
          <w:sz w:val="32"/>
          <w:szCs w:val="32"/>
        </w:rPr>
        <w:t>目标</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做到了预算有目标。于2025年10月底，组织开展了</w:t>
      </w:r>
      <w:r>
        <w:rPr>
          <w:rFonts w:hint="eastAsia" w:ascii="仿宋_GB2312" w:hAnsi="仿宋_GB2312" w:eastAsia="仿宋_GB2312" w:cs="仿宋_GB2312"/>
          <w:spacing w:val="6"/>
          <w:kern w:val="0"/>
          <w:sz w:val="32"/>
          <w:szCs w:val="32"/>
        </w:rPr>
        <w:t>预算执行</w:t>
      </w:r>
      <w:r>
        <w:rPr>
          <w:rFonts w:hint="eastAsia" w:ascii="仿宋_GB2312" w:hAnsi="仿宋_GB2312" w:eastAsia="仿宋_GB2312" w:cs="仿宋_GB2312"/>
          <w:spacing w:val="6"/>
          <w:kern w:val="0"/>
          <w:sz w:val="32"/>
          <w:szCs w:val="32"/>
          <w:lang w:eastAsia="zh-CN"/>
        </w:rPr>
        <w:t>情况监控</w:t>
      </w:r>
      <w:r>
        <w:rPr>
          <w:rFonts w:hint="eastAsia" w:ascii="仿宋_GB2312" w:hAnsi="仿宋_GB2312" w:eastAsia="仿宋_GB2312" w:cs="仿宋_GB2312"/>
          <w:spacing w:val="6"/>
          <w:kern w:val="0"/>
          <w:sz w:val="32"/>
          <w:szCs w:val="32"/>
          <w:lang w:val="en-US" w:eastAsia="zh-CN"/>
        </w:rPr>
        <w:t>，对偏离情况，分析原因，并采取相应的措施，保障预算绩效目标的实现。次年5 月下旬开始组织对上年经费支出进行自评工作，做到了</w:t>
      </w:r>
      <w:r>
        <w:rPr>
          <w:rFonts w:hint="eastAsia" w:ascii="仿宋_GB2312" w:hAnsi="仿宋_GB2312" w:eastAsia="仿宋_GB2312" w:cs="仿宋_GB2312"/>
          <w:spacing w:val="6"/>
          <w:kern w:val="0"/>
          <w:sz w:val="32"/>
          <w:szCs w:val="32"/>
        </w:rPr>
        <w:t>预算完成有评价</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rPr>
        <w:t>使单位经济业务从事前、事中、事后得到有效管控</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bCs/>
          <w:sz w:val="32"/>
          <w:szCs w:val="32"/>
          <w:highlight w:val="none"/>
          <w:lang w:val="en-US" w:eastAsia="zh-CN"/>
        </w:rPr>
        <w:t>实现了由被动管理向制度管理的转变，增强了大队管理人员预算意识和绩效意识，</w:t>
      </w:r>
      <w:r>
        <w:rPr>
          <w:rFonts w:hint="eastAsia" w:ascii="仿宋_GB2312" w:hAnsi="仿宋_GB2312" w:eastAsia="仿宋_GB2312" w:cs="仿宋_GB2312"/>
          <w:spacing w:val="6"/>
          <w:kern w:val="0"/>
          <w:sz w:val="32"/>
          <w:szCs w:val="32"/>
          <w:lang w:val="en-US" w:eastAsia="zh-CN"/>
        </w:rPr>
        <w:t>资金支出效益不断提升</w:t>
      </w:r>
      <w:r>
        <w:rPr>
          <w:rFonts w:hint="eastAsia" w:ascii="仿宋_GB2312" w:hAnsi="仿宋_GB2312" w:eastAsia="仿宋_GB2312" w:cs="仿宋_GB2312"/>
          <w:spacing w:val="6"/>
          <w:kern w:val="0"/>
          <w:sz w:val="32"/>
          <w:szCs w:val="32"/>
          <w:lang w:eastAsia="zh-CN"/>
        </w:rPr>
        <w:t>。</w:t>
      </w:r>
    </w:p>
    <w:p w14:paraId="57B66669">
      <w:pPr>
        <w:pStyle w:val="2"/>
        <w:keepNext w:val="0"/>
        <w:keepLines w:val="0"/>
        <w:pageBreakBefore w:val="0"/>
        <w:wordWrap/>
        <w:overflowPunct/>
        <w:topLinePunct w:val="0"/>
        <w:bidi w:val="0"/>
        <w:spacing w:line="600" w:lineRule="exact"/>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6"/>
          <w:kern w:val="0"/>
          <w:sz w:val="32"/>
          <w:szCs w:val="32"/>
          <w:lang w:val="en-US" w:eastAsia="zh-CN"/>
        </w:rPr>
        <w:t xml:space="preserve">    2、费用支出管理情况</w:t>
      </w:r>
    </w:p>
    <w:p w14:paraId="166412E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加强内部控制管理，费用支出严格审批程序，</w:t>
      </w:r>
      <w:r>
        <w:rPr>
          <w:rFonts w:hint="eastAsia" w:ascii="仿宋_GB2312" w:hAnsi="仿宋_GB2312" w:eastAsia="仿宋_GB2312" w:cs="仿宋_GB2312"/>
          <w:spacing w:val="6"/>
          <w:kern w:val="0"/>
          <w:sz w:val="32"/>
          <w:szCs w:val="32"/>
        </w:rPr>
        <w:t>重大事项经班子会集体决策，费用支出归口管理，授权审批的财务管理制度。</w:t>
      </w:r>
      <w:r>
        <w:rPr>
          <w:rFonts w:hint="eastAsia" w:ascii="仿宋_GB2312" w:hAnsi="仿宋_GB2312" w:eastAsia="仿宋_GB2312" w:cs="仿宋_GB2312"/>
          <w:spacing w:val="6"/>
          <w:kern w:val="0"/>
          <w:sz w:val="32"/>
          <w:szCs w:val="32"/>
          <w:lang w:val="en-US" w:eastAsia="zh-CN"/>
        </w:rPr>
        <w:t>费用支出</w:t>
      </w:r>
      <w:r>
        <w:rPr>
          <w:rFonts w:hint="eastAsia" w:ascii="仿宋_GB2312" w:hAnsi="仿宋_GB2312" w:eastAsia="仿宋_GB2312" w:cs="仿宋_GB2312"/>
          <w:bCs/>
          <w:sz w:val="32"/>
          <w:szCs w:val="32"/>
          <w:highlight w:val="none"/>
          <w:lang w:val="en-US" w:eastAsia="zh-CN"/>
        </w:rPr>
        <w:t>按照"先报再审后用”的原则，由业务部门提出申请，部门分管领导签署意见，确认数量和预算资金额度，经财务部初审后，报分管财务领导审批后实施。</w:t>
      </w:r>
    </w:p>
    <w:p w14:paraId="2845F9B6">
      <w:pPr>
        <w:pStyle w:val="2"/>
        <w:keepNext w:val="0"/>
        <w:keepLines w:val="0"/>
        <w:pageBreakBefore w:val="0"/>
        <w:wordWrap/>
        <w:overflowPunct/>
        <w:topLinePunct w:val="0"/>
        <w:bidi w:val="0"/>
        <w:spacing w:line="600" w:lineRule="exact"/>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highlight w:val="none"/>
          <w:lang w:val="en-US" w:eastAsia="zh-CN"/>
        </w:rPr>
        <w:t xml:space="preserve">     3、资产管理情况</w:t>
      </w:r>
    </w:p>
    <w:p w14:paraId="20ABA1F0">
      <w:pPr>
        <w:keepNext w:val="0"/>
        <w:keepLines w:val="0"/>
        <w:pageBreakBefore w:val="0"/>
        <w:widowControl/>
        <w:kinsoku/>
        <w:wordWrap/>
        <w:overflowPunct w:val="0"/>
        <w:topLinePunct w:val="0"/>
        <w:autoSpaceDE w:val="0"/>
        <w:autoSpaceDN w:val="0"/>
        <w:bidi w:val="0"/>
        <w:adjustRightInd w:val="0"/>
        <w:snapToGrid w:val="0"/>
        <w:spacing w:before="120" w:beforeLines="50" w:line="600" w:lineRule="exact"/>
        <w:ind w:left="20" w:leftChars="7" w:right="11"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sz w:val="32"/>
          <w:szCs w:val="32"/>
          <w:lang w:val="en-US" w:eastAsia="zh-CN"/>
        </w:rPr>
        <w:t>大队定期开展资产清查工作，资产管理采取统一建帐、统一核算管理，对每件固定资产使用明确保管职责。按照厉行节约、物尽其用的原则，尽量减少新增资产的配置。闲置资产由办公室统筹管理，先内部调剂，再考虑其他处置方式，充分发挥其使用价值。固定资产配置和处置，均按规定程序办理，并严格按固定资产管理相关规定进行核算及管理。2025年末，</w:t>
      </w:r>
      <w:r>
        <w:rPr>
          <w:rFonts w:hint="eastAsia" w:ascii="仿宋_GB2312" w:hAnsi="仿宋_GB2312" w:eastAsia="仿宋_GB2312" w:cs="仿宋_GB2312"/>
          <w:sz w:val="32"/>
          <w:szCs w:val="32"/>
        </w:rPr>
        <w:t>总资产</w:t>
      </w:r>
      <w:r>
        <w:rPr>
          <w:rFonts w:hint="eastAsia" w:ascii="仿宋_GB2312" w:hAnsi="仿宋_GB2312" w:eastAsia="仿宋_GB2312" w:cs="仿宋_GB2312"/>
          <w:sz w:val="32"/>
          <w:szCs w:val="32"/>
          <w:lang w:eastAsia="zh-CN"/>
        </w:rPr>
        <w:t>金额</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180.20</w:t>
      </w:r>
      <w:r>
        <w:rPr>
          <w:rFonts w:hint="eastAsia" w:ascii="仿宋_GB2312" w:hAnsi="仿宋_GB2312" w:eastAsia="仿宋_GB2312" w:cs="仿宋_GB2312"/>
          <w:sz w:val="32"/>
          <w:szCs w:val="32"/>
        </w:rPr>
        <w:t>万元，流动资产为1.1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万元，占总资产的</w:t>
      </w:r>
      <w:r>
        <w:rPr>
          <w:rFonts w:hint="eastAsia" w:ascii="仿宋_GB2312" w:hAnsi="仿宋_GB2312" w:eastAsia="仿宋_GB2312" w:cs="仿宋_GB2312"/>
          <w:sz w:val="32"/>
          <w:szCs w:val="32"/>
          <w:lang w:val="en-US" w:eastAsia="zh-CN"/>
        </w:rPr>
        <w:t>0.63</w:t>
      </w:r>
      <w:r>
        <w:rPr>
          <w:rFonts w:hint="eastAsia" w:ascii="仿宋_GB2312" w:hAnsi="仿宋_GB2312" w:eastAsia="仿宋_GB2312" w:cs="仿宋_GB2312"/>
          <w:sz w:val="32"/>
          <w:szCs w:val="32"/>
        </w:rPr>
        <w:t>%，非流动资产</w:t>
      </w:r>
      <w:r>
        <w:rPr>
          <w:rFonts w:hint="eastAsia" w:ascii="仿宋_GB2312" w:hAnsi="仿宋_GB2312" w:eastAsia="仿宋_GB2312" w:cs="仿宋_GB2312"/>
          <w:sz w:val="32"/>
          <w:szCs w:val="32"/>
          <w:lang w:eastAsia="zh-CN"/>
        </w:rPr>
        <w:t>金额</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179.05</w:t>
      </w:r>
      <w:r>
        <w:rPr>
          <w:rFonts w:hint="eastAsia" w:ascii="仿宋_GB2312" w:hAnsi="仿宋_GB2312" w:eastAsia="仿宋_GB2312" w:cs="仿宋_GB2312"/>
          <w:sz w:val="32"/>
          <w:szCs w:val="32"/>
        </w:rPr>
        <w:t>万元，占总资产的</w:t>
      </w:r>
      <w:r>
        <w:rPr>
          <w:rFonts w:hint="eastAsia" w:ascii="仿宋_GB2312" w:hAnsi="仿宋_GB2312" w:eastAsia="仿宋_GB2312" w:cs="仿宋_GB2312"/>
          <w:sz w:val="32"/>
          <w:szCs w:val="32"/>
          <w:lang w:val="en-US" w:eastAsia="zh-CN"/>
        </w:rPr>
        <w:t>99.37</w:t>
      </w:r>
      <w:r>
        <w:rPr>
          <w:rFonts w:hint="eastAsia" w:ascii="仿宋_GB2312" w:hAnsi="仿宋_GB2312" w:eastAsia="仿宋_GB2312" w:cs="仿宋_GB2312"/>
          <w:sz w:val="32"/>
          <w:szCs w:val="32"/>
        </w:rPr>
        <w:t>%，负债为0万元，净资产为</w:t>
      </w:r>
      <w:r>
        <w:rPr>
          <w:rFonts w:hint="eastAsia" w:ascii="仿宋_GB2312" w:hAnsi="仿宋_GB2312" w:eastAsia="仿宋_GB2312" w:cs="仿宋_GB2312"/>
          <w:sz w:val="32"/>
          <w:szCs w:val="32"/>
          <w:lang w:val="en-US" w:eastAsia="zh-CN"/>
        </w:rPr>
        <w:t>180.20</w:t>
      </w:r>
      <w:r>
        <w:rPr>
          <w:rFonts w:hint="eastAsia" w:ascii="仿宋_GB2312" w:hAnsi="仿宋_GB2312" w:eastAsia="仿宋_GB2312" w:cs="仿宋_GB2312"/>
          <w:sz w:val="32"/>
          <w:szCs w:val="32"/>
        </w:rPr>
        <w:t>万元，占总资产的100%</w:t>
      </w:r>
      <w:r>
        <w:rPr>
          <w:rFonts w:hint="eastAsia" w:ascii="仿宋_GB2312" w:hAnsi="仿宋_GB2312" w:eastAsia="仿宋_GB2312" w:cs="仿宋_GB2312"/>
          <w:sz w:val="32"/>
          <w:szCs w:val="32"/>
          <w:lang w:eastAsia="zh-CN"/>
        </w:rPr>
        <w:t>。机构改革，本年无偿划入固定资产和无形资产原值</w:t>
      </w:r>
      <w:r>
        <w:rPr>
          <w:rFonts w:hint="eastAsia" w:ascii="仿宋_GB2312" w:hAnsi="仿宋_GB2312" w:eastAsia="仿宋_GB2312" w:cs="仿宋_GB2312"/>
          <w:sz w:val="32"/>
          <w:szCs w:val="32"/>
          <w:lang w:val="en-US" w:eastAsia="zh-CN"/>
        </w:rPr>
        <w:t>金额为345.65万元，导致</w:t>
      </w:r>
      <w:r>
        <w:rPr>
          <w:rFonts w:hint="eastAsia" w:ascii="仿宋_GB2312" w:hAnsi="仿宋_GB2312" w:eastAsia="仿宋_GB2312" w:cs="仿宋_GB2312"/>
          <w:sz w:val="32"/>
          <w:szCs w:val="32"/>
          <w:lang w:eastAsia="zh-CN"/>
        </w:rPr>
        <w:t>净资产年末与年初相比增</w:t>
      </w:r>
      <w:r>
        <w:rPr>
          <w:rFonts w:hint="eastAsia" w:ascii="仿宋_GB2312" w:hAnsi="仿宋_GB2312" w:eastAsia="仿宋_GB2312" w:cs="仿宋_GB2312"/>
          <w:sz w:val="32"/>
          <w:szCs w:val="32"/>
          <w:lang w:val="en-US" w:eastAsia="zh-CN"/>
        </w:rPr>
        <w:t>加</w:t>
      </w:r>
      <w:r>
        <w:rPr>
          <w:rFonts w:hint="eastAsia" w:ascii="仿宋_GB2312" w:hAnsi="仿宋_GB2312" w:eastAsia="仿宋_GB2312" w:cs="仿宋_GB2312"/>
          <w:sz w:val="32"/>
          <w:szCs w:val="32"/>
          <w:lang w:eastAsia="zh-CN"/>
        </w:rPr>
        <w:t>幅较大。</w:t>
      </w:r>
    </w:p>
    <w:p w14:paraId="636D18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800" w:leftChars="0"/>
        <w:jc w:val="both"/>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4、运行成本和管理效率</w:t>
      </w:r>
    </w:p>
    <w:p w14:paraId="18B54664">
      <w:pPr>
        <w:pStyle w:val="2"/>
        <w:keepNext w:val="0"/>
        <w:keepLines w:val="0"/>
        <w:pageBreakBefore w:val="0"/>
        <w:numPr>
          <w:ilvl w:val="0"/>
          <w:numId w:val="0"/>
        </w:numPr>
        <w:wordWrap/>
        <w:overflowPunct/>
        <w:topLinePunct w:val="0"/>
        <w:bidi w:val="0"/>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大队支出预算金额为2393.36万元，其中一般公共预算金额为2382.03，非财政拨款预算金额为11.33万元。实际支出金额为2345.77万元，其中基本支出1477.78万元、项目支出867.99万元，年度预算执行率为98.01%，单位运行成本控制在年度预算金额内，预算执行率高，资金支出效益不断提升。</w:t>
      </w:r>
    </w:p>
    <w:p w14:paraId="078F4994">
      <w:pPr>
        <w:pStyle w:val="2"/>
        <w:keepNext w:val="0"/>
        <w:keepLines w:val="0"/>
        <w:pageBreakBefore w:val="0"/>
        <w:numPr>
          <w:ilvl w:val="0"/>
          <w:numId w:val="0"/>
        </w:numPr>
        <w:wordWrap/>
        <w:overflowPunct/>
        <w:topLinePunct w:val="0"/>
        <w:bidi w:val="0"/>
        <w:spacing w:line="600" w:lineRule="exact"/>
        <w:ind w:firstLine="643" w:firstLineChars="200"/>
        <w:jc w:val="left"/>
        <w:rPr>
          <w:rFonts w:hint="eastAsia"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val="en-US" w:eastAsia="zh-CN"/>
        </w:rPr>
        <w:t>（四）履职效能、社会效应、可持续发展能力和服务对象满意度等方面情况</w:t>
      </w:r>
    </w:p>
    <w:p w14:paraId="415EEE01">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队始终贯彻“以人民为中心”理念，联合公安、交通等职能部门，在火车站地区开展交通运输打非治违专项整治工作，喊客拉客现象得到有效遏制，站场管理秩序明显改善。同时，扩建东站广场下客车道、扩容出租车通道、调整公交车入场线路、增设智慧公厕、实施路面翻新等措施推动解决车流组织不畅、出租车候客满溢、停车设施不足等问题，有力提升了岳阳东站广场的公交、出租等公共运力接驳效率，为过往旅客提供安全舒适的出行环境。</w:t>
      </w:r>
    </w:p>
    <w:p w14:paraId="3A87DA50">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管辖区域内积极履行职能，加强日常街面巡查与开展各类专项整治相结合的方式强化市容秩序管理，管辖范围内市容市貌明显改善。多措并举开展扬尘渣土、禁炮、餐饮油烟、燃气安全、建筑垃圾等专项整治工作，为打赢“蓝天保卫战”奠定了基础，</w:t>
      </w:r>
      <w:r>
        <w:rPr>
          <w:rFonts w:hint="eastAsia" w:ascii="仿宋_GB2312" w:hAnsi="仿宋_GB2312" w:eastAsia="仿宋_GB2312" w:cs="仿宋_GB2312"/>
          <w:sz w:val="32"/>
          <w:szCs w:val="32"/>
        </w:rPr>
        <w:t>为我市打造</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环境优美、秩序井然、干净整洁的</w:t>
      </w:r>
      <w:r>
        <w:rPr>
          <w:rFonts w:hint="eastAsia" w:ascii="仿宋_GB2312" w:hAnsi="仿宋_GB2312" w:eastAsia="仿宋_GB2312" w:cs="仿宋_GB2312"/>
          <w:sz w:val="32"/>
          <w:szCs w:val="32"/>
          <w:lang w:eastAsia="zh-CN"/>
        </w:rPr>
        <w:t>市容</w:t>
      </w:r>
      <w:r>
        <w:rPr>
          <w:rFonts w:hint="eastAsia" w:ascii="仿宋_GB2312" w:hAnsi="仿宋_GB2312" w:eastAsia="仿宋_GB2312" w:cs="仿宋_GB2312"/>
          <w:sz w:val="32"/>
          <w:szCs w:val="32"/>
        </w:rPr>
        <w:t>环境</w:t>
      </w:r>
      <w:r>
        <w:rPr>
          <w:rFonts w:hint="eastAsia" w:ascii="仿宋_GB2312" w:hAnsi="仿宋_GB2312" w:eastAsia="仿宋_GB2312" w:cs="仿宋_GB2312"/>
          <w:sz w:val="32"/>
          <w:szCs w:val="32"/>
          <w:lang w:eastAsia="zh-CN"/>
        </w:rPr>
        <w:t>，得到了市民和过往旅客的普遍赞誉</w:t>
      </w:r>
      <w:r>
        <w:rPr>
          <w:rFonts w:hint="eastAsia" w:ascii="仿宋_GB2312" w:hAnsi="仿宋_GB2312" w:eastAsia="仿宋_GB2312" w:cs="仿宋_GB2312"/>
          <w:sz w:val="32"/>
          <w:szCs w:val="32"/>
          <w:lang w:val="en-US" w:eastAsia="zh-CN"/>
        </w:rPr>
        <w:t>。</w:t>
      </w:r>
    </w:p>
    <w:p w14:paraId="3F8FA86E">
      <w:pPr>
        <w:pStyle w:val="2"/>
        <w:keepNext w:val="0"/>
        <w:keepLines w:val="0"/>
        <w:pageBreakBefore w:val="0"/>
        <w:numPr>
          <w:ilvl w:val="0"/>
          <w:numId w:val="3"/>
        </w:numPr>
        <w:wordWrap/>
        <w:overflowPunct/>
        <w:topLinePunct w:val="0"/>
        <w:bidi w:val="0"/>
        <w:spacing w:line="600" w:lineRule="exact"/>
        <w:ind w:firstLine="688"/>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评价结论</w:t>
      </w:r>
    </w:p>
    <w:p w14:paraId="401BB97B">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队认真履行本部门职能职责，</w:t>
      </w:r>
      <w:r>
        <w:rPr>
          <w:rFonts w:hint="eastAsia" w:ascii="仿宋_GB2312" w:hAnsi="仿宋_GB2312" w:eastAsia="仿宋_GB2312" w:cs="仿宋_GB2312"/>
          <w:sz w:val="32"/>
          <w:szCs w:val="32"/>
          <w:lang w:eastAsia="zh-CN"/>
        </w:rPr>
        <w:t>圆满完成了年度各项工作计划</w:t>
      </w:r>
      <w:r>
        <w:rPr>
          <w:rFonts w:hint="eastAsia" w:ascii="仿宋_GB2312" w:hAnsi="仿宋_GB2312" w:eastAsia="仿宋_GB2312" w:cs="仿宋_GB2312"/>
          <w:sz w:val="32"/>
          <w:szCs w:val="32"/>
        </w:rPr>
        <w:t>，预算成本控制较好，整体支出绩效良好，达到既定的目标要求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评价小组依</w:t>
      </w:r>
      <w:r>
        <w:rPr>
          <w:rFonts w:hint="eastAsia" w:ascii="仿宋_GB2312" w:hAnsi="仿宋_GB2312" w:eastAsia="仿宋_GB2312" w:cs="仿宋_GB2312"/>
          <w:sz w:val="32"/>
          <w:szCs w:val="32"/>
        </w:rPr>
        <w:t>据</w:t>
      </w:r>
      <w:r>
        <w:rPr>
          <w:rFonts w:hint="eastAsia" w:ascii="仿宋_GB2312" w:hAnsi="仿宋_GB2312" w:eastAsia="仿宋_GB2312" w:cs="仿宋_GB2312"/>
          <w:sz w:val="32"/>
          <w:szCs w:val="32"/>
          <w:lang w:val="en-US" w:eastAsia="zh-CN"/>
        </w:rPr>
        <w:t>岳阳市财政局《关于印发&lt;岳阳市市级预算部门绩效自评操作规程&gt;的通知》（岳财函〔2022〕209号）文件规定相关</w:t>
      </w:r>
      <w:r>
        <w:rPr>
          <w:rFonts w:hint="eastAsia" w:ascii="仿宋_GB2312" w:hAnsi="仿宋_GB2312" w:eastAsia="仿宋_GB2312" w:cs="仿宋_GB2312"/>
          <w:sz w:val="32"/>
          <w:szCs w:val="32"/>
        </w:rPr>
        <w:t>评价指标</w:t>
      </w:r>
      <w:r>
        <w:rPr>
          <w:rFonts w:hint="eastAsia" w:ascii="仿宋_GB2312" w:hAnsi="仿宋_GB2312" w:eastAsia="仿宋_GB2312" w:cs="仿宋_GB2312"/>
          <w:sz w:val="32"/>
          <w:szCs w:val="32"/>
          <w:lang w:val="en-US" w:eastAsia="zh-CN"/>
        </w:rPr>
        <w:t>、标准和年初预算绩效目标进行了</w:t>
      </w:r>
      <w:r>
        <w:rPr>
          <w:rFonts w:hint="eastAsia" w:ascii="仿宋_GB2312" w:hAnsi="仿宋_GB2312" w:eastAsia="仿宋_GB2312" w:cs="仿宋_GB2312"/>
          <w:sz w:val="32"/>
          <w:szCs w:val="32"/>
        </w:rPr>
        <w:t>评分，20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年单位整体支出绩效自评得分为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具体评分见附件2），符合年初预算绩效目标要求</w:t>
      </w:r>
      <w:r>
        <w:rPr>
          <w:rFonts w:hint="eastAsia" w:ascii="仿宋_GB2312" w:hAnsi="仿宋_GB2312" w:eastAsia="仿宋_GB2312" w:cs="仿宋_GB2312"/>
          <w:sz w:val="32"/>
          <w:szCs w:val="32"/>
          <w:lang w:eastAsia="zh-CN"/>
        </w:rPr>
        <w:t>。</w:t>
      </w:r>
    </w:p>
    <w:p w14:paraId="241F2EB0">
      <w:pPr>
        <w:pStyle w:val="11"/>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rPr>
        <w:t>、存在的问题及原因分析</w:t>
      </w:r>
    </w:p>
    <w:p w14:paraId="0543B8FC">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存在执法装备不足</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执法车辆老旧的问题，影响执法</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lang w:eastAsia="zh-CN"/>
        </w:rPr>
        <w:t>效率和效果。</w:t>
      </w:r>
    </w:p>
    <w:p w14:paraId="5D542B82">
      <w:pPr>
        <w:pStyle w:val="2"/>
        <w:bidi w:val="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（二）预算绩效目标编制不够规范，绩效</w:t>
      </w:r>
      <w:r>
        <w:rPr>
          <w:rFonts w:hint="eastAsia" w:ascii="仿宋_GB2312" w:hAnsi="仿宋_GB2312" w:eastAsia="仿宋_GB2312" w:cs="仿宋_GB2312"/>
          <w:sz w:val="32"/>
          <w:szCs w:val="32"/>
          <w:lang w:eastAsia="zh-CN"/>
        </w:rPr>
        <w:t>指标</w:t>
      </w:r>
      <w:r>
        <w:rPr>
          <w:rFonts w:hint="eastAsia" w:ascii="仿宋_GB2312" w:hAnsi="仿宋_GB2312" w:eastAsia="仿宋_GB2312" w:cs="仿宋_GB2312"/>
          <w:sz w:val="32"/>
          <w:szCs w:val="32"/>
          <w:lang w:val="en-US" w:eastAsia="zh-CN"/>
        </w:rPr>
        <w:t>有待进一步细化、量化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主要原因为</w:t>
      </w:r>
      <w:r>
        <w:rPr>
          <w:rFonts w:hint="eastAsia" w:ascii="仿宋_GB2312" w:hAnsi="仿宋_GB2312" w:eastAsia="仿宋_GB2312" w:cs="仿宋_GB2312"/>
          <w:sz w:val="32"/>
          <w:szCs w:val="32"/>
          <w:lang w:eastAsia="zh-CN"/>
        </w:rPr>
        <w:t>绩效管理</w:t>
      </w:r>
      <w:r>
        <w:rPr>
          <w:rFonts w:hint="eastAsia" w:ascii="仿宋_GB2312" w:hAnsi="仿宋_GB2312" w:eastAsia="仿宋_GB2312" w:cs="仿宋_GB2312"/>
          <w:sz w:val="32"/>
          <w:szCs w:val="32"/>
          <w:lang w:val="en-US" w:eastAsia="zh-CN"/>
        </w:rPr>
        <w:t>由财务部门兼任，</w:t>
      </w:r>
      <w:r>
        <w:rPr>
          <w:rFonts w:hint="eastAsia" w:ascii="仿宋_GB2312" w:hAnsi="仿宋_GB2312" w:eastAsia="仿宋_GB2312" w:cs="仿宋_GB2312"/>
          <w:sz w:val="32"/>
          <w:szCs w:val="32"/>
          <w:lang w:eastAsia="zh-CN"/>
        </w:rPr>
        <w:t>财务人员大多</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会计、财务管理等专业，绩效</w:t>
      </w:r>
      <w:r>
        <w:rPr>
          <w:rFonts w:hint="eastAsia" w:ascii="仿宋_GB2312" w:hAnsi="仿宋_GB2312" w:eastAsia="仿宋_GB2312" w:cs="仿宋_GB2312"/>
          <w:sz w:val="32"/>
          <w:szCs w:val="32"/>
          <w:lang w:val="en-US" w:eastAsia="zh-CN"/>
        </w:rPr>
        <w:t>管理不但</w:t>
      </w:r>
      <w:r>
        <w:rPr>
          <w:rFonts w:hint="eastAsia" w:ascii="仿宋_GB2312" w:hAnsi="仿宋_GB2312" w:eastAsia="仿宋_GB2312" w:cs="仿宋_GB2312"/>
          <w:sz w:val="32"/>
          <w:szCs w:val="32"/>
          <w:lang w:eastAsia="zh-CN"/>
        </w:rPr>
        <w:t>需要掌握财经知识，还</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lang w:eastAsia="zh-CN"/>
        </w:rPr>
        <w:t>熟悉相关政策、了解项目业务</w:t>
      </w:r>
      <w:r>
        <w:rPr>
          <w:rFonts w:hint="eastAsia" w:ascii="仿宋_GB2312" w:hAnsi="仿宋_GB2312" w:eastAsia="仿宋_GB2312" w:cs="仿宋_GB2312"/>
          <w:sz w:val="32"/>
          <w:szCs w:val="32"/>
          <w:lang w:val="en-US" w:eastAsia="zh-CN"/>
        </w:rPr>
        <w:t>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需要</w:t>
      </w:r>
      <w:r>
        <w:rPr>
          <w:rFonts w:hint="eastAsia" w:ascii="仿宋_GB2312" w:hAnsi="仿宋_GB2312" w:eastAsia="仿宋_GB2312" w:cs="仿宋_GB2312"/>
          <w:sz w:val="32"/>
          <w:szCs w:val="32"/>
          <w:lang w:eastAsia="zh-CN"/>
        </w:rPr>
        <w:t>具备管理学、统计学、工程学等方面的知识，并</w:t>
      </w:r>
      <w:r>
        <w:rPr>
          <w:rFonts w:hint="eastAsia" w:ascii="仿宋_GB2312" w:hAnsi="仿宋_GB2312" w:eastAsia="仿宋_GB2312" w:cs="仿宋_GB2312"/>
          <w:sz w:val="32"/>
          <w:szCs w:val="32"/>
          <w:lang w:val="en-US" w:eastAsia="zh-CN"/>
        </w:rPr>
        <w:t>需要</w:t>
      </w:r>
      <w:r>
        <w:rPr>
          <w:rFonts w:hint="eastAsia" w:ascii="仿宋_GB2312" w:hAnsi="仿宋_GB2312" w:eastAsia="仿宋_GB2312" w:cs="仿宋_GB2312"/>
          <w:sz w:val="32"/>
          <w:szCs w:val="32"/>
          <w:lang w:eastAsia="zh-CN"/>
        </w:rPr>
        <w:t>持续更新知识体系</w:t>
      </w:r>
      <w:r>
        <w:rPr>
          <w:rFonts w:hint="eastAsia" w:ascii="仿宋_GB2312" w:hAnsi="仿宋_GB2312" w:eastAsia="仿宋_GB2312" w:cs="仿宋_GB2312"/>
          <w:sz w:val="32"/>
          <w:szCs w:val="32"/>
          <w:lang w:val="en-US" w:eastAsia="zh-CN"/>
        </w:rPr>
        <w:t>。</w:t>
      </w:r>
    </w:p>
    <w:p w14:paraId="3DED2DD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、下一步改进措施</w:t>
      </w:r>
    </w:p>
    <w:p w14:paraId="58198A96">
      <w:pPr>
        <w:pStyle w:val="2"/>
        <w:keepNext w:val="0"/>
        <w:keepLines w:val="0"/>
        <w:pageBreakBefore w:val="0"/>
        <w:wordWrap/>
        <w:overflowPunct/>
        <w:topLinePunct w:val="0"/>
        <w:bidi w:val="0"/>
        <w:spacing w:line="600" w:lineRule="exact"/>
        <w:jc w:val="both"/>
        <w:rPr>
          <w:rFonts w:hint="eastAsia" w:ascii="仿宋_GB2312" w:hAnsi="仿宋_GB2312" w:eastAsia="仿宋_GB2312" w:cs="仿宋_GB2312"/>
          <w:color w:val="auto"/>
          <w:sz w:val="32"/>
          <w:szCs w:val="32"/>
          <w:lang w:val="en-US" w:eastAsia="zh-CN"/>
        </w:rPr>
      </w:pPr>
      <w:r>
        <w:rPr>
          <w:rFonts w:hint="eastAsia" w:ascii="Times New Roman" w:hAnsi="Times New Roman" w:eastAsia="黑体" w:cs="Times New Roman"/>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sz w:val="32"/>
          <w:szCs w:val="32"/>
          <w:lang w:val="en-US" w:eastAsia="zh-CN"/>
        </w:rPr>
        <w:t>加强与财政及相关职能部门的对接，及时补充执法装备，更新执法车辆。</w:t>
      </w:r>
    </w:p>
    <w:p w14:paraId="4D8EF667">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right="0" w:firstLine="480" w:firstLineChars="15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b w:val="0"/>
          <w:bCs/>
          <w:color w:val="auto"/>
          <w:sz w:val="32"/>
          <w:szCs w:val="32"/>
          <w:shd w:val="clear" w:color="auto" w:fill="FFFFFF"/>
          <w:lang w:eastAsia="zh-CN"/>
        </w:rPr>
        <w:t>加快</w:t>
      </w:r>
      <w:r>
        <w:rPr>
          <w:rFonts w:hint="eastAsia" w:ascii="仿宋_GB2312" w:hAnsi="仿宋_GB2312" w:eastAsia="仿宋_GB2312" w:cs="仿宋_GB2312"/>
          <w:b w:val="0"/>
          <w:bCs/>
          <w:color w:val="auto"/>
          <w:sz w:val="32"/>
          <w:szCs w:val="32"/>
          <w:shd w:val="clear" w:color="auto" w:fill="FFFFFF"/>
          <w:lang w:val="en-US" w:eastAsia="zh-CN"/>
        </w:rPr>
        <w:t>人才</w:t>
      </w:r>
      <w:r>
        <w:rPr>
          <w:rFonts w:hint="eastAsia" w:ascii="仿宋_GB2312" w:hAnsi="仿宋_GB2312" w:eastAsia="仿宋_GB2312" w:cs="仿宋_GB2312"/>
          <w:b w:val="0"/>
          <w:bCs/>
          <w:color w:val="auto"/>
          <w:sz w:val="32"/>
          <w:szCs w:val="32"/>
          <w:shd w:val="clear" w:color="auto" w:fill="FFFFFF"/>
          <w:lang w:eastAsia="zh-CN"/>
        </w:rPr>
        <w:t>队伍建设，提</w:t>
      </w:r>
      <w:r>
        <w:rPr>
          <w:rFonts w:hint="eastAsia" w:ascii="仿宋_GB2312" w:hAnsi="仿宋_GB2312" w:eastAsia="仿宋_GB2312" w:cs="仿宋_GB2312"/>
          <w:b w:val="0"/>
          <w:bCs/>
          <w:color w:val="auto"/>
          <w:sz w:val="32"/>
          <w:szCs w:val="32"/>
          <w:shd w:val="clear" w:color="auto" w:fill="FFFFFF"/>
          <w:lang w:val="en-US" w:eastAsia="zh-CN"/>
        </w:rPr>
        <w:t>升绩效</w:t>
      </w:r>
      <w:r>
        <w:rPr>
          <w:rFonts w:hint="eastAsia" w:ascii="仿宋_GB2312" w:hAnsi="仿宋_GB2312" w:eastAsia="仿宋_GB2312" w:cs="仿宋_GB2312"/>
          <w:b w:val="0"/>
          <w:bCs/>
          <w:color w:val="auto"/>
          <w:sz w:val="32"/>
          <w:szCs w:val="32"/>
          <w:shd w:val="clear" w:color="auto" w:fill="FFFFFF"/>
          <w:lang w:eastAsia="zh-CN"/>
        </w:rPr>
        <w:t>管理人员专业水平。</w:t>
      </w:r>
      <w:r>
        <w:rPr>
          <w:rFonts w:hint="eastAsia" w:ascii="仿宋_GB2312" w:hAnsi="仿宋_GB2312" w:eastAsia="仿宋_GB2312" w:cs="仿宋_GB2312"/>
          <w:b w:val="0"/>
          <w:bCs/>
          <w:color w:val="000000"/>
          <w:sz w:val="32"/>
          <w:szCs w:val="32"/>
          <w:shd w:val="clear" w:color="auto" w:fill="FFFFFF"/>
          <w:lang w:val="en-US" w:eastAsia="zh-CN"/>
        </w:rPr>
        <w:t>引进专业</w:t>
      </w:r>
      <w:r>
        <w:rPr>
          <w:rFonts w:hint="eastAsia" w:ascii="仿宋_GB2312" w:hAnsi="仿宋_GB2312" w:eastAsia="仿宋_GB2312" w:cs="仿宋_GB2312"/>
          <w:b w:val="0"/>
          <w:bCs/>
          <w:color w:val="000000"/>
          <w:sz w:val="32"/>
          <w:szCs w:val="32"/>
          <w:shd w:val="clear" w:color="auto" w:fill="FFFFFF"/>
          <w:lang w:eastAsia="zh-CN"/>
        </w:rPr>
        <w:t>人</w:t>
      </w:r>
      <w:r>
        <w:rPr>
          <w:rFonts w:hint="eastAsia" w:ascii="仿宋_GB2312" w:hAnsi="仿宋_GB2312" w:eastAsia="仿宋_GB2312" w:cs="仿宋_GB2312"/>
          <w:b w:val="0"/>
          <w:bCs/>
          <w:color w:val="000000"/>
          <w:sz w:val="32"/>
          <w:szCs w:val="32"/>
          <w:shd w:val="clear" w:color="auto" w:fill="FFFFFF"/>
          <w:lang w:val="en-US" w:eastAsia="zh-CN"/>
        </w:rPr>
        <w:t>才</w:t>
      </w:r>
      <w:r>
        <w:rPr>
          <w:rFonts w:hint="eastAsia" w:ascii="仿宋_GB2312" w:hAnsi="仿宋_GB2312" w:eastAsia="仿宋_GB2312" w:cs="仿宋_GB2312"/>
          <w:b w:val="0"/>
          <w:bCs/>
          <w:color w:val="000000"/>
          <w:sz w:val="32"/>
          <w:szCs w:val="32"/>
          <w:shd w:val="clear" w:color="auto" w:fill="FFFFFF"/>
          <w:lang w:eastAsia="zh-CN"/>
        </w:rPr>
        <w:t>，</w:t>
      </w:r>
      <w:r>
        <w:rPr>
          <w:rFonts w:hint="eastAsia" w:ascii="仿宋_GB2312" w:hAnsi="仿宋_GB2312" w:eastAsia="仿宋_GB2312" w:cs="仿宋_GB2312"/>
          <w:b w:val="0"/>
          <w:bCs/>
          <w:color w:val="000000"/>
          <w:sz w:val="32"/>
          <w:szCs w:val="32"/>
          <w:shd w:val="clear" w:color="auto" w:fill="FFFFFF"/>
          <w:lang w:val="en-US" w:eastAsia="zh-CN"/>
        </w:rPr>
        <w:t>充实</w:t>
      </w:r>
      <w:r>
        <w:rPr>
          <w:rFonts w:hint="eastAsia" w:ascii="仿宋_GB2312" w:hAnsi="仿宋_GB2312" w:eastAsia="仿宋_GB2312" w:cs="仿宋_GB2312"/>
          <w:b w:val="0"/>
          <w:bCs/>
          <w:color w:val="000000"/>
          <w:sz w:val="32"/>
          <w:szCs w:val="32"/>
          <w:shd w:val="clear" w:color="auto" w:fill="FFFFFF"/>
          <w:lang w:eastAsia="zh-CN"/>
        </w:rPr>
        <w:t>绩效管理</w:t>
      </w:r>
      <w:r>
        <w:rPr>
          <w:rFonts w:hint="eastAsia" w:ascii="仿宋_GB2312" w:hAnsi="仿宋_GB2312" w:eastAsia="仿宋_GB2312" w:cs="仿宋_GB2312"/>
          <w:b w:val="0"/>
          <w:bCs/>
          <w:color w:val="000000"/>
          <w:sz w:val="32"/>
          <w:szCs w:val="32"/>
          <w:shd w:val="clear" w:color="auto" w:fill="FFFFFF"/>
          <w:lang w:val="en-US" w:eastAsia="zh-CN"/>
        </w:rPr>
        <w:t>人才队伍</w:t>
      </w:r>
      <w:r>
        <w:rPr>
          <w:rFonts w:hint="eastAsia" w:ascii="仿宋_GB2312" w:hAnsi="仿宋_GB2312" w:eastAsia="仿宋_GB2312" w:cs="仿宋_GB2312"/>
          <w:b w:val="0"/>
          <w:bCs/>
          <w:color w:val="000000"/>
          <w:sz w:val="32"/>
          <w:szCs w:val="32"/>
          <w:shd w:val="clear" w:color="auto" w:fill="FFFFFF"/>
          <w:lang w:eastAsia="zh-CN"/>
        </w:rPr>
        <w:t>，加强</w:t>
      </w:r>
      <w:r>
        <w:rPr>
          <w:rFonts w:hint="eastAsia" w:ascii="仿宋_GB2312" w:hAnsi="仿宋_GB2312" w:eastAsia="仿宋_GB2312" w:cs="仿宋_GB2312"/>
          <w:b w:val="0"/>
          <w:bCs/>
          <w:color w:val="000000"/>
          <w:sz w:val="32"/>
          <w:szCs w:val="32"/>
          <w:shd w:val="clear" w:color="auto" w:fill="FFFFFF"/>
          <w:lang w:val="en-US" w:eastAsia="zh-CN"/>
        </w:rPr>
        <w:t>业务培训，提升绩效管理人员综合素质</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b w:val="0"/>
          <w:bCs/>
          <w:color w:val="000000"/>
          <w:sz w:val="32"/>
          <w:szCs w:val="32"/>
          <w:shd w:val="clear" w:color="auto" w:fill="FFFFFF"/>
          <w:lang w:val="en-US" w:eastAsia="zh-CN"/>
        </w:rPr>
        <w:t>同时，加强部门之间的沟通，</w:t>
      </w:r>
      <w:r>
        <w:rPr>
          <w:rFonts w:hint="eastAsia" w:ascii="仿宋_GB2312" w:hAnsi="仿宋_GB2312" w:eastAsia="仿宋_GB2312" w:cs="仿宋_GB2312"/>
          <w:b w:val="0"/>
          <w:bCs/>
          <w:color w:val="000000"/>
          <w:sz w:val="32"/>
          <w:szCs w:val="32"/>
          <w:shd w:val="clear" w:color="auto" w:fill="FFFFFF"/>
          <w:lang w:eastAsia="zh-CN"/>
        </w:rPr>
        <w:t>提</w:t>
      </w:r>
      <w:r>
        <w:rPr>
          <w:rFonts w:hint="eastAsia" w:ascii="仿宋_GB2312" w:hAnsi="仿宋_GB2312" w:eastAsia="仿宋_GB2312" w:cs="仿宋_GB2312"/>
          <w:b w:val="0"/>
          <w:bCs/>
          <w:color w:val="000000"/>
          <w:sz w:val="32"/>
          <w:szCs w:val="32"/>
          <w:shd w:val="clear" w:color="auto" w:fill="FFFFFF"/>
          <w:lang w:val="en-US" w:eastAsia="zh-CN"/>
        </w:rPr>
        <w:t>升</w:t>
      </w:r>
      <w:r>
        <w:rPr>
          <w:rFonts w:hint="eastAsia" w:ascii="仿宋_GB2312" w:hAnsi="仿宋_GB2312" w:eastAsia="仿宋_GB2312" w:cs="仿宋_GB2312"/>
          <w:b w:val="0"/>
          <w:bCs/>
          <w:color w:val="000000"/>
          <w:sz w:val="32"/>
          <w:szCs w:val="32"/>
          <w:shd w:val="clear" w:color="auto" w:fill="FFFFFF"/>
          <w:lang w:eastAsia="zh-CN"/>
        </w:rPr>
        <w:t>绩效管理</w:t>
      </w:r>
      <w:r>
        <w:rPr>
          <w:rFonts w:hint="eastAsia" w:ascii="仿宋_GB2312" w:hAnsi="仿宋_GB2312" w:eastAsia="仿宋_GB2312" w:cs="仿宋_GB2312"/>
          <w:b w:val="0"/>
          <w:bCs/>
          <w:color w:val="000000"/>
          <w:sz w:val="32"/>
          <w:szCs w:val="32"/>
          <w:shd w:val="clear" w:color="auto" w:fill="FFFFFF"/>
          <w:lang w:val="en-US" w:eastAsia="zh-CN"/>
        </w:rPr>
        <w:t>水</w:t>
      </w:r>
      <w:r>
        <w:rPr>
          <w:rFonts w:hint="eastAsia" w:ascii="仿宋_GB2312" w:hAnsi="仿宋_GB2312" w:eastAsia="仿宋_GB2312" w:cs="仿宋_GB2312"/>
          <w:b w:val="0"/>
          <w:bCs/>
          <w:color w:val="000000"/>
          <w:sz w:val="32"/>
          <w:szCs w:val="32"/>
          <w:shd w:val="clear" w:color="auto" w:fill="FFFFFF"/>
          <w:lang w:eastAsia="zh-CN"/>
        </w:rPr>
        <w:t>平。</w:t>
      </w:r>
    </w:p>
    <w:p w14:paraId="7AA682F0">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、部门整体支出绩效自评结果拟应用和公开情况</w:t>
      </w:r>
    </w:p>
    <w:p w14:paraId="457B2FE4">
      <w:pPr>
        <w:pStyle w:val="3"/>
        <w:keepNext w:val="0"/>
        <w:keepLines w:val="0"/>
        <w:pageBreakBefore w:val="0"/>
        <w:wordWrap/>
        <w:overflowPunct/>
        <w:topLinePunct w:val="0"/>
        <w:bidi w:val="0"/>
        <w:spacing w:line="600" w:lineRule="exact"/>
        <w:ind w:left="0" w:leftChars="0" w:firstLine="0" w:firstLineChars="0"/>
        <w:jc w:val="both"/>
        <w:rPr>
          <w:rStyle w:val="12"/>
          <w:rFonts w:hint="eastAsia" w:ascii="仿宋_GB2312" w:hAnsi="仿宋_GB2312" w:eastAsia="仿宋_GB2312" w:cs="仿宋_GB2312"/>
          <w:sz w:val="32"/>
          <w:szCs w:val="32"/>
          <w:lang w:val="en-US" w:eastAsia="zh-CN"/>
        </w:rPr>
      </w:pPr>
      <w:r>
        <w:rPr>
          <w:rFonts w:hint="eastAsia" w:ascii="Times New Roman" w:hAnsi="Times New Roman" w:eastAsia="黑体" w:cs="Times New Roman"/>
          <w:sz w:val="32"/>
          <w:szCs w:val="32"/>
          <w:lang w:val="en-US" w:eastAsia="zh-CN"/>
        </w:rPr>
        <w:t xml:space="preserve">    </w:t>
      </w:r>
      <w:r>
        <w:rPr>
          <w:rStyle w:val="12"/>
          <w:rFonts w:hint="eastAsia" w:ascii="仿宋_GB2312" w:hAnsi="仿宋_GB2312" w:eastAsia="仿宋_GB2312" w:cs="仿宋_GB2312"/>
          <w:sz w:val="32"/>
          <w:szCs w:val="32"/>
        </w:rPr>
        <w:t>部门整体支出绩效自评结果</w:t>
      </w:r>
      <w:r>
        <w:rPr>
          <w:rStyle w:val="12"/>
          <w:rFonts w:hint="eastAsia" w:ascii="仿宋_GB2312" w:hAnsi="仿宋_GB2312" w:eastAsia="仿宋_GB2312" w:cs="仿宋_GB2312"/>
          <w:sz w:val="32"/>
          <w:szCs w:val="32"/>
          <w:lang w:val="en-US" w:eastAsia="zh-CN"/>
        </w:rPr>
        <w:t>将作为完善本单位相关制度，改进资金管理的重要依据，同时，也将作为单位内部工作总结的参考依据。我单位的预算绩效目标、预算、决算及绩效评价均按相关规定及时在市城管局门户网站进行了公开。</w:t>
      </w:r>
    </w:p>
    <w:p w14:paraId="2815B052">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八、</w:t>
      </w:r>
      <w:r>
        <w:rPr>
          <w:rFonts w:hint="default" w:ascii="Times New Roman" w:hAnsi="Times New Roman" w:eastAsia="黑体" w:cs="Times New Roman"/>
          <w:sz w:val="32"/>
          <w:szCs w:val="32"/>
        </w:rPr>
        <w:t>其他需要说明的情况</w:t>
      </w:r>
    </w:p>
    <w:p w14:paraId="45614965">
      <w:pPr>
        <w:pStyle w:val="2"/>
        <w:bidi w:val="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2024年9月，城管执法机构改革，经济技术开发区城管大队并入我单位，管辖范围和工作人员增加</w:t>
      </w:r>
      <w:r>
        <w:rPr>
          <w:rFonts w:hint="eastAsia" w:ascii="仿宋_GB2312" w:hAnsi="仿宋_GB2312" w:eastAsia="仿宋_GB2312" w:cs="仿宋_GB2312"/>
          <w:sz w:val="32"/>
          <w:szCs w:val="32"/>
          <w:lang w:eastAsia="zh-CN"/>
        </w:rPr>
        <w:t>，本年收支预算总额</w:t>
      </w:r>
      <w:r>
        <w:rPr>
          <w:rFonts w:hint="eastAsia" w:ascii="仿宋_GB2312" w:hAnsi="仿宋_GB2312" w:eastAsia="仿宋_GB2312" w:cs="仿宋_GB2312"/>
          <w:sz w:val="32"/>
          <w:szCs w:val="32"/>
          <w:lang w:val="en-US" w:eastAsia="zh-CN"/>
        </w:rPr>
        <w:t>与上年相比</w:t>
      </w:r>
      <w:r>
        <w:rPr>
          <w:rFonts w:hint="eastAsia" w:ascii="仿宋_GB2312" w:hAnsi="仿宋_GB2312" w:eastAsia="仿宋_GB2312" w:cs="仿宋_GB2312"/>
          <w:sz w:val="32"/>
          <w:szCs w:val="32"/>
          <w:lang w:eastAsia="zh-CN"/>
        </w:rPr>
        <w:t>均相应增加。</w:t>
      </w:r>
    </w:p>
    <w:p w14:paraId="74E86FB5">
      <w:pPr>
        <w:pStyle w:val="3"/>
        <w:keepNext w:val="0"/>
        <w:keepLines w:val="0"/>
        <w:pageBreakBefore w:val="0"/>
        <w:wordWrap/>
        <w:overflowPunct/>
        <w:topLinePunct w:val="0"/>
        <w:bidi w:val="0"/>
        <w:spacing w:line="600" w:lineRule="exact"/>
        <w:ind w:left="0" w:leftChars="0" w:firstLine="0" w:firstLineChars="0"/>
        <w:rPr>
          <w:rFonts w:hint="default"/>
        </w:rPr>
      </w:pPr>
    </w:p>
    <w:p w14:paraId="1227EB7B">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部门整体支出绩效评价基础数据表</w:t>
      </w:r>
    </w:p>
    <w:p w14:paraId="1C6D2C91">
      <w:pPr>
        <w:keepNext w:val="0"/>
        <w:keepLines w:val="0"/>
        <w:pageBreakBefore w:val="0"/>
        <w:widowControl/>
        <w:kinsoku/>
        <w:wordWrap/>
        <w:overflowPunct/>
        <w:topLinePunct w:val="0"/>
        <w:autoSpaceDE/>
        <w:autoSpaceDN/>
        <w:bidi w:val="0"/>
        <w:adjustRightInd/>
        <w:snapToGrid/>
        <w:spacing w:line="600" w:lineRule="exact"/>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部门整体支出绩效自评表</w:t>
      </w:r>
    </w:p>
    <w:p w14:paraId="6A2C67EF">
      <w:pPr>
        <w:pStyle w:val="2"/>
        <w:keepNext w:val="0"/>
        <w:keepLines w:val="0"/>
        <w:pageBreakBefore w:val="0"/>
        <w:wordWrap/>
        <w:overflowPunct/>
        <w:topLinePunct w:val="0"/>
        <w:bidi w:val="0"/>
        <w:spacing w:line="600" w:lineRule="exact"/>
        <w:rPr>
          <w:rFonts w:hint="eastAsia"/>
          <w:sz w:val="32"/>
          <w:szCs w:val="32"/>
        </w:rPr>
      </w:pPr>
    </w:p>
    <w:p w14:paraId="2F1AD157">
      <w:pPr>
        <w:pStyle w:val="3"/>
        <w:rPr>
          <w:rFonts w:hint="eastAsia"/>
        </w:rPr>
      </w:pPr>
    </w:p>
    <w:p w14:paraId="6A72B81B">
      <w:pPr>
        <w:pStyle w:val="7"/>
        <w:keepNext w:val="0"/>
        <w:keepLines w:val="0"/>
        <w:pageBreakBefore w:val="0"/>
        <w:widowControl/>
        <w:suppressLineNumbers w:val="0"/>
        <w:wordWrap/>
        <w:overflowPunct/>
        <w:topLinePunct w:val="0"/>
        <w:bidi w:val="0"/>
        <w:spacing w:before="0" w:beforeAutospacing="0" w:after="0" w:afterAutospacing="0" w:line="600" w:lineRule="exact"/>
        <w:ind w:right="0" w:firstLine="1280" w:firstLineChars="400"/>
        <w:jc w:val="right"/>
        <w:rPr>
          <w:rFonts w:hint="eastAsia" w:ascii="CESI仿宋-GB2312" w:hAnsi="CESI仿宋-GB2312" w:eastAsia="CESI仿宋-GB2312" w:cs="CESI仿宋-GB2312"/>
          <w:spacing w:val="8"/>
          <w:sz w:val="32"/>
          <w:szCs w:val="32"/>
          <w:lang w:eastAsia="zh-CN"/>
        </w:rPr>
      </w:pPr>
      <w:r>
        <w:rPr>
          <w:rFonts w:hint="eastAsia" w:ascii="CESI仿宋-GB2312" w:hAnsi="CESI仿宋-GB2312" w:eastAsia="CESI仿宋-GB2312" w:cs="CESI仿宋-GB2312"/>
          <w:sz w:val="32"/>
          <w:szCs w:val="32"/>
        </w:rPr>
        <w:t>岳阳市城市管理综合行政执法支队站场执法大队</w:t>
      </w:r>
    </w:p>
    <w:p w14:paraId="0199F78C">
      <w:pPr>
        <w:keepNext w:val="0"/>
        <w:keepLines w:val="0"/>
        <w:pageBreakBefore w:val="0"/>
        <w:wordWrap/>
        <w:overflowPunct/>
        <w:topLinePunct w:val="0"/>
        <w:bidi w:val="0"/>
        <w:spacing w:line="600" w:lineRule="exac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202</w:t>
      </w:r>
      <w:r>
        <w:rPr>
          <w:rFonts w:hint="default" w:ascii="仿宋_GB2312" w:hAnsi="仿宋_GB2312" w:eastAsia="仿宋_GB2312" w:cs="仿宋_GB2312"/>
          <w:color w:val="000000"/>
          <w:sz w:val="32"/>
          <w:szCs w:val="32"/>
          <w:lang w:val="en" w:eastAsia="zh-CN"/>
        </w:rPr>
        <w:t>6</w:t>
      </w:r>
      <w:r>
        <w:rPr>
          <w:rFonts w:hint="eastAsia" w:ascii="仿宋_GB2312" w:hAnsi="仿宋_GB2312" w:eastAsia="仿宋_GB2312" w:cs="仿宋_GB2312"/>
          <w:color w:val="000000"/>
          <w:sz w:val="32"/>
          <w:szCs w:val="32"/>
          <w:lang w:val="en-US" w:eastAsia="zh-CN"/>
        </w:rPr>
        <w:t>年6月18日</w:t>
      </w:r>
    </w:p>
    <w:p w14:paraId="302B4F4A">
      <w:pPr>
        <w:pStyle w:val="2"/>
        <w:rPr>
          <w:rFonts w:hint="default"/>
          <w:lang w:val="en-US" w:eastAsia="zh-CN"/>
        </w:rPr>
      </w:pPr>
    </w:p>
    <w:p w14:paraId="0AD41D5C">
      <w:pPr>
        <w:pStyle w:val="3"/>
        <w:rPr>
          <w:rFonts w:hint="default"/>
          <w:lang w:val="en-US" w:eastAsia="zh-CN"/>
        </w:rPr>
      </w:pPr>
    </w:p>
    <w:p w14:paraId="6FE80C5E">
      <w:pPr>
        <w:rPr>
          <w:rFonts w:hint="default"/>
          <w:lang w:val="en-US" w:eastAsia="zh-CN"/>
        </w:rPr>
      </w:pPr>
    </w:p>
    <w:p w14:paraId="5A102EB5">
      <w:pPr>
        <w:pStyle w:val="2"/>
        <w:rPr>
          <w:rFonts w:hint="default"/>
          <w:lang w:val="en-US" w:eastAsia="zh-CN"/>
        </w:rPr>
      </w:pPr>
    </w:p>
    <w:p w14:paraId="0838DB89">
      <w:pPr>
        <w:pStyle w:val="3"/>
        <w:rPr>
          <w:rFonts w:hint="default"/>
          <w:lang w:val="en-US" w:eastAsia="zh-CN"/>
        </w:rPr>
      </w:pPr>
    </w:p>
    <w:p w14:paraId="52CFD3B4">
      <w:pPr>
        <w:rPr>
          <w:rFonts w:hint="default"/>
          <w:lang w:val="en-US" w:eastAsia="zh-CN"/>
        </w:rPr>
      </w:pPr>
    </w:p>
    <w:p w14:paraId="29B8268C">
      <w:pPr>
        <w:pStyle w:val="2"/>
        <w:rPr>
          <w:rFonts w:hint="default"/>
          <w:lang w:val="en-US" w:eastAsia="zh-CN"/>
        </w:rPr>
      </w:pPr>
    </w:p>
    <w:p w14:paraId="0CEB8734">
      <w:pPr>
        <w:pStyle w:val="3"/>
        <w:rPr>
          <w:rFonts w:hint="default"/>
          <w:lang w:val="en-US" w:eastAsia="zh-CN"/>
        </w:rPr>
      </w:pPr>
    </w:p>
    <w:p w14:paraId="38F0F953">
      <w:pPr>
        <w:spacing w:after="120" w:afterLines="50"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2F95FB49">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default" w:ascii="方正小标宋简体" w:hAnsi="方正小标宋简体" w:eastAsia="方正小标宋简体" w:cs="方正小标宋简体"/>
          <w:sz w:val="36"/>
          <w:szCs w:val="36"/>
          <w:highlight w:val="none"/>
          <w:lang w:val="e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8"/>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114BD113">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2639301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18FF2E84">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184EBC09">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072F587D">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4D1FBA08">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63ABA8A7">
            <w:pPr>
              <w:widowControl/>
              <w:spacing w:line="360" w:lineRule="exact"/>
              <w:jc w:val="left"/>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1341BBC6">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79</w:t>
            </w:r>
          </w:p>
        </w:tc>
        <w:tc>
          <w:tcPr>
            <w:tcW w:w="2240" w:type="dxa"/>
            <w:gridSpan w:val="2"/>
            <w:tcBorders>
              <w:top w:val="single" w:color="auto" w:sz="4" w:space="0"/>
              <w:left w:val="nil"/>
              <w:bottom w:val="single" w:color="auto" w:sz="4" w:space="0"/>
              <w:right w:val="single" w:color="auto" w:sz="4" w:space="0"/>
            </w:tcBorders>
            <w:noWrap w:val="0"/>
            <w:vAlign w:val="center"/>
          </w:tcPr>
          <w:p w14:paraId="58020AC2">
            <w:pPr>
              <w:widowControl/>
              <w:spacing w:line="360" w:lineRule="exact"/>
              <w:jc w:val="center"/>
              <w:rPr>
                <w:rFonts w:hint="default" w:ascii="仿宋_GB2312" w:hAnsi="仿宋_GB2312" w:eastAsia="仿宋_GB2312" w:cs="仿宋_GB2312"/>
                <w:color w:val="auto"/>
                <w:sz w:val="20"/>
                <w:szCs w:val="20"/>
                <w:highlight w:val="none"/>
                <w:lang w:val="en"/>
              </w:rPr>
            </w:pPr>
            <w:r>
              <w:rPr>
                <w:rFonts w:hint="eastAsia" w:ascii="仿宋_GB2312" w:hAnsi="仿宋_GB2312" w:eastAsia="仿宋_GB2312" w:cs="仿宋_GB2312"/>
                <w:color w:val="auto"/>
                <w:sz w:val="20"/>
                <w:szCs w:val="20"/>
                <w:highlight w:val="none"/>
                <w:lang w:val="en-US" w:eastAsia="zh-CN"/>
              </w:rPr>
              <w:t>7</w:t>
            </w:r>
            <w:r>
              <w:rPr>
                <w:rFonts w:hint="default" w:ascii="仿宋_GB2312" w:hAnsi="仿宋_GB2312" w:eastAsia="仿宋_GB2312" w:cs="仿宋_GB2312"/>
                <w:color w:val="auto"/>
                <w:sz w:val="20"/>
                <w:szCs w:val="20"/>
                <w:highlight w:val="none"/>
                <w:lang w:val="en" w:eastAsia="zh-CN"/>
              </w:rPr>
              <w:t>7</w:t>
            </w:r>
          </w:p>
        </w:tc>
        <w:tc>
          <w:tcPr>
            <w:tcW w:w="2041" w:type="dxa"/>
            <w:gridSpan w:val="2"/>
            <w:tcBorders>
              <w:top w:val="single" w:color="auto" w:sz="4" w:space="0"/>
              <w:left w:val="nil"/>
              <w:bottom w:val="single" w:color="auto" w:sz="4" w:space="0"/>
              <w:right w:val="single" w:color="auto" w:sz="4" w:space="0"/>
            </w:tcBorders>
            <w:noWrap w:val="0"/>
            <w:vAlign w:val="center"/>
          </w:tcPr>
          <w:p w14:paraId="78276B86">
            <w:pPr>
              <w:widowControl/>
              <w:spacing w:line="36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 w:eastAsia="zh-CN"/>
              </w:rPr>
              <w:t>97.47</w:t>
            </w:r>
            <w:r>
              <w:rPr>
                <w:rFonts w:hint="eastAsia" w:ascii="仿宋_GB2312" w:hAnsi="仿宋_GB2312" w:eastAsia="仿宋_GB2312" w:cs="仿宋_GB2312"/>
                <w:color w:val="auto"/>
                <w:sz w:val="20"/>
                <w:szCs w:val="20"/>
                <w:highlight w:val="none"/>
                <w:lang w:val="en-US" w:eastAsia="zh-CN"/>
              </w:rPr>
              <w:t>%</w:t>
            </w:r>
            <w:r>
              <w:rPr>
                <w:rFonts w:hint="eastAsia" w:ascii="仿宋_GB2312" w:hAnsi="仿宋_GB2312" w:eastAsia="仿宋_GB2312" w:cs="仿宋_GB2312"/>
                <w:color w:val="auto"/>
                <w:sz w:val="20"/>
                <w:szCs w:val="20"/>
                <w:highlight w:val="none"/>
              </w:rPr>
              <w:t>　</w:t>
            </w:r>
          </w:p>
        </w:tc>
      </w:tr>
      <w:tr w14:paraId="321E781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E82E4A1">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152A6574">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5072A6B5">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520CBAC1">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default" w:ascii="仿宋_GB2312" w:hAnsi="仿宋_GB2312" w:eastAsia="仿宋_GB2312" w:cs="仿宋_GB2312"/>
                <w:b/>
                <w:bCs/>
                <w:sz w:val="20"/>
                <w:szCs w:val="20"/>
                <w:highlight w:val="none"/>
                <w:lang w:val="en"/>
              </w:rPr>
              <w:t>5</w:t>
            </w:r>
            <w:r>
              <w:rPr>
                <w:rFonts w:hint="eastAsia" w:ascii="仿宋_GB2312" w:hAnsi="仿宋_GB2312" w:eastAsia="仿宋_GB2312" w:cs="仿宋_GB2312"/>
                <w:b/>
                <w:bCs/>
                <w:sz w:val="20"/>
                <w:szCs w:val="20"/>
                <w:highlight w:val="none"/>
              </w:rPr>
              <w:t>年决算数</w:t>
            </w:r>
          </w:p>
        </w:tc>
      </w:tr>
      <w:tr w14:paraId="4D08260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E4A24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DEBB45C">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8.11</w:t>
            </w:r>
          </w:p>
        </w:tc>
        <w:tc>
          <w:tcPr>
            <w:tcW w:w="2240" w:type="dxa"/>
            <w:gridSpan w:val="2"/>
            <w:tcBorders>
              <w:top w:val="single" w:color="auto" w:sz="4" w:space="0"/>
              <w:left w:val="nil"/>
              <w:bottom w:val="single" w:color="auto" w:sz="4" w:space="0"/>
              <w:right w:val="single" w:color="000000" w:sz="4" w:space="0"/>
            </w:tcBorders>
            <w:noWrap w:val="0"/>
            <w:vAlign w:val="center"/>
          </w:tcPr>
          <w:p w14:paraId="25F7678A">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21.00</w:t>
            </w:r>
          </w:p>
        </w:tc>
        <w:tc>
          <w:tcPr>
            <w:tcW w:w="2041" w:type="dxa"/>
            <w:gridSpan w:val="2"/>
            <w:tcBorders>
              <w:top w:val="single" w:color="auto" w:sz="4" w:space="0"/>
              <w:left w:val="nil"/>
              <w:bottom w:val="single" w:color="auto" w:sz="4" w:space="0"/>
              <w:right w:val="single" w:color="000000" w:sz="4" w:space="0"/>
            </w:tcBorders>
            <w:noWrap w:val="0"/>
            <w:vAlign w:val="center"/>
          </w:tcPr>
          <w:p w14:paraId="18C038B5">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21.00</w:t>
            </w:r>
          </w:p>
        </w:tc>
      </w:tr>
      <w:tr w14:paraId="1DA0B5B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850A8C0">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577E7AD">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8.11</w:t>
            </w:r>
          </w:p>
        </w:tc>
        <w:tc>
          <w:tcPr>
            <w:tcW w:w="2240" w:type="dxa"/>
            <w:gridSpan w:val="2"/>
            <w:tcBorders>
              <w:top w:val="single" w:color="auto" w:sz="4" w:space="0"/>
              <w:left w:val="nil"/>
              <w:bottom w:val="single" w:color="auto" w:sz="4" w:space="0"/>
              <w:right w:val="single" w:color="000000" w:sz="4" w:space="0"/>
            </w:tcBorders>
            <w:noWrap w:val="0"/>
            <w:vAlign w:val="center"/>
          </w:tcPr>
          <w:p w14:paraId="46CAE4B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21.00</w:t>
            </w:r>
          </w:p>
        </w:tc>
        <w:tc>
          <w:tcPr>
            <w:tcW w:w="2041" w:type="dxa"/>
            <w:gridSpan w:val="2"/>
            <w:tcBorders>
              <w:top w:val="single" w:color="auto" w:sz="4" w:space="0"/>
              <w:left w:val="nil"/>
              <w:bottom w:val="single" w:color="auto" w:sz="4" w:space="0"/>
              <w:right w:val="single" w:color="000000" w:sz="4" w:space="0"/>
            </w:tcBorders>
            <w:noWrap w:val="0"/>
            <w:vAlign w:val="center"/>
          </w:tcPr>
          <w:p w14:paraId="5A24D0D9">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21.00</w:t>
            </w:r>
          </w:p>
        </w:tc>
      </w:tr>
      <w:tr w14:paraId="077088C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F372650">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10416B3F">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751E597E">
            <w:pPr>
              <w:widowControl/>
              <w:spacing w:line="360" w:lineRule="exact"/>
              <w:jc w:val="center"/>
              <w:rPr>
                <w:rFonts w:hint="default" w:ascii="仿宋_GB2312" w:hAnsi="仿宋_GB2312" w:eastAsia="仿宋_GB2312" w:cs="仿宋_GB2312"/>
                <w:kern w:val="0"/>
                <w:sz w:val="20"/>
                <w:szCs w:val="20"/>
                <w:highlight w:val="none"/>
                <w:lang w:val="en" w:eastAsia="zh-CN" w:bidi="ar-SA"/>
              </w:rPr>
            </w:pPr>
            <w:r>
              <w:rPr>
                <w:rFonts w:hint="default" w:ascii="仿宋_GB2312" w:hAnsi="仿宋_GB2312" w:eastAsia="仿宋_GB2312" w:cs="仿宋_GB2312"/>
                <w:sz w:val="20"/>
                <w:szCs w:val="20"/>
                <w:highlight w:val="none"/>
                <w:lang w:val="e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785BF0DA">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r>
      <w:tr w14:paraId="76CB1FD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AE1325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4DDF08AA">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8.11</w:t>
            </w:r>
          </w:p>
        </w:tc>
        <w:tc>
          <w:tcPr>
            <w:tcW w:w="2240" w:type="dxa"/>
            <w:gridSpan w:val="2"/>
            <w:tcBorders>
              <w:top w:val="single" w:color="auto" w:sz="4" w:space="0"/>
              <w:left w:val="nil"/>
              <w:bottom w:val="single" w:color="auto" w:sz="4" w:space="0"/>
              <w:right w:val="single" w:color="000000" w:sz="4" w:space="0"/>
            </w:tcBorders>
            <w:noWrap w:val="0"/>
            <w:vAlign w:val="center"/>
          </w:tcPr>
          <w:p w14:paraId="5ADB165E">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21.00</w:t>
            </w:r>
          </w:p>
        </w:tc>
        <w:tc>
          <w:tcPr>
            <w:tcW w:w="2041" w:type="dxa"/>
            <w:gridSpan w:val="2"/>
            <w:tcBorders>
              <w:top w:val="single" w:color="auto" w:sz="4" w:space="0"/>
              <w:left w:val="nil"/>
              <w:bottom w:val="single" w:color="auto" w:sz="4" w:space="0"/>
              <w:right w:val="single" w:color="000000" w:sz="4" w:space="0"/>
            </w:tcBorders>
            <w:noWrap w:val="0"/>
            <w:vAlign w:val="center"/>
          </w:tcPr>
          <w:p w14:paraId="6ABEFC21">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21.00</w:t>
            </w:r>
          </w:p>
        </w:tc>
      </w:tr>
      <w:tr w14:paraId="4995015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7AD8B8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A0AC6C0">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BBE46B9">
            <w:pPr>
              <w:widowControl/>
              <w:spacing w:line="360" w:lineRule="exact"/>
              <w:jc w:val="center"/>
              <w:rPr>
                <w:rFonts w:hint="default" w:ascii="仿宋_GB2312" w:hAnsi="仿宋_GB2312" w:eastAsia="仿宋_GB2312" w:cs="仿宋_GB2312"/>
                <w:kern w:val="0"/>
                <w:sz w:val="20"/>
                <w:szCs w:val="20"/>
                <w:highlight w:val="none"/>
                <w:lang w:val="en" w:eastAsia="zh-CN" w:bidi="ar-SA"/>
              </w:rPr>
            </w:pPr>
            <w:r>
              <w:rPr>
                <w:rFonts w:hint="default" w:ascii="仿宋_GB2312" w:hAnsi="仿宋_GB2312" w:eastAsia="仿宋_GB2312" w:cs="仿宋_GB2312"/>
                <w:sz w:val="20"/>
                <w:szCs w:val="20"/>
                <w:highlight w:val="none"/>
                <w:lang w:val="e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3815838D">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r>
      <w:tr w14:paraId="04786F6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83B062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130DACC6">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33A7691F">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452946FF">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r>
      <w:tr w14:paraId="1B2EB72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2BF41E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19D82AA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555.53</w:t>
            </w:r>
          </w:p>
        </w:tc>
        <w:tc>
          <w:tcPr>
            <w:tcW w:w="2240" w:type="dxa"/>
            <w:gridSpan w:val="2"/>
            <w:tcBorders>
              <w:top w:val="single" w:color="auto" w:sz="4" w:space="0"/>
              <w:left w:val="nil"/>
              <w:bottom w:val="single" w:color="auto" w:sz="4" w:space="0"/>
              <w:right w:val="single" w:color="000000" w:sz="4" w:space="0"/>
            </w:tcBorders>
            <w:noWrap w:val="0"/>
            <w:vAlign w:val="center"/>
          </w:tcPr>
          <w:p w14:paraId="2D57FF4D">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eastAsia="zh-CN"/>
              </w:rPr>
              <w:t>8</w:t>
            </w:r>
            <w:r>
              <w:rPr>
                <w:rFonts w:hint="eastAsia" w:ascii="仿宋_GB2312" w:hAnsi="仿宋_GB2312" w:eastAsia="仿宋_GB2312" w:cs="仿宋_GB2312"/>
                <w:sz w:val="20"/>
                <w:szCs w:val="20"/>
                <w:highlight w:val="none"/>
                <w:lang w:val="en-US" w:eastAsia="zh-CN"/>
              </w:rPr>
              <w:t>7</w:t>
            </w:r>
            <w:r>
              <w:rPr>
                <w:rFonts w:hint="default" w:ascii="仿宋_GB2312" w:hAnsi="仿宋_GB2312" w:eastAsia="仿宋_GB2312" w:cs="仿宋_GB2312"/>
                <w:sz w:val="20"/>
                <w:szCs w:val="20"/>
                <w:highlight w:val="none"/>
                <w:lang w:val="en" w:eastAsia="zh-CN"/>
              </w:rPr>
              <w:t>0</w:t>
            </w:r>
            <w:r>
              <w:rPr>
                <w:rFonts w:hint="eastAsia" w:ascii="仿宋_GB2312" w:hAnsi="仿宋_GB2312" w:eastAsia="仿宋_GB2312" w:cs="仿宋_GB2312"/>
                <w:sz w:val="20"/>
                <w:szCs w:val="20"/>
                <w:highlight w:val="none"/>
                <w:lang w:val="en-US" w:eastAsia="zh-CN"/>
              </w:rPr>
              <w:t>.</w:t>
            </w:r>
            <w:r>
              <w:rPr>
                <w:rFonts w:hint="default" w:ascii="仿宋_GB2312" w:hAnsi="仿宋_GB2312" w:eastAsia="仿宋_GB2312" w:cs="仿宋_GB2312"/>
                <w:sz w:val="20"/>
                <w:szCs w:val="20"/>
                <w:highlight w:val="none"/>
                <w:lang w:val="en" w:eastAsia="zh-CN"/>
              </w:rPr>
              <w:t>0</w:t>
            </w: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438715FA">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eastAsia="zh-CN"/>
              </w:rPr>
              <w:t>867.99</w:t>
            </w:r>
          </w:p>
        </w:tc>
      </w:tr>
      <w:tr w14:paraId="4EF0135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173909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B5B29E0">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35.35</w:t>
            </w:r>
          </w:p>
        </w:tc>
        <w:tc>
          <w:tcPr>
            <w:tcW w:w="2240" w:type="dxa"/>
            <w:gridSpan w:val="2"/>
            <w:tcBorders>
              <w:top w:val="single" w:color="auto" w:sz="4" w:space="0"/>
              <w:left w:val="nil"/>
              <w:bottom w:val="single" w:color="auto" w:sz="4" w:space="0"/>
              <w:right w:val="single" w:color="000000" w:sz="4" w:space="0"/>
            </w:tcBorders>
            <w:noWrap w:val="0"/>
            <w:vAlign w:val="center"/>
          </w:tcPr>
          <w:p w14:paraId="2F5C0C18">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34D63CF4">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r>
      <w:tr w14:paraId="40674C9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0AE7FCB">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E4DB6B3">
            <w:pPr>
              <w:widowControl/>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66.50</w:t>
            </w:r>
          </w:p>
        </w:tc>
        <w:tc>
          <w:tcPr>
            <w:tcW w:w="2240" w:type="dxa"/>
            <w:gridSpan w:val="2"/>
            <w:tcBorders>
              <w:top w:val="single" w:color="auto" w:sz="4" w:space="0"/>
              <w:left w:val="nil"/>
              <w:bottom w:val="single" w:color="auto" w:sz="4" w:space="0"/>
              <w:right w:val="single" w:color="000000" w:sz="4" w:space="0"/>
            </w:tcBorders>
            <w:noWrap w:val="0"/>
            <w:vAlign w:val="center"/>
          </w:tcPr>
          <w:p w14:paraId="428BABB5">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310926E7">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r>
      <w:tr w14:paraId="011CEA7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790241B">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2891CDB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453.68</w:t>
            </w:r>
          </w:p>
        </w:tc>
        <w:tc>
          <w:tcPr>
            <w:tcW w:w="2240" w:type="dxa"/>
            <w:gridSpan w:val="2"/>
            <w:tcBorders>
              <w:top w:val="single" w:color="auto" w:sz="4" w:space="0"/>
              <w:left w:val="nil"/>
              <w:bottom w:val="single" w:color="auto" w:sz="4" w:space="0"/>
              <w:right w:val="single" w:color="000000" w:sz="4" w:space="0"/>
            </w:tcBorders>
            <w:noWrap w:val="0"/>
            <w:vAlign w:val="center"/>
          </w:tcPr>
          <w:p w14:paraId="663A2219">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868.00</w:t>
            </w:r>
          </w:p>
        </w:tc>
        <w:tc>
          <w:tcPr>
            <w:tcW w:w="2041" w:type="dxa"/>
            <w:gridSpan w:val="2"/>
            <w:tcBorders>
              <w:top w:val="single" w:color="auto" w:sz="4" w:space="0"/>
              <w:left w:val="nil"/>
              <w:bottom w:val="single" w:color="auto" w:sz="4" w:space="0"/>
              <w:right w:val="single" w:color="000000" w:sz="4" w:space="0"/>
            </w:tcBorders>
            <w:noWrap w:val="0"/>
            <w:vAlign w:val="center"/>
          </w:tcPr>
          <w:p w14:paraId="6AC9D8D4">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867.99</w:t>
            </w:r>
          </w:p>
        </w:tc>
      </w:tr>
      <w:tr w14:paraId="58311DA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76E46F8">
            <w:pPr>
              <w:widowControl/>
              <w:spacing w:line="360" w:lineRule="exact"/>
              <w:ind w:firstLine="300" w:firstLineChars="150"/>
              <w:jc w:val="both"/>
              <w:rPr>
                <w:rFonts w:hint="default" w:ascii="仿宋_GB2312" w:hAnsi="仿宋_GB2312" w:eastAsia="仿宋_GB2312" w:cs="仿宋_GB2312"/>
                <w:sz w:val="20"/>
                <w:szCs w:val="20"/>
                <w:lang w:val="en"/>
              </w:rPr>
            </w:pPr>
            <w:r>
              <w:rPr>
                <w:rFonts w:hint="eastAsia" w:ascii="仿宋_GB2312" w:hAnsi="仿宋_GB2312" w:eastAsia="仿宋_GB2312" w:cs="仿宋_GB2312"/>
                <w:sz w:val="20"/>
                <w:szCs w:val="20"/>
                <w:lang w:val="en-US" w:eastAsia="zh-CN"/>
              </w:rPr>
              <w:t>(1)</w:t>
            </w:r>
            <w:r>
              <w:rPr>
                <w:rFonts w:hint="eastAsia" w:ascii="仿宋_GB2312" w:hAnsi="仿宋_GB2312" w:eastAsia="仿宋_GB2312" w:cs="仿宋_GB2312"/>
                <w:sz w:val="20"/>
                <w:szCs w:val="20"/>
              </w:rPr>
              <w:t>协管员经费</w:t>
            </w:r>
            <w:r>
              <w:rPr>
                <w:rFonts w:hint="default" w:ascii="仿宋_GB2312" w:hAnsi="仿宋_GB2312" w:eastAsia="仿宋_GB2312" w:cs="仿宋_GB2312"/>
                <w:sz w:val="20"/>
                <w:szCs w:val="20"/>
                <w:lang w:val="en"/>
              </w:rPr>
              <w:t>(</w:t>
            </w:r>
            <w:r>
              <w:rPr>
                <w:rFonts w:hint="eastAsia" w:ascii="仿宋_GB2312" w:hAnsi="仿宋_GB2312" w:eastAsia="仿宋_GB2312" w:cs="仿宋_GB2312"/>
                <w:sz w:val="20"/>
                <w:szCs w:val="20"/>
              </w:rPr>
              <w:t>其他人员类支出</w:t>
            </w:r>
            <w:r>
              <w:rPr>
                <w:rFonts w:hint="default" w:ascii="仿宋_GB2312" w:hAnsi="仿宋_GB2312" w:eastAsia="仿宋_GB2312" w:cs="仿宋_GB2312"/>
                <w:sz w:val="20"/>
                <w:szCs w:val="20"/>
                <w:lang w:val="en"/>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1E17208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176.78</w:t>
            </w:r>
          </w:p>
        </w:tc>
        <w:tc>
          <w:tcPr>
            <w:tcW w:w="2240" w:type="dxa"/>
            <w:gridSpan w:val="2"/>
            <w:tcBorders>
              <w:top w:val="single" w:color="auto" w:sz="4" w:space="0"/>
              <w:left w:val="nil"/>
              <w:bottom w:val="single" w:color="auto" w:sz="4" w:space="0"/>
              <w:right w:val="single" w:color="000000" w:sz="4" w:space="0"/>
            </w:tcBorders>
            <w:noWrap w:val="0"/>
            <w:vAlign w:val="center"/>
          </w:tcPr>
          <w:p w14:paraId="352F0B48">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670.50</w:t>
            </w:r>
          </w:p>
        </w:tc>
        <w:tc>
          <w:tcPr>
            <w:tcW w:w="2041" w:type="dxa"/>
            <w:gridSpan w:val="2"/>
            <w:tcBorders>
              <w:top w:val="single" w:color="auto" w:sz="4" w:space="0"/>
              <w:left w:val="nil"/>
              <w:bottom w:val="single" w:color="auto" w:sz="4" w:space="0"/>
              <w:right w:val="single" w:color="000000" w:sz="4" w:space="0"/>
            </w:tcBorders>
            <w:noWrap w:val="0"/>
            <w:vAlign w:val="center"/>
          </w:tcPr>
          <w:p w14:paraId="0FB6B42B">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670.50</w:t>
            </w:r>
          </w:p>
        </w:tc>
      </w:tr>
      <w:tr w14:paraId="7462030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9A9B8E5">
            <w:pPr>
              <w:widowControl/>
              <w:spacing w:line="360" w:lineRule="exact"/>
              <w:ind w:firstLine="300" w:firstLineChars="150"/>
              <w:jc w:val="both"/>
              <w:rPr>
                <w:rFonts w:hint="default" w:ascii="仿宋_GB2312" w:hAnsi="仿宋_GB2312" w:eastAsia="仿宋_GB2312" w:cs="仿宋_GB2312"/>
                <w:sz w:val="20"/>
                <w:szCs w:val="20"/>
                <w:highlight w:val="none"/>
                <w:lang w:val="en"/>
              </w:rPr>
            </w:pPr>
            <w:r>
              <w:rPr>
                <w:rFonts w:hint="eastAsia" w:ascii="仿宋_GB2312" w:hAnsi="仿宋_GB2312" w:eastAsia="仿宋_GB2312" w:cs="仿宋_GB2312"/>
                <w:sz w:val="20"/>
                <w:szCs w:val="20"/>
                <w:lang w:val="en-US" w:eastAsia="zh-CN"/>
              </w:rPr>
              <w:t>(2)</w:t>
            </w:r>
            <w:r>
              <w:rPr>
                <w:rFonts w:hint="eastAsia" w:ascii="仿宋_GB2312" w:hAnsi="仿宋_GB2312" w:eastAsia="仿宋_GB2312" w:cs="仿宋_GB2312"/>
                <w:sz w:val="20"/>
                <w:szCs w:val="20"/>
              </w:rPr>
              <w:t>城管事务经费</w:t>
            </w:r>
            <w:r>
              <w:rPr>
                <w:rFonts w:hint="default" w:ascii="仿宋_GB2312" w:hAnsi="仿宋_GB2312" w:eastAsia="仿宋_GB2312" w:cs="仿宋_GB2312"/>
                <w:sz w:val="20"/>
                <w:szCs w:val="20"/>
                <w:lang w:val="en"/>
              </w:rPr>
              <w:t>(</w:t>
            </w:r>
            <w:r>
              <w:rPr>
                <w:rFonts w:hint="eastAsia" w:ascii="仿宋_GB2312" w:hAnsi="仿宋_GB2312" w:eastAsia="仿宋_GB2312" w:cs="仿宋_GB2312"/>
                <w:sz w:val="20"/>
                <w:szCs w:val="20"/>
              </w:rPr>
              <w:t>日常工作经费</w:t>
            </w:r>
            <w:r>
              <w:rPr>
                <w:rFonts w:hint="default" w:ascii="仿宋_GB2312" w:hAnsi="仿宋_GB2312" w:eastAsia="仿宋_GB2312" w:cs="仿宋_GB2312"/>
                <w:sz w:val="20"/>
                <w:szCs w:val="20"/>
                <w:lang w:val="en"/>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1123163D">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244.65</w:t>
            </w:r>
          </w:p>
        </w:tc>
        <w:tc>
          <w:tcPr>
            <w:tcW w:w="2240" w:type="dxa"/>
            <w:gridSpan w:val="2"/>
            <w:tcBorders>
              <w:top w:val="single" w:color="auto" w:sz="4" w:space="0"/>
              <w:left w:val="nil"/>
              <w:bottom w:val="single" w:color="auto" w:sz="4" w:space="0"/>
              <w:right w:val="single" w:color="000000" w:sz="4" w:space="0"/>
            </w:tcBorders>
            <w:noWrap w:val="0"/>
            <w:vAlign w:val="center"/>
          </w:tcPr>
          <w:p w14:paraId="7A4B0423">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197.50</w:t>
            </w:r>
          </w:p>
        </w:tc>
        <w:tc>
          <w:tcPr>
            <w:tcW w:w="2041" w:type="dxa"/>
            <w:gridSpan w:val="2"/>
            <w:tcBorders>
              <w:top w:val="single" w:color="auto" w:sz="4" w:space="0"/>
              <w:left w:val="nil"/>
              <w:bottom w:val="single" w:color="auto" w:sz="4" w:space="0"/>
              <w:right w:val="single" w:color="000000" w:sz="4" w:space="0"/>
            </w:tcBorders>
            <w:noWrap w:val="0"/>
            <w:vAlign w:val="center"/>
          </w:tcPr>
          <w:p w14:paraId="42425041">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197.49</w:t>
            </w:r>
          </w:p>
        </w:tc>
      </w:tr>
      <w:tr w14:paraId="0E902DF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E67BF0">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 xml:space="preserve">   (3)办案费</w:t>
            </w:r>
          </w:p>
        </w:tc>
        <w:tc>
          <w:tcPr>
            <w:tcW w:w="2038" w:type="dxa"/>
            <w:gridSpan w:val="2"/>
            <w:tcBorders>
              <w:top w:val="single" w:color="auto" w:sz="4" w:space="0"/>
              <w:left w:val="nil"/>
              <w:bottom w:val="single" w:color="auto" w:sz="4" w:space="0"/>
              <w:right w:val="single" w:color="000000" w:sz="4" w:space="0"/>
            </w:tcBorders>
            <w:noWrap w:val="0"/>
            <w:vAlign w:val="center"/>
          </w:tcPr>
          <w:p w14:paraId="5FD5DF6A">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32.25</w:t>
            </w:r>
          </w:p>
        </w:tc>
        <w:tc>
          <w:tcPr>
            <w:tcW w:w="2240" w:type="dxa"/>
            <w:gridSpan w:val="2"/>
            <w:tcBorders>
              <w:top w:val="single" w:color="auto" w:sz="4" w:space="0"/>
              <w:left w:val="nil"/>
              <w:bottom w:val="single" w:color="auto" w:sz="4" w:space="0"/>
              <w:right w:val="single" w:color="000000" w:sz="4" w:space="0"/>
            </w:tcBorders>
            <w:noWrap w:val="0"/>
            <w:vAlign w:val="center"/>
          </w:tcPr>
          <w:p w14:paraId="1382C11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2.00</w:t>
            </w:r>
          </w:p>
        </w:tc>
        <w:tc>
          <w:tcPr>
            <w:tcW w:w="2041" w:type="dxa"/>
            <w:gridSpan w:val="2"/>
            <w:tcBorders>
              <w:top w:val="single" w:color="auto" w:sz="4" w:space="0"/>
              <w:left w:val="nil"/>
              <w:bottom w:val="single" w:color="auto" w:sz="4" w:space="0"/>
              <w:right w:val="single" w:color="000000" w:sz="4" w:space="0"/>
            </w:tcBorders>
            <w:noWrap w:val="0"/>
            <w:vAlign w:val="center"/>
          </w:tcPr>
          <w:p w14:paraId="67AC5910">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0</w:t>
            </w:r>
          </w:p>
        </w:tc>
      </w:tr>
      <w:tr w14:paraId="527F5C8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FCF2DE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8B8000B">
            <w:pPr>
              <w:widowControl/>
              <w:spacing w:line="360" w:lineRule="exact"/>
              <w:jc w:val="center"/>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98.43</w:t>
            </w:r>
          </w:p>
        </w:tc>
        <w:tc>
          <w:tcPr>
            <w:tcW w:w="2240" w:type="dxa"/>
            <w:gridSpan w:val="2"/>
            <w:tcBorders>
              <w:top w:val="single" w:color="auto" w:sz="4" w:space="0"/>
              <w:left w:val="nil"/>
              <w:bottom w:val="single" w:color="auto" w:sz="4" w:space="0"/>
              <w:right w:val="single" w:color="000000" w:sz="4" w:space="0"/>
            </w:tcBorders>
            <w:noWrap w:val="0"/>
            <w:vAlign w:val="center"/>
          </w:tcPr>
          <w:p w14:paraId="7BA0EEF9">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140.65</w:t>
            </w:r>
          </w:p>
        </w:tc>
        <w:tc>
          <w:tcPr>
            <w:tcW w:w="2041" w:type="dxa"/>
            <w:gridSpan w:val="2"/>
            <w:tcBorders>
              <w:top w:val="single" w:color="auto" w:sz="4" w:space="0"/>
              <w:left w:val="nil"/>
              <w:bottom w:val="single" w:color="auto" w:sz="4" w:space="0"/>
              <w:right w:val="single" w:color="000000" w:sz="4" w:space="0"/>
            </w:tcBorders>
            <w:noWrap w:val="0"/>
            <w:vAlign w:val="center"/>
          </w:tcPr>
          <w:p w14:paraId="12DB9925">
            <w:pPr>
              <w:widowControl/>
              <w:spacing w:line="360" w:lineRule="exact"/>
              <w:jc w:val="center"/>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129.19</w:t>
            </w:r>
          </w:p>
        </w:tc>
      </w:tr>
      <w:tr w14:paraId="14E2006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447EDD0">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4D71BB9">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rPr>
              <w:t>9.47</w:t>
            </w:r>
          </w:p>
        </w:tc>
        <w:tc>
          <w:tcPr>
            <w:tcW w:w="2240" w:type="dxa"/>
            <w:gridSpan w:val="2"/>
            <w:tcBorders>
              <w:top w:val="single" w:color="auto" w:sz="4" w:space="0"/>
              <w:left w:val="nil"/>
              <w:bottom w:val="single" w:color="auto" w:sz="4" w:space="0"/>
              <w:right w:val="single" w:color="000000" w:sz="4" w:space="0"/>
            </w:tcBorders>
            <w:noWrap w:val="0"/>
            <w:vAlign w:val="center"/>
          </w:tcPr>
          <w:p w14:paraId="4BFE17C3">
            <w:pPr>
              <w:widowControl/>
              <w:spacing w:line="360" w:lineRule="exact"/>
              <w:jc w:val="center"/>
              <w:rPr>
                <w:rFonts w:hint="default" w:ascii="仿宋_GB2312" w:hAnsi="仿宋_GB2312" w:eastAsia="仿宋_GB2312" w:cs="仿宋_GB2312"/>
                <w:color w:val="auto"/>
                <w:sz w:val="20"/>
                <w:szCs w:val="20"/>
                <w:highlight w:val="none"/>
                <w:lang w:val="en" w:eastAsia="zh-CN"/>
              </w:rPr>
            </w:pPr>
            <w:r>
              <w:rPr>
                <w:rFonts w:hint="default" w:ascii="仿宋_GB2312" w:hAnsi="仿宋_GB2312" w:eastAsia="仿宋_GB2312" w:cs="仿宋_GB2312"/>
                <w:color w:val="auto"/>
                <w:sz w:val="20"/>
                <w:szCs w:val="20"/>
                <w:highlight w:val="none"/>
                <w:lang w:val="en" w:eastAsia="zh-CN"/>
              </w:rPr>
              <w:t>1</w:t>
            </w:r>
            <w:r>
              <w:rPr>
                <w:rFonts w:hint="eastAsia" w:ascii="仿宋_GB2312" w:hAnsi="仿宋_GB2312" w:eastAsia="仿宋_GB2312" w:cs="仿宋_GB2312"/>
                <w:color w:val="auto"/>
                <w:sz w:val="20"/>
                <w:szCs w:val="20"/>
                <w:highlight w:val="none"/>
                <w:lang w:val="en-US" w:eastAsia="zh-CN"/>
              </w:rPr>
              <w:t>4</w:t>
            </w:r>
            <w:r>
              <w:rPr>
                <w:rFonts w:hint="default" w:ascii="仿宋_GB2312" w:hAnsi="仿宋_GB2312" w:eastAsia="仿宋_GB2312" w:cs="仿宋_GB2312"/>
                <w:color w:val="auto"/>
                <w:sz w:val="20"/>
                <w:szCs w:val="20"/>
                <w:highlight w:val="none"/>
                <w:lang w:val="en" w:eastAsia="zh-CN"/>
              </w:rPr>
              <w:t>.94</w:t>
            </w:r>
          </w:p>
        </w:tc>
        <w:tc>
          <w:tcPr>
            <w:tcW w:w="2041" w:type="dxa"/>
            <w:gridSpan w:val="2"/>
            <w:tcBorders>
              <w:top w:val="single" w:color="auto" w:sz="4" w:space="0"/>
              <w:left w:val="nil"/>
              <w:bottom w:val="single" w:color="auto" w:sz="4" w:space="0"/>
              <w:right w:val="single" w:color="000000" w:sz="4" w:space="0"/>
            </w:tcBorders>
            <w:noWrap w:val="0"/>
            <w:vAlign w:val="center"/>
          </w:tcPr>
          <w:p w14:paraId="692BB615">
            <w:pPr>
              <w:widowControl/>
              <w:spacing w:line="360" w:lineRule="exact"/>
              <w:jc w:val="center"/>
              <w:rPr>
                <w:rFonts w:hint="default" w:ascii="仿宋_GB2312" w:hAnsi="仿宋_GB2312" w:eastAsia="仿宋_GB2312" w:cs="仿宋_GB2312"/>
                <w:color w:val="auto"/>
                <w:sz w:val="20"/>
                <w:szCs w:val="20"/>
                <w:highlight w:val="none"/>
                <w:lang w:val="en"/>
              </w:rPr>
            </w:pPr>
            <w:r>
              <w:rPr>
                <w:rFonts w:hint="default" w:ascii="仿宋_GB2312" w:hAnsi="仿宋_GB2312" w:eastAsia="仿宋_GB2312" w:cs="仿宋_GB2312"/>
                <w:color w:val="auto"/>
                <w:sz w:val="20"/>
                <w:szCs w:val="20"/>
                <w:highlight w:val="none"/>
                <w:lang w:val="en"/>
              </w:rPr>
              <w:t>12</w:t>
            </w:r>
            <w:r>
              <w:rPr>
                <w:rFonts w:hint="eastAsia" w:ascii="仿宋_GB2312" w:hAnsi="仿宋_GB2312" w:eastAsia="仿宋_GB2312" w:cs="仿宋_GB2312"/>
                <w:color w:val="auto"/>
                <w:sz w:val="20"/>
                <w:szCs w:val="20"/>
                <w:highlight w:val="none"/>
                <w:lang w:val="en-US" w:eastAsia="zh-CN"/>
              </w:rPr>
              <w:t>.9</w:t>
            </w:r>
            <w:r>
              <w:rPr>
                <w:rFonts w:hint="default" w:ascii="仿宋_GB2312" w:hAnsi="仿宋_GB2312" w:eastAsia="仿宋_GB2312" w:cs="仿宋_GB2312"/>
                <w:color w:val="auto"/>
                <w:sz w:val="20"/>
                <w:szCs w:val="20"/>
                <w:highlight w:val="none"/>
                <w:lang w:val="en"/>
              </w:rPr>
              <w:t>4</w:t>
            </w:r>
          </w:p>
        </w:tc>
      </w:tr>
      <w:tr w14:paraId="2FD94C8D">
        <w:tblPrEx>
          <w:tblCellMar>
            <w:top w:w="0" w:type="dxa"/>
            <w:left w:w="108" w:type="dxa"/>
            <w:bottom w:w="0" w:type="dxa"/>
            <w:right w:w="108" w:type="dxa"/>
          </w:tblCellMar>
        </w:tblPrEx>
        <w:trPr>
          <w:trHeight w:val="34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F182BB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3E764FF9">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
              </w:rPr>
              <w:t>9.50</w:t>
            </w:r>
          </w:p>
        </w:tc>
        <w:tc>
          <w:tcPr>
            <w:tcW w:w="2240" w:type="dxa"/>
            <w:gridSpan w:val="2"/>
            <w:tcBorders>
              <w:top w:val="single" w:color="auto" w:sz="4" w:space="0"/>
              <w:left w:val="nil"/>
              <w:bottom w:val="single" w:color="auto" w:sz="4" w:space="0"/>
              <w:right w:val="single" w:color="000000" w:sz="4" w:space="0"/>
            </w:tcBorders>
            <w:noWrap w:val="0"/>
            <w:vAlign w:val="center"/>
          </w:tcPr>
          <w:p w14:paraId="266084DB">
            <w:pPr>
              <w:widowControl/>
              <w:spacing w:line="360" w:lineRule="exact"/>
              <w:jc w:val="center"/>
              <w:rPr>
                <w:rFonts w:hint="default" w:ascii="仿宋_GB2312" w:hAnsi="仿宋_GB2312" w:eastAsia="仿宋_GB2312" w:cs="仿宋_GB2312"/>
                <w:color w:val="auto"/>
                <w:sz w:val="20"/>
                <w:szCs w:val="20"/>
                <w:highlight w:val="none"/>
                <w:lang w:val="en" w:eastAsia="zh-CN"/>
              </w:rPr>
            </w:pPr>
            <w:r>
              <w:rPr>
                <w:rFonts w:hint="default" w:ascii="仿宋_GB2312" w:hAnsi="仿宋_GB2312" w:eastAsia="仿宋_GB2312" w:cs="仿宋_GB2312"/>
                <w:color w:val="auto"/>
                <w:sz w:val="20"/>
                <w:szCs w:val="20"/>
                <w:highlight w:val="none"/>
                <w:lang w:val="en" w:eastAsia="zh-CN"/>
              </w:rPr>
              <w:t>37.78</w:t>
            </w:r>
          </w:p>
        </w:tc>
        <w:tc>
          <w:tcPr>
            <w:tcW w:w="2041" w:type="dxa"/>
            <w:gridSpan w:val="2"/>
            <w:tcBorders>
              <w:top w:val="single" w:color="auto" w:sz="4" w:space="0"/>
              <w:left w:val="nil"/>
              <w:bottom w:val="single" w:color="auto" w:sz="4" w:space="0"/>
              <w:right w:val="single" w:color="000000" w:sz="4" w:space="0"/>
            </w:tcBorders>
            <w:noWrap w:val="0"/>
            <w:vAlign w:val="center"/>
          </w:tcPr>
          <w:p w14:paraId="489ACD7A">
            <w:pPr>
              <w:widowControl/>
              <w:spacing w:line="360" w:lineRule="exact"/>
              <w:jc w:val="center"/>
              <w:rPr>
                <w:rFonts w:hint="default" w:ascii="仿宋_GB2312" w:hAnsi="仿宋_GB2312" w:eastAsia="仿宋_GB2312" w:cs="仿宋_GB2312"/>
                <w:color w:val="auto"/>
                <w:sz w:val="20"/>
                <w:szCs w:val="20"/>
                <w:highlight w:val="none"/>
                <w:lang w:val="en"/>
              </w:rPr>
            </w:pPr>
            <w:r>
              <w:rPr>
                <w:rFonts w:hint="default" w:ascii="仿宋_GB2312" w:hAnsi="仿宋_GB2312" w:eastAsia="仿宋_GB2312" w:cs="仿宋_GB2312"/>
                <w:color w:val="auto"/>
                <w:sz w:val="20"/>
                <w:szCs w:val="20"/>
                <w:highlight w:val="none"/>
                <w:lang w:val="en"/>
              </w:rPr>
              <w:t>37.78</w:t>
            </w:r>
          </w:p>
        </w:tc>
      </w:tr>
      <w:tr w14:paraId="3962FBA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1FB0811">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703C56F5">
            <w:pPr>
              <w:widowControl/>
              <w:spacing w:line="360" w:lineRule="exact"/>
              <w:jc w:val="center"/>
              <w:rPr>
                <w:rFonts w:hint="eastAsia" w:ascii="仿宋_GB2312" w:hAnsi="仿宋_GB2312" w:eastAsia="仿宋_GB2312" w:cs="仿宋_GB2312"/>
                <w:color w:val="auto"/>
                <w:sz w:val="20"/>
                <w:szCs w:val="20"/>
                <w:highlight w:val="none"/>
              </w:rPr>
            </w:pPr>
            <w:r>
              <w:rPr>
                <w:rFonts w:hint="default" w:ascii="仿宋_GB2312" w:hAnsi="仿宋_GB2312" w:eastAsia="仿宋_GB2312" w:cs="仿宋_GB2312"/>
                <w:color w:val="auto"/>
                <w:sz w:val="20"/>
                <w:szCs w:val="20"/>
                <w:highlight w:val="none"/>
                <w:lang w:val="en"/>
              </w:rPr>
              <w:t>0.11</w:t>
            </w:r>
          </w:p>
        </w:tc>
        <w:tc>
          <w:tcPr>
            <w:tcW w:w="2240" w:type="dxa"/>
            <w:gridSpan w:val="2"/>
            <w:tcBorders>
              <w:top w:val="single" w:color="auto" w:sz="4" w:space="0"/>
              <w:left w:val="nil"/>
              <w:bottom w:val="single" w:color="auto" w:sz="4" w:space="0"/>
              <w:right w:val="single" w:color="000000" w:sz="4" w:space="0"/>
            </w:tcBorders>
            <w:noWrap w:val="0"/>
            <w:vAlign w:val="center"/>
          </w:tcPr>
          <w:p w14:paraId="6223E3E1">
            <w:pPr>
              <w:widowControl/>
              <w:spacing w:line="360" w:lineRule="exact"/>
              <w:jc w:val="center"/>
              <w:rPr>
                <w:rFonts w:hint="default" w:ascii="仿宋_GB2312" w:hAnsi="仿宋_GB2312" w:eastAsia="仿宋_GB2312" w:cs="仿宋_GB2312"/>
                <w:color w:val="auto"/>
                <w:sz w:val="20"/>
                <w:szCs w:val="20"/>
                <w:highlight w:val="none"/>
                <w:lang w:val="en" w:eastAsia="zh-CN"/>
              </w:rPr>
            </w:pPr>
            <w:r>
              <w:rPr>
                <w:rFonts w:hint="default" w:ascii="仿宋_GB2312" w:hAnsi="仿宋_GB2312" w:eastAsia="仿宋_GB2312" w:cs="仿宋_GB2312"/>
                <w:color w:val="auto"/>
                <w:sz w:val="20"/>
                <w:szCs w:val="20"/>
                <w:highlight w:val="none"/>
                <w:lang w:val="en" w:eastAsia="zh-CN"/>
              </w:rPr>
              <w:t>3.00</w:t>
            </w:r>
          </w:p>
        </w:tc>
        <w:tc>
          <w:tcPr>
            <w:tcW w:w="2041" w:type="dxa"/>
            <w:gridSpan w:val="2"/>
            <w:tcBorders>
              <w:top w:val="single" w:color="auto" w:sz="4" w:space="0"/>
              <w:left w:val="nil"/>
              <w:bottom w:val="single" w:color="auto" w:sz="4" w:space="0"/>
              <w:right w:val="single" w:color="000000" w:sz="4" w:space="0"/>
            </w:tcBorders>
            <w:noWrap w:val="0"/>
            <w:vAlign w:val="center"/>
          </w:tcPr>
          <w:p w14:paraId="2B566E37">
            <w:pPr>
              <w:widowControl/>
              <w:spacing w:line="360" w:lineRule="exact"/>
              <w:jc w:val="center"/>
              <w:rPr>
                <w:rFonts w:hint="default" w:ascii="仿宋_GB2312" w:hAnsi="仿宋_GB2312" w:eastAsia="仿宋_GB2312" w:cs="仿宋_GB2312"/>
                <w:color w:val="auto"/>
                <w:sz w:val="20"/>
                <w:szCs w:val="20"/>
                <w:highlight w:val="none"/>
                <w:lang w:val="en"/>
              </w:rPr>
            </w:pPr>
            <w:r>
              <w:rPr>
                <w:rFonts w:hint="default" w:ascii="仿宋_GB2312" w:hAnsi="仿宋_GB2312" w:eastAsia="仿宋_GB2312" w:cs="仿宋_GB2312"/>
                <w:color w:val="auto"/>
                <w:sz w:val="20"/>
                <w:szCs w:val="20"/>
                <w:highlight w:val="none"/>
                <w:lang w:val="en"/>
              </w:rPr>
              <w:t>2.66</w:t>
            </w:r>
          </w:p>
        </w:tc>
      </w:tr>
      <w:tr w14:paraId="5E7700B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F561FD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62F8B055">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sz w:val="20"/>
                <w:szCs w:val="20"/>
                <w:highlight w:val="none"/>
                <w:lang w:val="en-US" w:eastAsia="zh-CN"/>
              </w:rPr>
              <w:t>158.53</w:t>
            </w:r>
          </w:p>
        </w:tc>
        <w:tc>
          <w:tcPr>
            <w:tcW w:w="2240" w:type="dxa"/>
            <w:gridSpan w:val="2"/>
            <w:tcBorders>
              <w:top w:val="single" w:color="auto" w:sz="4" w:space="0"/>
              <w:left w:val="nil"/>
              <w:bottom w:val="single" w:color="auto" w:sz="4" w:space="0"/>
              <w:right w:val="single" w:color="000000" w:sz="4" w:space="0"/>
            </w:tcBorders>
            <w:noWrap w:val="0"/>
            <w:vAlign w:val="center"/>
          </w:tcPr>
          <w:p w14:paraId="52DDAB43">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8</w:t>
            </w:r>
            <w:r>
              <w:rPr>
                <w:rFonts w:hint="eastAsia" w:ascii="仿宋_GB2312" w:hAnsi="仿宋_GB2312" w:eastAsia="仿宋_GB2312" w:cs="仿宋_GB2312"/>
                <w:sz w:val="20"/>
                <w:szCs w:val="20"/>
                <w:highlight w:val="none"/>
                <w:lang w:val="en-US" w:eastAsia="zh-CN"/>
              </w:rPr>
              <w:t>4</w:t>
            </w:r>
            <w:r>
              <w:rPr>
                <w:rFonts w:hint="default" w:ascii="仿宋_GB2312" w:hAnsi="仿宋_GB2312" w:eastAsia="仿宋_GB2312" w:cs="仿宋_GB2312"/>
                <w:sz w:val="20"/>
                <w:szCs w:val="20"/>
                <w:highlight w:val="none"/>
                <w:lang w:val="en" w:eastAsia="zh-CN"/>
              </w:rPr>
              <w:t>5.72</w:t>
            </w:r>
          </w:p>
        </w:tc>
        <w:tc>
          <w:tcPr>
            <w:tcW w:w="2041" w:type="dxa"/>
            <w:gridSpan w:val="2"/>
            <w:tcBorders>
              <w:top w:val="single" w:color="auto" w:sz="4" w:space="0"/>
              <w:left w:val="nil"/>
              <w:bottom w:val="single" w:color="auto" w:sz="4" w:space="0"/>
              <w:right w:val="single" w:color="000000" w:sz="4" w:space="0"/>
            </w:tcBorders>
            <w:noWrap w:val="0"/>
            <w:vAlign w:val="center"/>
          </w:tcPr>
          <w:p w14:paraId="08EDC076">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839.42</w:t>
            </w:r>
          </w:p>
        </w:tc>
      </w:tr>
      <w:tr w14:paraId="6A08FB1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60163F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4593CF38">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1072.04</w:t>
            </w:r>
          </w:p>
        </w:tc>
        <w:tc>
          <w:tcPr>
            <w:tcW w:w="2240" w:type="dxa"/>
            <w:gridSpan w:val="2"/>
            <w:tcBorders>
              <w:top w:val="single" w:color="auto" w:sz="4" w:space="0"/>
              <w:left w:val="nil"/>
              <w:bottom w:val="single" w:color="auto" w:sz="4" w:space="0"/>
              <w:right w:val="single" w:color="000000" w:sz="4" w:space="0"/>
            </w:tcBorders>
            <w:noWrap w:val="0"/>
            <w:vAlign w:val="center"/>
          </w:tcPr>
          <w:p w14:paraId="0897D22F">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1525.36</w:t>
            </w:r>
          </w:p>
        </w:tc>
        <w:tc>
          <w:tcPr>
            <w:tcW w:w="2041" w:type="dxa"/>
            <w:gridSpan w:val="2"/>
            <w:tcBorders>
              <w:top w:val="single" w:color="auto" w:sz="4" w:space="0"/>
              <w:left w:val="nil"/>
              <w:bottom w:val="single" w:color="auto" w:sz="4" w:space="0"/>
              <w:right w:val="single" w:color="000000" w:sz="4" w:space="0"/>
            </w:tcBorders>
            <w:noWrap w:val="0"/>
            <w:vAlign w:val="center"/>
          </w:tcPr>
          <w:p w14:paraId="3E68DCA0">
            <w:pPr>
              <w:widowControl/>
              <w:spacing w:line="360" w:lineRule="exact"/>
              <w:jc w:val="center"/>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1477.79</w:t>
            </w:r>
          </w:p>
        </w:tc>
      </w:tr>
      <w:tr w14:paraId="382F9D2B">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228E81C1">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default" w:ascii="仿宋_GB2312" w:hAnsi="仿宋_GB2312" w:eastAsia="仿宋_GB2312" w:cs="仿宋_GB2312"/>
                <w:sz w:val="20"/>
                <w:szCs w:val="20"/>
                <w:highlight w:val="none"/>
                <w:lang w:val="en" w:eastAsia="zh-CN"/>
              </w:rPr>
              <w:t>5</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17209D01">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1C253BDD">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56DC4E0C">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5FF7E5F3">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013F0414">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292E1B3E">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5951D78A">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40085807">
            <w:pPr>
              <w:widowControl/>
              <w:spacing w:line="360" w:lineRule="exact"/>
              <w:jc w:val="left"/>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40BEA7AA">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4ACD8BF6">
            <w:pPr>
              <w:widowControl/>
              <w:spacing w:line="360" w:lineRule="exact"/>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2D263567">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2999DA9D">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3872A88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1F7A302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7F4E49B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0AEFB7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5F4A9F1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lang w:val="en-US" w:eastAsia="zh-CN"/>
              </w:rPr>
              <w:t xml:space="preserve">   单位《财务管理制度》和《内控管理制度》，多次组织干部职工进行厉行节约教育，压减一般性支出。严格按单位内控制度执行，加强了经济业务支出各环节管理，提高财政资金使用效率。</w:t>
            </w:r>
            <w:r>
              <w:rPr>
                <w:rFonts w:hint="eastAsia" w:ascii="仿宋_GB2312" w:hAnsi="仿宋_GB2312" w:eastAsia="仿宋_GB2312" w:cs="仿宋_GB2312"/>
                <w:sz w:val="20"/>
                <w:szCs w:val="20"/>
                <w:highlight w:val="none"/>
              </w:rPr>
              <w:t>　</w:t>
            </w:r>
          </w:p>
        </w:tc>
      </w:tr>
    </w:tbl>
    <w:p w14:paraId="2512BBF2">
      <w:pPr>
        <w:widowControl/>
        <w:spacing w:afterLines="0" w:line="400" w:lineRule="exact"/>
        <w:jc w:val="left"/>
        <w:rPr>
          <w:rFonts w:hint="default" w:ascii="Times New Roman" w:hAnsi="Times New Roman" w:eastAsia="仿宋_GB2312" w:cs="Times New Roman"/>
          <w:sz w:val="22"/>
          <w:highlight w:val="none"/>
        </w:rPr>
      </w:pPr>
    </w:p>
    <w:p w14:paraId="337F0EB6">
      <w:pPr>
        <w:widowControl/>
        <w:spacing w:after="0" w:afterLines="0" w:line="400" w:lineRule="exact"/>
        <w:jc w:val="left"/>
        <w:rPr>
          <w:rFonts w:hint="eastAsia" w:ascii="Times New Roman" w:hAnsi="Times New Roman" w:eastAsia="仿宋_GB2312" w:cs="Times New Roman"/>
          <w:sz w:val="22"/>
          <w:highlight w:val="none"/>
          <w:lang w:eastAsia="zh-CN"/>
        </w:rPr>
      </w:pPr>
      <w:r>
        <w:rPr>
          <w:rFonts w:hint="default" w:ascii="Times New Roman" w:hAnsi="Times New Roman" w:eastAsia="仿宋_GB2312" w:cs="Times New Roman"/>
          <w:sz w:val="22"/>
          <w:highlight w:val="none"/>
        </w:rPr>
        <w:t>填表人：</w:t>
      </w:r>
      <w:r>
        <w:rPr>
          <w:rFonts w:hint="eastAsia" w:ascii="Times New Roman" w:hAnsi="Times New Roman" w:eastAsia="仿宋_GB2312" w:cs="Times New Roman"/>
          <w:sz w:val="22"/>
          <w:highlight w:val="none"/>
          <w:lang w:eastAsia="zh-CN"/>
        </w:rPr>
        <w:t>宋婷</w:t>
      </w:r>
      <w:r>
        <w:rPr>
          <w:rFonts w:hint="default" w:ascii="Times New Roman" w:hAnsi="Times New Roman" w:eastAsia="仿宋_GB2312" w:cs="Times New Roman"/>
          <w:sz w:val="22"/>
          <w:highlight w:val="none"/>
        </w:rPr>
        <w:t xml:space="preserve"> </w:t>
      </w:r>
      <w:r>
        <w:rPr>
          <w:rFonts w:hint="eastAsia" w:ascii="Times New Roman" w:hAnsi="Times New Roman" w:eastAsia="仿宋_GB2312" w:cs="Times New Roman"/>
          <w:sz w:val="22"/>
          <w:highlight w:val="none"/>
          <w:lang w:val="en-US" w:eastAsia="zh-CN"/>
        </w:rPr>
        <w:t xml:space="preserve"> </w:t>
      </w:r>
      <w:r>
        <w:rPr>
          <w:rFonts w:hint="default" w:ascii="Times New Roman" w:hAnsi="Times New Roman" w:eastAsia="仿宋_GB2312" w:cs="Times New Roman"/>
          <w:sz w:val="22"/>
          <w:highlight w:val="none"/>
        </w:rPr>
        <w:t xml:space="preserve"> 填报日期</w:t>
      </w:r>
      <w:r>
        <w:rPr>
          <w:rFonts w:hint="eastAsia" w:ascii="仿宋_GB2312" w:hAnsi="仿宋_GB2312" w:eastAsia="仿宋_GB2312" w:cs="仿宋_GB2312"/>
          <w:sz w:val="22"/>
          <w:highlight w:val="none"/>
        </w:rPr>
        <w:t>：</w:t>
      </w:r>
      <w:r>
        <w:rPr>
          <w:rFonts w:hint="eastAsia" w:ascii="仿宋_GB2312" w:hAnsi="仿宋_GB2312" w:eastAsia="仿宋_GB2312" w:cs="仿宋_GB2312"/>
          <w:sz w:val="22"/>
          <w:highlight w:val="none"/>
          <w:lang w:val="en-US" w:eastAsia="zh-CN"/>
        </w:rPr>
        <w:t>202</w:t>
      </w:r>
      <w:r>
        <w:rPr>
          <w:rFonts w:hint="eastAsia" w:ascii="仿宋_GB2312" w:hAnsi="仿宋_GB2312" w:eastAsia="仿宋_GB2312" w:cs="仿宋_GB2312"/>
          <w:sz w:val="22"/>
          <w:highlight w:val="none"/>
          <w:lang w:val="en" w:eastAsia="zh-CN"/>
        </w:rPr>
        <w:t>6</w:t>
      </w:r>
      <w:r>
        <w:rPr>
          <w:rFonts w:hint="eastAsia" w:ascii="仿宋_GB2312" w:hAnsi="仿宋_GB2312" w:eastAsia="仿宋_GB2312" w:cs="仿宋_GB2312"/>
          <w:sz w:val="22"/>
          <w:highlight w:val="none"/>
          <w:lang w:val="en-US" w:eastAsia="zh-CN"/>
        </w:rPr>
        <w:t>.6.18</w:t>
      </w:r>
      <w:r>
        <w:rPr>
          <w:rFonts w:hint="eastAsia" w:ascii="仿宋_GB2312" w:hAnsi="仿宋_GB2312" w:eastAsia="仿宋_GB2312" w:cs="仿宋_GB2312"/>
          <w:sz w:val="22"/>
          <w:highlight w:val="none"/>
        </w:rPr>
        <w:t xml:space="preserve"> </w:t>
      </w:r>
      <w:r>
        <w:rPr>
          <w:rFonts w:hint="eastAsia" w:ascii="仿宋_GB2312" w:hAnsi="仿宋_GB2312" w:eastAsia="仿宋_GB2312" w:cs="仿宋_GB2312"/>
          <w:sz w:val="22"/>
          <w:highlight w:val="none"/>
          <w:lang w:val="en-US" w:eastAsia="zh-CN"/>
        </w:rPr>
        <w:t xml:space="preserve"> </w:t>
      </w:r>
      <w:r>
        <w:rPr>
          <w:rFonts w:hint="default" w:ascii="Times New Roman" w:hAnsi="Times New Roman" w:eastAsia="仿宋_GB2312" w:cs="Times New Roman"/>
          <w:sz w:val="22"/>
          <w:highlight w:val="none"/>
        </w:rPr>
        <w:t xml:space="preserve"> 联系电话：</w:t>
      </w:r>
      <w:r>
        <w:rPr>
          <w:rFonts w:hint="eastAsia" w:ascii="仿宋_GB2312" w:hAnsi="仿宋_GB2312" w:eastAsia="仿宋_GB2312" w:cs="仿宋_GB2312"/>
          <w:sz w:val="22"/>
          <w:szCs w:val="22"/>
        </w:rPr>
        <w:t>8981953</w:t>
      </w:r>
      <w:r>
        <w:rPr>
          <w:rFonts w:hint="eastAsia" w:ascii="仿宋_GB2312" w:hAnsi="仿宋_GB2312" w:eastAsia="仿宋_GB2312" w:cs="仿宋_GB2312"/>
          <w:sz w:val="22"/>
          <w:szCs w:val="22"/>
          <w:lang w:val="en-US" w:eastAsia="zh-CN"/>
        </w:rPr>
        <w:t xml:space="preserve">  </w:t>
      </w:r>
      <w:r>
        <w:rPr>
          <w:rFonts w:hint="eastAsia" w:ascii="仿宋_GB2312" w:hAnsi="仿宋_GB2312" w:eastAsia="仿宋_GB2312" w:cs="仿宋_GB2312"/>
          <w:sz w:val="24"/>
          <w:lang w:val="en-US" w:eastAsia="zh-CN"/>
        </w:rPr>
        <w:t xml:space="preserve"> </w:t>
      </w:r>
      <w:r>
        <w:rPr>
          <w:rFonts w:hint="default" w:ascii="Times New Roman" w:hAnsi="Times New Roman" w:eastAsia="仿宋_GB2312" w:cs="Times New Roman"/>
          <w:sz w:val="22"/>
          <w:highlight w:val="none"/>
        </w:rPr>
        <w:t>单位负责人：</w:t>
      </w:r>
      <w:r>
        <w:rPr>
          <w:rFonts w:hint="eastAsia" w:ascii="Times New Roman" w:hAnsi="Times New Roman" w:eastAsia="仿宋_GB2312" w:cs="Times New Roman"/>
          <w:sz w:val="22"/>
          <w:highlight w:val="none"/>
          <w:lang w:eastAsia="zh-CN"/>
        </w:rPr>
        <w:t>刘力斌</w:t>
      </w:r>
    </w:p>
    <w:p w14:paraId="33CB3B2E">
      <w:pPr>
        <w:widowControl/>
        <w:spacing w:after="0" w:afterLines="0" w:line="400" w:lineRule="exact"/>
        <w:jc w:val="left"/>
        <w:rPr>
          <w:rFonts w:hint="eastAsia" w:ascii="黑体" w:hAnsi="黑体" w:eastAsia="黑体" w:cs="黑体"/>
          <w:sz w:val="32"/>
          <w:szCs w:val="32"/>
          <w:highlight w:val="none"/>
        </w:rPr>
      </w:pPr>
    </w:p>
    <w:p w14:paraId="598A579F">
      <w:pPr>
        <w:widowControl/>
        <w:spacing w:after="0" w:afterLines="0" w:line="400" w:lineRule="exact"/>
        <w:jc w:val="left"/>
        <w:rPr>
          <w:rFonts w:hint="eastAsia" w:ascii="黑体" w:hAnsi="黑体" w:eastAsia="黑体" w:cs="黑体"/>
          <w:sz w:val="32"/>
          <w:szCs w:val="32"/>
          <w:highlight w:val="none"/>
        </w:rPr>
      </w:pPr>
    </w:p>
    <w:p w14:paraId="4ACBA0C6">
      <w:pPr>
        <w:widowControl/>
        <w:spacing w:after="0" w:afterLines="0" w:line="400" w:lineRule="exact"/>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25CDF48F">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default" w:ascii="方正小标宋简体" w:hAnsi="方正小标宋简体" w:eastAsia="方正小标宋简体" w:cs="方正小标宋简体"/>
          <w:color w:val="000000"/>
          <w:sz w:val="36"/>
          <w:szCs w:val="36"/>
          <w:highlight w:val="none"/>
          <w:lang w:val="e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8"/>
        <w:tblW w:w="10079" w:type="dxa"/>
        <w:jc w:val="center"/>
        <w:tblLayout w:type="autofit"/>
        <w:tblCellMar>
          <w:top w:w="0" w:type="dxa"/>
          <w:left w:w="108" w:type="dxa"/>
          <w:bottom w:w="0" w:type="dxa"/>
          <w:right w:w="108" w:type="dxa"/>
        </w:tblCellMar>
      </w:tblPr>
      <w:tblGrid>
        <w:gridCol w:w="1077"/>
        <w:gridCol w:w="1077"/>
        <w:gridCol w:w="1030"/>
        <w:gridCol w:w="1294"/>
        <w:gridCol w:w="1281"/>
        <w:gridCol w:w="1266"/>
        <w:gridCol w:w="715"/>
        <w:gridCol w:w="816"/>
        <w:gridCol w:w="1523"/>
      </w:tblGrid>
      <w:tr w14:paraId="14A2B7E1">
        <w:tblPrEx>
          <w:tblCellMar>
            <w:top w:w="0" w:type="dxa"/>
            <w:left w:w="108" w:type="dxa"/>
            <w:bottom w:w="0" w:type="dxa"/>
            <w:right w:w="108" w:type="dxa"/>
          </w:tblCellMar>
        </w:tblPrEx>
        <w:trPr>
          <w:jc w:val="center"/>
        </w:trPr>
        <w:tc>
          <w:tcPr>
            <w:tcW w:w="1077" w:type="dxa"/>
            <w:tcBorders>
              <w:top w:val="single" w:color="auto" w:sz="4" w:space="0"/>
              <w:left w:val="single" w:color="auto" w:sz="4" w:space="0"/>
              <w:bottom w:val="single" w:color="auto" w:sz="4" w:space="0"/>
              <w:right w:val="single" w:color="auto" w:sz="4" w:space="0"/>
            </w:tcBorders>
            <w:noWrap w:val="0"/>
            <w:vAlign w:val="center"/>
          </w:tcPr>
          <w:p w14:paraId="735D0DB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9002" w:type="dxa"/>
            <w:gridSpan w:val="8"/>
            <w:tcBorders>
              <w:top w:val="single" w:color="auto" w:sz="4" w:space="0"/>
              <w:left w:val="nil"/>
              <w:bottom w:val="single" w:color="auto" w:sz="4" w:space="0"/>
              <w:right w:val="single" w:color="auto" w:sz="4" w:space="0"/>
            </w:tcBorders>
            <w:noWrap w:val="0"/>
            <w:vAlign w:val="center"/>
          </w:tcPr>
          <w:p w14:paraId="29B6A6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rPr>
              <w:t>岳阳市城市管理综合行政执法支队站场执法大队</w:t>
            </w:r>
            <w:r>
              <w:rPr>
                <w:rFonts w:hint="eastAsia" w:ascii="仿宋_GB2312" w:hAnsi="仿宋_GB2312" w:eastAsia="仿宋_GB2312" w:cs="仿宋_GB2312"/>
                <w:color w:val="000000"/>
                <w:sz w:val="20"/>
                <w:szCs w:val="20"/>
                <w:highlight w:val="none"/>
              </w:rPr>
              <w:t>　</w:t>
            </w:r>
          </w:p>
        </w:tc>
      </w:tr>
      <w:tr w14:paraId="76ACF300">
        <w:tblPrEx>
          <w:tblCellMar>
            <w:top w:w="0" w:type="dxa"/>
            <w:left w:w="108" w:type="dxa"/>
            <w:bottom w:w="0" w:type="dxa"/>
            <w:right w:w="108" w:type="dxa"/>
          </w:tblCellMar>
        </w:tblPrEx>
        <w:trPr>
          <w:trHeight w:val="426" w:hRule="atLeast"/>
          <w:jc w:val="center"/>
        </w:trPr>
        <w:tc>
          <w:tcPr>
            <w:tcW w:w="1077" w:type="dxa"/>
            <w:vMerge w:val="restart"/>
            <w:tcBorders>
              <w:top w:val="nil"/>
              <w:left w:val="single" w:color="auto" w:sz="4" w:space="0"/>
              <w:right w:val="single" w:color="auto" w:sz="4" w:space="0"/>
            </w:tcBorders>
            <w:noWrap w:val="0"/>
            <w:vAlign w:val="center"/>
          </w:tcPr>
          <w:p w14:paraId="3EA989D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2ED3BC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07" w:type="dxa"/>
            <w:gridSpan w:val="2"/>
            <w:tcBorders>
              <w:top w:val="nil"/>
              <w:left w:val="nil"/>
              <w:bottom w:val="single" w:color="auto" w:sz="4" w:space="0"/>
              <w:right w:val="single" w:color="auto" w:sz="4" w:space="0"/>
            </w:tcBorders>
            <w:noWrap w:val="0"/>
            <w:vAlign w:val="center"/>
          </w:tcPr>
          <w:p w14:paraId="0B1DE35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p>
        </w:tc>
        <w:tc>
          <w:tcPr>
            <w:tcW w:w="1294" w:type="dxa"/>
            <w:tcBorders>
              <w:top w:val="nil"/>
              <w:left w:val="nil"/>
              <w:bottom w:val="single" w:color="auto" w:sz="4" w:space="0"/>
              <w:right w:val="single" w:color="auto" w:sz="4" w:space="0"/>
            </w:tcBorders>
            <w:noWrap w:val="0"/>
            <w:vAlign w:val="center"/>
          </w:tcPr>
          <w:p w14:paraId="240F058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281" w:type="dxa"/>
            <w:tcBorders>
              <w:top w:val="nil"/>
              <w:left w:val="nil"/>
              <w:bottom w:val="single" w:color="auto" w:sz="4" w:space="0"/>
              <w:right w:val="single" w:color="auto" w:sz="4" w:space="0"/>
            </w:tcBorders>
            <w:noWrap w:val="0"/>
            <w:vAlign w:val="center"/>
          </w:tcPr>
          <w:p w14:paraId="45AB57AF">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6" w:type="dxa"/>
            <w:tcBorders>
              <w:top w:val="nil"/>
              <w:left w:val="nil"/>
              <w:bottom w:val="single" w:color="auto" w:sz="4" w:space="0"/>
              <w:right w:val="single" w:color="auto" w:sz="4" w:space="0"/>
            </w:tcBorders>
            <w:noWrap w:val="0"/>
            <w:vAlign w:val="center"/>
          </w:tcPr>
          <w:p w14:paraId="52BFA2A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5" w:type="dxa"/>
            <w:tcBorders>
              <w:top w:val="nil"/>
              <w:left w:val="nil"/>
              <w:bottom w:val="single" w:color="auto" w:sz="4" w:space="0"/>
              <w:right w:val="single" w:color="auto" w:sz="4" w:space="0"/>
            </w:tcBorders>
            <w:noWrap w:val="0"/>
            <w:vAlign w:val="center"/>
          </w:tcPr>
          <w:p w14:paraId="0600998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16" w:type="dxa"/>
            <w:tcBorders>
              <w:top w:val="nil"/>
              <w:left w:val="nil"/>
              <w:bottom w:val="single" w:color="auto" w:sz="4" w:space="0"/>
              <w:right w:val="single" w:color="auto" w:sz="4" w:space="0"/>
            </w:tcBorders>
            <w:noWrap w:val="0"/>
            <w:vAlign w:val="center"/>
          </w:tcPr>
          <w:p w14:paraId="00BA576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523" w:type="dxa"/>
            <w:tcBorders>
              <w:top w:val="nil"/>
              <w:left w:val="nil"/>
              <w:bottom w:val="single" w:color="auto" w:sz="4" w:space="0"/>
              <w:right w:val="single" w:color="auto" w:sz="4" w:space="0"/>
            </w:tcBorders>
            <w:noWrap w:val="0"/>
            <w:vAlign w:val="center"/>
          </w:tcPr>
          <w:p w14:paraId="6322E37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6CF994F">
        <w:tblPrEx>
          <w:tblCellMar>
            <w:top w:w="0" w:type="dxa"/>
            <w:left w:w="108" w:type="dxa"/>
            <w:bottom w:w="0" w:type="dxa"/>
            <w:right w:w="108" w:type="dxa"/>
          </w:tblCellMar>
        </w:tblPrEx>
        <w:trPr>
          <w:trHeight w:val="402" w:hRule="atLeast"/>
          <w:jc w:val="center"/>
        </w:trPr>
        <w:tc>
          <w:tcPr>
            <w:tcW w:w="1077" w:type="dxa"/>
            <w:vMerge w:val="continue"/>
            <w:tcBorders>
              <w:top w:val="nil"/>
              <w:left w:val="single" w:color="auto" w:sz="4" w:space="0"/>
              <w:right w:val="single" w:color="auto" w:sz="4" w:space="0"/>
            </w:tcBorders>
            <w:noWrap w:val="0"/>
            <w:vAlign w:val="center"/>
          </w:tcPr>
          <w:p w14:paraId="49F52BF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2107" w:type="dxa"/>
            <w:gridSpan w:val="2"/>
            <w:tcBorders>
              <w:top w:val="nil"/>
              <w:left w:val="nil"/>
              <w:bottom w:val="single" w:color="auto" w:sz="4" w:space="0"/>
              <w:right w:val="single" w:color="auto" w:sz="4" w:space="0"/>
            </w:tcBorders>
            <w:noWrap w:val="0"/>
            <w:vAlign w:val="center"/>
          </w:tcPr>
          <w:p w14:paraId="065540D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94" w:type="dxa"/>
            <w:tcBorders>
              <w:top w:val="nil"/>
              <w:left w:val="nil"/>
              <w:bottom w:val="single" w:color="auto" w:sz="4" w:space="0"/>
              <w:right w:val="single" w:color="auto" w:sz="4" w:space="0"/>
            </w:tcBorders>
            <w:noWrap w:val="0"/>
            <w:vAlign w:val="center"/>
          </w:tcPr>
          <w:p w14:paraId="17CEFB2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2137.59</w:t>
            </w:r>
          </w:p>
        </w:tc>
        <w:tc>
          <w:tcPr>
            <w:tcW w:w="1281" w:type="dxa"/>
            <w:tcBorders>
              <w:top w:val="nil"/>
              <w:left w:val="nil"/>
              <w:bottom w:val="single" w:color="auto" w:sz="4" w:space="0"/>
              <w:right w:val="single" w:color="auto" w:sz="4" w:space="0"/>
            </w:tcBorders>
            <w:noWrap w:val="0"/>
            <w:vAlign w:val="center"/>
          </w:tcPr>
          <w:p w14:paraId="5A4072F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2393.36</w:t>
            </w:r>
          </w:p>
        </w:tc>
        <w:tc>
          <w:tcPr>
            <w:tcW w:w="1266" w:type="dxa"/>
            <w:tcBorders>
              <w:top w:val="nil"/>
              <w:left w:val="nil"/>
              <w:bottom w:val="single" w:color="auto" w:sz="4" w:space="0"/>
              <w:right w:val="single" w:color="auto" w:sz="4" w:space="0"/>
            </w:tcBorders>
            <w:noWrap w:val="0"/>
            <w:vAlign w:val="center"/>
          </w:tcPr>
          <w:p w14:paraId="45CEFF1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2345.77</w:t>
            </w:r>
          </w:p>
        </w:tc>
        <w:tc>
          <w:tcPr>
            <w:tcW w:w="715" w:type="dxa"/>
            <w:tcBorders>
              <w:top w:val="nil"/>
              <w:left w:val="nil"/>
              <w:bottom w:val="single" w:color="auto" w:sz="4" w:space="0"/>
              <w:right w:val="single" w:color="auto" w:sz="4" w:space="0"/>
            </w:tcBorders>
            <w:noWrap w:val="0"/>
            <w:vAlign w:val="center"/>
          </w:tcPr>
          <w:p w14:paraId="1EF6F5F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16" w:type="dxa"/>
            <w:tcBorders>
              <w:top w:val="nil"/>
              <w:left w:val="nil"/>
              <w:bottom w:val="single" w:color="auto" w:sz="4" w:space="0"/>
              <w:right w:val="single" w:color="auto" w:sz="4" w:space="0"/>
            </w:tcBorders>
            <w:noWrap w:val="0"/>
            <w:vAlign w:val="center"/>
          </w:tcPr>
          <w:p w14:paraId="6548ABB7">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w:t>
            </w:r>
            <w:r>
              <w:rPr>
                <w:rFonts w:hint="default" w:ascii="仿宋_GB2312" w:hAnsi="仿宋_GB2312" w:eastAsia="仿宋_GB2312" w:cs="仿宋_GB2312"/>
                <w:sz w:val="20"/>
                <w:szCs w:val="20"/>
                <w:highlight w:val="none"/>
                <w:lang w:val="en" w:eastAsia="zh-CN"/>
              </w:rPr>
              <w:t>8.01</w:t>
            </w:r>
            <w:r>
              <w:rPr>
                <w:rFonts w:hint="eastAsia" w:ascii="仿宋_GB2312" w:hAnsi="仿宋_GB2312" w:eastAsia="仿宋_GB2312" w:cs="仿宋_GB2312"/>
                <w:sz w:val="20"/>
                <w:szCs w:val="20"/>
                <w:highlight w:val="none"/>
                <w:lang w:val="en-US" w:eastAsia="zh-CN"/>
              </w:rPr>
              <w:t>%</w:t>
            </w:r>
          </w:p>
        </w:tc>
        <w:tc>
          <w:tcPr>
            <w:tcW w:w="1523" w:type="dxa"/>
            <w:tcBorders>
              <w:top w:val="nil"/>
              <w:left w:val="nil"/>
              <w:bottom w:val="single" w:color="auto" w:sz="4" w:space="0"/>
              <w:right w:val="single" w:color="auto" w:sz="4" w:space="0"/>
            </w:tcBorders>
            <w:noWrap w:val="0"/>
            <w:vAlign w:val="center"/>
          </w:tcPr>
          <w:p w14:paraId="583A913A">
            <w:pPr>
              <w:keepNext w:val="0"/>
              <w:keepLines w:val="0"/>
              <w:pageBreakBefore w:val="0"/>
              <w:kinsoku/>
              <w:wordWrap/>
              <w:overflowPunct/>
              <w:topLinePunct w:val="0"/>
              <w:autoSpaceDE/>
              <w:autoSpaceDN/>
              <w:bidi w:val="0"/>
              <w:adjustRightInd/>
              <w:snapToGrid/>
              <w:spacing w:line="320" w:lineRule="exact"/>
              <w:ind w:firstLine="400" w:firstLineChars="200"/>
              <w:jc w:val="both"/>
              <w:textAlignment w:val="auto"/>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9.80</w:t>
            </w:r>
          </w:p>
        </w:tc>
      </w:tr>
      <w:tr w14:paraId="5066787E">
        <w:tblPrEx>
          <w:tblCellMar>
            <w:top w:w="0" w:type="dxa"/>
            <w:left w:w="108" w:type="dxa"/>
            <w:bottom w:w="0" w:type="dxa"/>
            <w:right w:w="108" w:type="dxa"/>
          </w:tblCellMar>
        </w:tblPrEx>
        <w:trPr>
          <w:jc w:val="center"/>
        </w:trPr>
        <w:tc>
          <w:tcPr>
            <w:tcW w:w="1077" w:type="dxa"/>
            <w:vMerge w:val="continue"/>
            <w:tcBorders>
              <w:left w:val="single" w:color="auto" w:sz="4" w:space="0"/>
              <w:right w:val="single" w:color="auto" w:sz="4" w:space="0"/>
            </w:tcBorders>
            <w:noWrap w:val="0"/>
            <w:vAlign w:val="center"/>
          </w:tcPr>
          <w:p w14:paraId="49B45D9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4682" w:type="dxa"/>
            <w:gridSpan w:val="4"/>
            <w:tcBorders>
              <w:top w:val="nil"/>
              <w:left w:val="nil"/>
              <w:bottom w:val="single" w:color="auto" w:sz="4" w:space="0"/>
              <w:right w:val="single" w:color="auto" w:sz="4" w:space="0"/>
            </w:tcBorders>
            <w:noWrap w:val="0"/>
            <w:vAlign w:val="center"/>
          </w:tcPr>
          <w:p w14:paraId="35C7284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按收入性质分：</w:t>
            </w:r>
          </w:p>
        </w:tc>
        <w:tc>
          <w:tcPr>
            <w:tcW w:w="4320" w:type="dxa"/>
            <w:gridSpan w:val="4"/>
            <w:tcBorders>
              <w:top w:val="nil"/>
              <w:left w:val="nil"/>
              <w:bottom w:val="single" w:color="auto" w:sz="4" w:space="0"/>
              <w:right w:val="single" w:color="auto" w:sz="4" w:space="0"/>
            </w:tcBorders>
            <w:noWrap w:val="0"/>
            <w:vAlign w:val="center"/>
          </w:tcPr>
          <w:p w14:paraId="5205C3C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按支出性质分：</w:t>
            </w:r>
          </w:p>
        </w:tc>
      </w:tr>
      <w:tr w14:paraId="40D3290F">
        <w:tblPrEx>
          <w:tblCellMar>
            <w:top w:w="0" w:type="dxa"/>
            <w:left w:w="108" w:type="dxa"/>
            <w:bottom w:w="0" w:type="dxa"/>
            <w:right w:w="108" w:type="dxa"/>
          </w:tblCellMar>
        </w:tblPrEx>
        <w:trPr>
          <w:trHeight w:val="438" w:hRule="atLeast"/>
          <w:jc w:val="center"/>
        </w:trPr>
        <w:tc>
          <w:tcPr>
            <w:tcW w:w="1077" w:type="dxa"/>
            <w:vMerge w:val="continue"/>
            <w:tcBorders>
              <w:left w:val="single" w:color="auto" w:sz="4" w:space="0"/>
              <w:right w:val="single" w:color="auto" w:sz="4" w:space="0"/>
            </w:tcBorders>
            <w:noWrap w:val="0"/>
            <w:vAlign w:val="center"/>
          </w:tcPr>
          <w:p w14:paraId="1BE174A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4682" w:type="dxa"/>
            <w:gridSpan w:val="4"/>
            <w:tcBorders>
              <w:top w:val="nil"/>
              <w:left w:val="nil"/>
              <w:bottom w:val="single" w:color="auto" w:sz="4" w:space="0"/>
              <w:right w:val="single" w:color="auto" w:sz="4" w:space="0"/>
            </w:tcBorders>
            <w:noWrap w:val="0"/>
            <w:vAlign w:val="center"/>
          </w:tcPr>
          <w:p w14:paraId="5D9CDCF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xml:space="preserve">  其中：  一般公共预算：</w:t>
            </w:r>
            <w:r>
              <w:rPr>
                <w:rFonts w:hint="default" w:ascii="仿宋_GB2312" w:hAnsi="仿宋_GB2312" w:eastAsia="仿宋_GB2312" w:cs="仿宋_GB2312"/>
                <w:color w:val="000000"/>
                <w:sz w:val="20"/>
                <w:szCs w:val="20"/>
                <w:highlight w:val="none"/>
                <w:lang w:val="en"/>
              </w:rPr>
              <w:t>2382.03</w:t>
            </w:r>
          </w:p>
        </w:tc>
        <w:tc>
          <w:tcPr>
            <w:tcW w:w="4320" w:type="dxa"/>
            <w:gridSpan w:val="4"/>
            <w:tcBorders>
              <w:top w:val="nil"/>
              <w:left w:val="nil"/>
              <w:bottom w:val="single" w:color="auto" w:sz="4" w:space="0"/>
              <w:right w:val="single" w:color="auto" w:sz="4" w:space="0"/>
            </w:tcBorders>
            <w:noWrap w:val="0"/>
            <w:vAlign w:val="center"/>
          </w:tcPr>
          <w:p w14:paraId="0D9E339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其中：基本支出：</w:t>
            </w:r>
            <w:r>
              <w:rPr>
                <w:rFonts w:hint="default" w:ascii="仿宋_GB2312" w:hAnsi="仿宋_GB2312" w:eastAsia="仿宋_GB2312" w:cs="仿宋_GB2312"/>
                <w:color w:val="000000"/>
                <w:sz w:val="20"/>
                <w:szCs w:val="20"/>
                <w:highlight w:val="none"/>
                <w:lang w:val="en"/>
              </w:rPr>
              <w:t>1477.78</w:t>
            </w:r>
          </w:p>
        </w:tc>
      </w:tr>
      <w:tr w14:paraId="56AE19BE">
        <w:tblPrEx>
          <w:tblCellMar>
            <w:top w:w="0" w:type="dxa"/>
            <w:left w:w="108" w:type="dxa"/>
            <w:bottom w:w="0" w:type="dxa"/>
            <w:right w:w="108" w:type="dxa"/>
          </w:tblCellMar>
        </w:tblPrEx>
        <w:trPr>
          <w:jc w:val="center"/>
        </w:trPr>
        <w:tc>
          <w:tcPr>
            <w:tcW w:w="1077" w:type="dxa"/>
            <w:vMerge w:val="continue"/>
            <w:tcBorders>
              <w:left w:val="single" w:color="auto" w:sz="4" w:space="0"/>
              <w:right w:val="single" w:color="auto" w:sz="4" w:space="0"/>
            </w:tcBorders>
            <w:noWrap w:val="0"/>
            <w:vAlign w:val="center"/>
          </w:tcPr>
          <w:p w14:paraId="6268710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4682" w:type="dxa"/>
            <w:gridSpan w:val="4"/>
            <w:tcBorders>
              <w:top w:val="nil"/>
              <w:left w:val="nil"/>
              <w:bottom w:val="single" w:color="auto" w:sz="4" w:space="0"/>
              <w:right w:val="single" w:color="auto" w:sz="4" w:space="0"/>
            </w:tcBorders>
            <w:noWrap w:val="0"/>
            <w:vAlign w:val="center"/>
          </w:tcPr>
          <w:p w14:paraId="338EB0D6">
            <w:pPr>
              <w:keepNext w:val="0"/>
              <w:keepLines w:val="0"/>
              <w:pageBreakBefore w:val="0"/>
              <w:widowControl/>
              <w:kinsoku/>
              <w:wordWrap/>
              <w:overflowPunct/>
              <w:topLinePunct w:val="0"/>
              <w:autoSpaceDE/>
              <w:autoSpaceDN/>
              <w:bidi w:val="0"/>
              <w:adjustRightInd/>
              <w:snapToGrid/>
              <w:spacing w:line="320" w:lineRule="exact"/>
              <w:ind w:firstLine="800" w:firstLineChars="4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政府性基金拨款：</w:t>
            </w:r>
            <w:r>
              <w:rPr>
                <w:rFonts w:hint="eastAsia" w:ascii="仿宋_GB2312" w:hAnsi="仿宋_GB2312" w:eastAsia="仿宋_GB2312" w:cs="仿宋_GB2312"/>
                <w:color w:val="000000"/>
                <w:sz w:val="20"/>
                <w:szCs w:val="20"/>
                <w:highlight w:val="none"/>
                <w:lang w:val="en-US" w:eastAsia="zh-CN"/>
              </w:rPr>
              <w:t>0</w:t>
            </w:r>
          </w:p>
        </w:tc>
        <w:tc>
          <w:tcPr>
            <w:tcW w:w="4320" w:type="dxa"/>
            <w:gridSpan w:val="4"/>
            <w:tcBorders>
              <w:top w:val="nil"/>
              <w:left w:val="nil"/>
              <w:bottom w:val="single" w:color="auto" w:sz="4" w:space="0"/>
              <w:right w:val="single" w:color="auto" w:sz="4" w:space="0"/>
            </w:tcBorders>
            <w:noWrap w:val="0"/>
            <w:vAlign w:val="center"/>
          </w:tcPr>
          <w:p w14:paraId="4C5F4AF2">
            <w:pPr>
              <w:keepNext w:val="0"/>
              <w:keepLines w:val="0"/>
              <w:pageBreakBefore w:val="0"/>
              <w:widowControl/>
              <w:kinsoku/>
              <w:wordWrap/>
              <w:overflowPunct/>
              <w:topLinePunct w:val="0"/>
              <w:autoSpaceDE/>
              <w:autoSpaceDN/>
              <w:bidi w:val="0"/>
              <w:adjustRightInd/>
              <w:snapToGrid/>
              <w:spacing w:line="320" w:lineRule="exact"/>
              <w:ind w:firstLine="600" w:firstLineChars="300"/>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项目支出：</w:t>
            </w:r>
            <w:r>
              <w:rPr>
                <w:rFonts w:hint="default" w:ascii="仿宋_GB2312" w:hAnsi="仿宋_GB2312" w:eastAsia="仿宋_GB2312" w:cs="仿宋_GB2312"/>
                <w:color w:val="000000"/>
                <w:sz w:val="20"/>
                <w:szCs w:val="20"/>
                <w:highlight w:val="none"/>
                <w:lang w:val="en"/>
              </w:rPr>
              <w:t>867.99</w:t>
            </w:r>
          </w:p>
        </w:tc>
      </w:tr>
      <w:tr w14:paraId="196B125A">
        <w:tblPrEx>
          <w:tblCellMar>
            <w:top w:w="0" w:type="dxa"/>
            <w:left w:w="108" w:type="dxa"/>
            <w:bottom w:w="0" w:type="dxa"/>
            <w:right w:w="108" w:type="dxa"/>
          </w:tblCellMar>
        </w:tblPrEx>
        <w:trPr>
          <w:trHeight w:val="345" w:hRule="atLeast"/>
          <w:jc w:val="center"/>
        </w:trPr>
        <w:tc>
          <w:tcPr>
            <w:tcW w:w="1077" w:type="dxa"/>
            <w:vMerge w:val="continue"/>
            <w:tcBorders>
              <w:left w:val="single" w:color="auto" w:sz="4" w:space="0"/>
              <w:right w:val="single" w:color="auto" w:sz="4" w:space="0"/>
            </w:tcBorders>
            <w:noWrap w:val="0"/>
            <w:vAlign w:val="center"/>
          </w:tcPr>
          <w:p w14:paraId="3B39772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4682" w:type="dxa"/>
            <w:gridSpan w:val="4"/>
            <w:tcBorders>
              <w:top w:val="nil"/>
              <w:left w:val="nil"/>
              <w:bottom w:val="single" w:color="auto" w:sz="4" w:space="0"/>
              <w:right w:val="single" w:color="auto" w:sz="4" w:space="0"/>
            </w:tcBorders>
            <w:noWrap w:val="0"/>
            <w:vAlign w:val="center"/>
          </w:tcPr>
          <w:p w14:paraId="56E64C8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纳入专户管理的非税收入拨款：</w:t>
            </w:r>
            <w:r>
              <w:rPr>
                <w:rFonts w:hint="eastAsia" w:ascii="仿宋_GB2312" w:hAnsi="仿宋_GB2312" w:eastAsia="仿宋_GB2312" w:cs="仿宋_GB2312"/>
                <w:color w:val="000000"/>
                <w:sz w:val="20"/>
                <w:szCs w:val="20"/>
                <w:highlight w:val="none"/>
                <w:lang w:val="en-US" w:eastAsia="zh-CN"/>
              </w:rPr>
              <w:t>0</w:t>
            </w:r>
          </w:p>
        </w:tc>
        <w:tc>
          <w:tcPr>
            <w:tcW w:w="4320" w:type="dxa"/>
            <w:gridSpan w:val="4"/>
            <w:tcBorders>
              <w:top w:val="nil"/>
              <w:left w:val="nil"/>
              <w:bottom w:val="single" w:color="auto" w:sz="4" w:space="0"/>
              <w:right w:val="single" w:color="auto" w:sz="4" w:space="0"/>
            </w:tcBorders>
            <w:noWrap w:val="0"/>
            <w:vAlign w:val="center"/>
          </w:tcPr>
          <w:p w14:paraId="2146616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r>
      <w:tr w14:paraId="64DB4508">
        <w:tblPrEx>
          <w:tblCellMar>
            <w:top w:w="0" w:type="dxa"/>
            <w:left w:w="108" w:type="dxa"/>
            <w:bottom w:w="0" w:type="dxa"/>
            <w:right w:w="108" w:type="dxa"/>
          </w:tblCellMar>
        </w:tblPrEx>
        <w:trPr>
          <w:trHeight w:val="404" w:hRule="atLeast"/>
          <w:jc w:val="center"/>
        </w:trPr>
        <w:tc>
          <w:tcPr>
            <w:tcW w:w="1077" w:type="dxa"/>
            <w:vMerge w:val="continue"/>
            <w:tcBorders>
              <w:left w:val="single" w:color="auto" w:sz="4" w:space="0"/>
              <w:bottom w:val="single" w:color="000000" w:sz="4" w:space="0"/>
              <w:right w:val="single" w:color="auto" w:sz="4" w:space="0"/>
            </w:tcBorders>
            <w:noWrap w:val="0"/>
            <w:vAlign w:val="center"/>
          </w:tcPr>
          <w:p w14:paraId="03912E8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4682" w:type="dxa"/>
            <w:gridSpan w:val="4"/>
            <w:tcBorders>
              <w:top w:val="nil"/>
              <w:left w:val="nil"/>
              <w:bottom w:val="single" w:color="auto" w:sz="4" w:space="0"/>
              <w:right w:val="single" w:color="auto" w:sz="4" w:space="0"/>
            </w:tcBorders>
            <w:noWrap w:val="0"/>
            <w:vAlign w:val="center"/>
          </w:tcPr>
          <w:p w14:paraId="6088AF1F">
            <w:pPr>
              <w:keepNext w:val="0"/>
              <w:keepLines w:val="0"/>
              <w:pageBreakBefore w:val="0"/>
              <w:widowControl/>
              <w:kinsoku/>
              <w:wordWrap/>
              <w:overflowPunct/>
              <w:topLinePunct w:val="0"/>
              <w:autoSpaceDE/>
              <w:autoSpaceDN/>
              <w:bidi w:val="0"/>
              <w:adjustRightInd/>
              <w:snapToGrid/>
              <w:spacing w:line="320" w:lineRule="exact"/>
              <w:ind w:firstLine="1700" w:firstLineChars="850"/>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其他资</w:t>
            </w:r>
            <w:r>
              <w:rPr>
                <w:rFonts w:hint="eastAsia" w:ascii="仿宋_GB2312" w:hAnsi="仿宋_GB2312" w:eastAsia="仿宋_GB2312" w:cs="仿宋_GB2312"/>
                <w:color w:val="000000"/>
                <w:sz w:val="20"/>
                <w:szCs w:val="20"/>
                <w:highlight w:val="none"/>
                <w:lang w:eastAsia="zh-CN"/>
              </w:rPr>
              <w:t>：</w:t>
            </w:r>
            <w:r>
              <w:rPr>
                <w:rFonts w:hint="default" w:ascii="仿宋_GB2312" w:hAnsi="仿宋_GB2312" w:eastAsia="仿宋_GB2312" w:cs="仿宋_GB2312"/>
                <w:color w:val="000000"/>
                <w:sz w:val="20"/>
                <w:szCs w:val="20"/>
                <w:highlight w:val="none"/>
                <w:lang w:val="en" w:eastAsia="zh-CN"/>
              </w:rPr>
              <w:t>11.33</w:t>
            </w:r>
          </w:p>
        </w:tc>
        <w:tc>
          <w:tcPr>
            <w:tcW w:w="4320" w:type="dxa"/>
            <w:gridSpan w:val="4"/>
            <w:tcBorders>
              <w:top w:val="nil"/>
              <w:left w:val="nil"/>
              <w:bottom w:val="single" w:color="auto" w:sz="4" w:space="0"/>
              <w:right w:val="single" w:color="auto" w:sz="4" w:space="0"/>
            </w:tcBorders>
            <w:noWrap w:val="0"/>
            <w:vAlign w:val="center"/>
          </w:tcPr>
          <w:p w14:paraId="5C9300F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r>
      <w:tr w14:paraId="58073B30">
        <w:tblPrEx>
          <w:tblCellMar>
            <w:top w:w="0" w:type="dxa"/>
            <w:left w:w="108" w:type="dxa"/>
            <w:bottom w:w="0" w:type="dxa"/>
            <w:right w:w="108" w:type="dxa"/>
          </w:tblCellMar>
        </w:tblPrEx>
        <w:trPr>
          <w:trHeight w:val="467" w:hRule="atLeast"/>
          <w:jc w:val="center"/>
        </w:trPr>
        <w:tc>
          <w:tcPr>
            <w:tcW w:w="1077" w:type="dxa"/>
            <w:vMerge w:val="restart"/>
            <w:tcBorders>
              <w:top w:val="nil"/>
              <w:left w:val="single" w:color="auto" w:sz="4" w:space="0"/>
              <w:bottom w:val="single" w:color="000000" w:sz="4" w:space="0"/>
              <w:right w:val="single" w:color="auto" w:sz="4" w:space="0"/>
            </w:tcBorders>
            <w:noWrap w:val="0"/>
            <w:vAlign w:val="center"/>
          </w:tcPr>
          <w:p w14:paraId="2DD3971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82" w:type="dxa"/>
            <w:gridSpan w:val="4"/>
            <w:tcBorders>
              <w:top w:val="single" w:color="auto" w:sz="4" w:space="0"/>
              <w:left w:val="nil"/>
              <w:bottom w:val="single" w:color="auto" w:sz="4" w:space="0"/>
              <w:right w:val="single" w:color="000000" w:sz="4" w:space="0"/>
            </w:tcBorders>
            <w:noWrap w:val="0"/>
            <w:vAlign w:val="center"/>
          </w:tcPr>
          <w:p w14:paraId="4398349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20" w:type="dxa"/>
            <w:gridSpan w:val="4"/>
            <w:tcBorders>
              <w:top w:val="single" w:color="auto" w:sz="4" w:space="0"/>
              <w:left w:val="nil"/>
              <w:bottom w:val="single" w:color="auto" w:sz="4" w:space="0"/>
              <w:right w:val="single" w:color="auto" w:sz="4" w:space="0"/>
            </w:tcBorders>
            <w:noWrap w:val="0"/>
            <w:vAlign w:val="center"/>
          </w:tcPr>
          <w:p w14:paraId="429DCFA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876B3AE">
        <w:tblPrEx>
          <w:tblCellMar>
            <w:top w:w="0" w:type="dxa"/>
            <w:left w:w="108" w:type="dxa"/>
            <w:bottom w:w="0" w:type="dxa"/>
            <w:right w:w="108" w:type="dxa"/>
          </w:tblCellMar>
        </w:tblPrEx>
        <w:trPr>
          <w:jc w:val="center"/>
        </w:trPr>
        <w:tc>
          <w:tcPr>
            <w:tcW w:w="1077" w:type="dxa"/>
            <w:vMerge w:val="continue"/>
            <w:tcBorders>
              <w:top w:val="nil"/>
              <w:left w:val="single" w:color="auto" w:sz="4" w:space="0"/>
              <w:bottom w:val="single" w:color="auto" w:sz="4" w:space="0"/>
              <w:right w:val="single" w:color="auto" w:sz="4" w:space="0"/>
            </w:tcBorders>
            <w:noWrap w:val="0"/>
            <w:vAlign w:val="center"/>
          </w:tcPr>
          <w:p w14:paraId="318A567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4682" w:type="dxa"/>
            <w:gridSpan w:val="4"/>
            <w:tcBorders>
              <w:top w:val="single" w:color="auto" w:sz="4" w:space="0"/>
              <w:left w:val="nil"/>
              <w:bottom w:val="single" w:color="auto" w:sz="4" w:space="0"/>
              <w:right w:val="single" w:color="000000" w:sz="4" w:space="0"/>
            </w:tcBorders>
            <w:noWrap w:val="0"/>
            <w:vAlign w:val="center"/>
          </w:tcPr>
          <w:p w14:paraId="3D48BA31">
            <w:pPr>
              <w:keepNext w:val="0"/>
              <w:keepLines w:val="0"/>
              <w:pageBreakBefore w:val="0"/>
              <w:widowControl/>
              <w:kinsoku/>
              <w:wordWrap/>
              <w:overflowPunct/>
              <w:topLinePunct w:val="0"/>
              <w:autoSpaceDE/>
              <w:autoSpaceDN/>
              <w:bidi w:val="0"/>
              <w:adjustRightInd/>
              <w:snapToGrid/>
              <w:spacing w:line="320" w:lineRule="exact"/>
              <w:ind w:firstLine="300" w:firstLineChars="15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1.认真贯彻、执行国家和地方关于综合行政执法的政策、法规；</w:t>
            </w:r>
          </w:p>
          <w:p w14:paraId="7AB919E6">
            <w:pPr>
              <w:keepNext w:val="0"/>
              <w:keepLines w:val="0"/>
              <w:pageBreakBefore w:val="0"/>
              <w:widowControl/>
              <w:kinsoku/>
              <w:wordWrap/>
              <w:overflowPunct/>
              <w:topLinePunct w:val="0"/>
              <w:autoSpaceDE/>
              <w:autoSpaceDN/>
              <w:bidi w:val="0"/>
              <w:adjustRightInd/>
              <w:snapToGrid/>
              <w:spacing w:line="320" w:lineRule="exact"/>
              <w:ind w:firstLine="300" w:firstLineChars="15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2.依法实施行政处罚，加强岳阳火车站、岳阳火车东站客运市场、道路交通、环境卫生、市政设施、园林绿化等各类秩序管理，强化服务群众特别是过往旅客工作，全面提</w:t>
            </w:r>
            <w:r>
              <w:rPr>
                <w:rFonts w:hint="eastAsia" w:ascii="仿宋_GB2312" w:hAnsi="仿宋_GB2312" w:eastAsia="仿宋_GB2312" w:cs="仿宋_GB2312"/>
                <w:color w:val="000000"/>
                <w:sz w:val="20"/>
                <w:szCs w:val="20"/>
                <w:highlight w:val="none"/>
                <w:lang w:eastAsia="zh-CN"/>
              </w:rPr>
              <w:t>升</w:t>
            </w:r>
            <w:r>
              <w:rPr>
                <w:rFonts w:hint="eastAsia" w:ascii="仿宋_GB2312" w:hAnsi="仿宋_GB2312" w:eastAsia="仿宋_GB2312" w:cs="仿宋_GB2312"/>
                <w:color w:val="000000"/>
                <w:sz w:val="20"/>
                <w:szCs w:val="20"/>
                <w:highlight w:val="none"/>
              </w:rPr>
              <w:t>窗口形象；协助市春运办做好两站一年一度的的春运工作；强化通海路管理处、金凤桥管理处、木里港管理处等区域城市管理和综合执法；</w:t>
            </w:r>
          </w:p>
          <w:p w14:paraId="430798D5">
            <w:pPr>
              <w:keepNext w:val="0"/>
              <w:keepLines w:val="0"/>
              <w:pageBreakBefore w:val="0"/>
              <w:widowControl/>
              <w:kinsoku/>
              <w:wordWrap/>
              <w:overflowPunct/>
              <w:topLinePunct w:val="0"/>
              <w:autoSpaceDE/>
              <w:autoSpaceDN/>
              <w:bidi w:val="0"/>
              <w:adjustRightInd/>
              <w:snapToGrid/>
              <w:spacing w:line="320" w:lineRule="exact"/>
              <w:ind w:firstLine="300" w:firstLineChars="15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3.为我市打造环境优美、秩序井然、干净整洁的环境。</w:t>
            </w:r>
          </w:p>
        </w:tc>
        <w:tc>
          <w:tcPr>
            <w:tcW w:w="4320" w:type="dxa"/>
            <w:gridSpan w:val="4"/>
            <w:tcBorders>
              <w:top w:val="single" w:color="auto" w:sz="4" w:space="0"/>
              <w:left w:val="nil"/>
              <w:bottom w:val="single" w:color="auto" w:sz="4" w:space="0"/>
              <w:right w:val="single" w:color="auto" w:sz="4" w:space="0"/>
            </w:tcBorders>
            <w:noWrap w:val="0"/>
            <w:vAlign w:val="center"/>
          </w:tcPr>
          <w:p w14:paraId="3E78F360">
            <w:pPr>
              <w:keepNext w:val="0"/>
              <w:keepLines w:val="0"/>
              <w:pageBreakBefore w:val="0"/>
              <w:widowControl/>
              <w:kinsoku/>
              <w:wordWrap/>
              <w:overflowPunct/>
              <w:topLinePunct w:val="0"/>
              <w:autoSpaceDE/>
              <w:autoSpaceDN/>
              <w:bidi w:val="0"/>
              <w:adjustRightInd/>
              <w:snapToGrid/>
              <w:spacing w:line="320" w:lineRule="exact"/>
              <w:ind w:firstLine="300" w:firstLineChars="15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w:t>
            </w:r>
            <w:r>
              <w:rPr>
                <w:rFonts w:hint="eastAsia" w:ascii="仿宋_GB2312" w:hAnsi="仿宋_GB2312" w:eastAsia="仿宋_GB2312" w:cs="仿宋_GB2312"/>
                <w:color w:val="000000"/>
                <w:sz w:val="20"/>
                <w:szCs w:val="20"/>
                <w:highlight w:val="none"/>
                <w:lang w:eastAsia="zh-CN"/>
              </w:rPr>
              <w:t>在岳阳火车站地区</w:t>
            </w:r>
            <w:r>
              <w:rPr>
                <w:rFonts w:hint="eastAsia" w:ascii="仿宋_GB2312" w:hAnsi="仿宋_GB2312" w:eastAsia="仿宋_GB2312" w:cs="仿宋_GB2312"/>
                <w:color w:val="000000"/>
                <w:sz w:val="20"/>
                <w:szCs w:val="20"/>
                <w:highlight w:val="none"/>
              </w:rPr>
              <w:t>认真贯彻、执行国家和地方关于综合行政执法的政策、法规</w:t>
            </w:r>
            <w:r>
              <w:rPr>
                <w:rFonts w:hint="eastAsia" w:ascii="仿宋_GB2312" w:hAnsi="仿宋_GB2312" w:eastAsia="仿宋_GB2312" w:cs="仿宋_GB2312"/>
                <w:color w:val="000000"/>
                <w:sz w:val="20"/>
                <w:szCs w:val="20"/>
                <w:highlight w:val="none"/>
                <w:lang w:eastAsia="zh-CN"/>
              </w:rPr>
              <w:t>，取得了良好的效果</w:t>
            </w:r>
            <w:r>
              <w:rPr>
                <w:rFonts w:hint="eastAsia" w:ascii="仿宋_GB2312" w:hAnsi="仿宋_GB2312" w:eastAsia="仿宋_GB2312" w:cs="仿宋_GB2312"/>
                <w:color w:val="000000"/>
                <w:sz w:val="20"/>
                <w:szCs w:val="20"/>
                <w:highlight w:val="none"/>
              </w:rPr>
              <w:t>；</w:t>
            </w:r>
          </w:p>
          <w:p w14:paraId="4CFA9523">
            <w:pPr>
              <w:keepNext w:val="0"/>
              <w:keepLines w:val="0"/>
              <w:pageBreakBefore w:val="0"/>
              <w:widowControl/>
              <w:kinsoku/>
              <w:wordWrap/>
              <w:overflowPunct/>
              <w:topLinePunct w:val="0"/>
              <w:autoSpaceDE/>
              <w:autoSpaceDN/>
              <w:bidi w:val="0"/>
              <w:adjustRightInd/>
              <w:snapToGrid/>
              <w:spacing w:line="320" w:lineRule="exact"/>
              <w:ind w:firstLine="300" w:firstLineChars="15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2.依法实施行政处罚，加</w:t>
            </w:r>
            <w:r>
              <w:rPr>
                <w:rFonts w:hint="eastAsia" w:ascii="仿宋_GB2312" w:hAnsi="仿宋_GB2312" w:eastAsia="仿宋_GB2312" w:cs="仿宋_GB2312"/>
                <w:color w:val="000000"/>
                <w:sz w:val="20"/>
                <w:szCs w:val="20"/>
                <w:highlight w:val="none"/>
                <w:lang w:eastAsia="zh-CN"/>
              </w:rPr>
              <w:t>大了</w:t>
            </w:r>
            <w:r>
              <w:rPr>
                <w:rFonts w:hint="eastAsia" w:ascii="仿宋_GB2312" w:hAnsi="仿宋_GB2312" w:eastAsia="仿宋_GB2312" w:cs="仿宋_GB2312"/>
                <w:color w:val="000000"/>
                <w:sz w:val="20"/>
                <w:szCs w:val="20"/>
                <w:highlight w:val="none"/>
              </w:rPr>
              <w:t>两站辖区内</w:t>
            </w:r>
            <w:r>
              <w:rPr>
                <w:rFonts w:hint="eastAsia" w:ascii="仿宋_GB2312" w:hAnsi="仿宋_GB2312" w:eastAsia="仿宋_GB2312" w:cs="仿宋_GB2312"/>
                <w:color w:val="000000"/>
                <w:sz w:val="20"/>
                <w:szCs w:val="20"/>
                <w:highlight w:val="none"/>
                <w:lang w:eastAsia="zh-CN"/>
              </w:rPr>
              <w:t>管理力度，</w:t>
            </w:r>
            <w:r>
              <w:rPr>
                <w:rFonts w:hint="eastAsia" w:ascii="仿宋_GB2312" w:hAnsi="仿宋_GB2312" w:eastAsia="仿宋_GB2312" w:cs="仿宋_GB2312"/>
                <w:color w:val="000000"/>
                <w:sz w:val="20"/>
                <w:szCs w:val="20"/>
                <w:highlight w:val="none"/>
              </w:rPr>
              <w:t>强化服务群众特别是过往旅客工作，全面提</w:t>
            </w:r>
            <w:r>
              <w:rPr>
                <w:rFonts w:hint="eastAsia" w:ascii="仿宋_GB2312" w:hAnsi="仿宋_GB2312" w:eastAsia="仿宋_GB2312" w:cs="仿宋_GB2312"/>
                <w:color w:val="000000"/>
                <w:sz w:val="20"/>
                <w:szCs w:val="20"/>
                <w:highlight w:val="none"/>
                <w:lang w:eastAsia="zh-CN"/>
              </w:rPr>
              <w:t>升</w:t>
            </w:r>
            <w:r>
              <w:rPr>
                <w:rFonts w:hint="eastAsia" w:ascii="仿宋_GB2312" w:hAnsi="仿宋_GB2312" w:eastAsia="仿宋_GB2312" w:cs="仿宋_GB2312"/>
                <w:color w:val="000000"/>
                <w:sz w:val="20"/>
                <w:szCs w:val="20"/>
                <w:highlight w:val="none"/>
              </w:rPr>
              <w:t>窗口形象；协助市春运办做好两站</w:t>
            </w:r>
            <w:r>
              <w:rPr>
                <w:rFonts w:hint="eastAsia" w:ascii="仿宋_GB2312" w:hAnsi="仿宋_GB2312" w:eastAsia="仿宋_GB2312" w:cs="仿宋_GB2312"/>
                <w:color w:val="000000"/>
                <w:sz w:val="20"/>
                <w:szCs w:val="20"/>
                <w:highlight w:val="none"/>
                <w:lang w:eastAsia="zh-CN"/>
              </w:rPr>
              <w:t>地区</w:t>
            </w:r>
            <w:r>
              <w:rPr>
                <w:rFonts w:hint="eastAsia" w:ascii="仿宋_GB2312" w:hAnsi="仿宋_GB2312" w:eastAsia="仿宋_GB2312" w:cs="仿宋_GB2312"/>
                <w:color w:val="000000"/>
                <w:sz w:val="20"/>
                <w:szCs w:val="20"/>
                <w:highlight w:val="none"/>
              </w:rPr>
              <w:t>春运工作；</w:t>
            </w:r>
            <w:r>
              <w:rPr>
                <w:rFonts w:hint="eastAsia" w:ascii="仿宋_GB2312" w:hAnsi="仿宋_GB2312" w:eastAsia="仿宋_GB2312" w:cs="仿宋_GB2312"/>
                <w:color w:val="000000"/>
                <w:sz w:val="20"/>
                <w:szCs w:val="20"/>
                <w:highlight w:val="none"/>
                <w:lang w:eastAsia="zh-CN"/>
              </w:rPr>
              <w:t>加</w:t>
            </w:r>
            <w:r>
              <w:rPr>
                <w:rFonts w:hint="eastAsia" w:ascii="仿宋_GB2312" w:hAnsi="仿宋_GB2312" w:eastAsia="仿宋_GB2312" w:cs="仿宋_GB2312"/>
                <w:color w:val="000000"/>
                <w:sz w:val="20"/>
                <w:szCs w:val="20"/>
                <w:highlight w:val="none"/>
              </w:rPr>
              <w:t>强</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通海路管理处、金凤桥管理处、木里港管理处等区域城市管理和综合执法</w:t>
            </w:r>
            <w:r>
              <w:rPr>
                <w:rFonts w:hint="eastAsia" w:ascii="仿宋_GB2312" w:hAnsi="仿宋_GB2312" w:eastAsia="仿宋_GB2312" w:cs="仿宋_GB2312"/>
                <w:color w:val="000000"/>
                <w:sz w:val="20"/>
                <w:szCs w:val="20"/>
                <w:highlight w:val="none"/>
                <w:lang w:eastAsia="zh-CN"/>
              </w:rPr>
              <w:t>工作</w:t>
            </w:r>
            <w:r>
              <w:rPr>
                <w:rFonts w:hint="eastAsia" w:ascii="仿宋_GB2312" w:hAnsi="仿宋_GB2312" w:eastAsia="仿宋_GB2312" w:cs="仿宋_GB2312"/>
                <w:color w:val="000000"/>
                <w:sz w:val="20"/>
                <w:szCs w:val="20"/>
                <w:highlight w:val="none"/>
              </w:rPr>
              <w:t>；</w:t>
            </w:r>
          </w:p>
          <w:p w14:paraId="6566F07B">
            <w:pPr>
              <w:keepNext w:val="0"/>
              <w:keepLines w:val="0"/>
              <w:pageBreakBefore w:val="0"/>
              <w:widowControl/>
              <w:kinsoku/>
              <w:wordWrap/>
              <w:overflowPunct/>
              <w:topLinePunct w:val="0"/>
              <w:autoSpaceDE/>
              <w:autoSpaceDN/>
              <w:bidi w:val="0"/>
              <w:adjustRightInd/>
              <w:snapToGrid/>
              <w:spacing w:line="32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3.为我市打造</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环境优美、秩序井然、干净整洁的</w:t>
            </w:r>
            <w:r>
              <w:rPr>
                <w:rFonts w:hint="eastAsia" w:ascii="仿宋_GB2312" w:hAnsi="仿宋_GB2312" w:eastAsia="仿宋_GB2312" w:cs="仿宋_GB2312"/>
                <w:color w:val="000000"/>
                <w:sz w:val="20"/>
                <w:szCs w:val="20"/>
                <w:highlight w:val="none"/>
                <w:lang w:eastAsia="zh-CN"/>
              </w:rPr>
              <w:t>城市</w:t>
            </w:r>
            <w:r>
              <w:rPr>
                <w:rFonts w:hint="eastAsia" w:ascii="仿宋_GB2312" w:hAnsi="仿宋_GB2312" w:eastAsia="仿宋_GB2312" w:cs="仿宋_GB2312"/>
                <w:color w:val="000000"/>
                <w:sz w:val="20"/>
                <w:szCs w:val="20"/>
                <w:highlight w:val="none"/>
              </w:rPr>
              <w:t>环境。　　</w:t>
            </w:r>
          </w:p>
        </w:tc>
      </w:tr>
      <w:tr w14:paraId="03C4704A">
        <w:tblPrEx>
          <w:tblCellMar>
            <w:top w:w="0" w:type="dxa"/>
            <w:left w:w="108" w:type="dxa"/>
            <w:bottom w:w="0" w:type="dxa"/>
            <w:right w:w="108" w:type="dxa"/>
          </w:tblCellMar>
        </w:tblPrEx>
        <w:trPr>
          <w:jc w:val="center"/>
        </w:trPr>
        <w:tc>
          <w:tcPr>
            <w:tcW w:w="1077" w:type="dxa"/>
            <w:vMerge w:val="restart"/>
            <w:tcBorders>
              <w:top w:val="single" w:color="auto" w:sz="4" w:space="0"/>
              <w:left w:val="single" w:color="auto" w:sz="4" w:space="0"/>
              <w:bottom w:val="single" w:color="auto" w:sz="4" w:space="0"/>
              <w:right w:val="single" w:color="auto" w:sz="4" w:space="0"/>
            </w:tcBorders>
            <w:noWrap w:val="0"/>
            <w:vAlign w:val="center"/>
          </w:tcPr>
          <w:p w14:paraId="0CA0712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7662A4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0AD5D05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2309820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5FAFA54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077" w:type="dxa"/>
            <w:tcBorders>
              <w:top w:val="single" w:color="auto" w:sz="4" w:space="0"/>
              <w:left w:val="single" w:color="auto" w:sz="4" w:space="0"/>
              <w:bottom w:val="single" w:color="auto" w:sz="4" w:space="0"/>
              <w:right w:val="single" w:color="auto" w:sz="4" w:space="0"/>
            </w:tcBorders>
            <w:noWrap w:val="0"/>
            <w:vAlign w:val="center"/>
          </w:tcPr>
          <w:p w14:paraId="5CF42BB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00B383B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67B3F4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F1CD31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5CB56F3F">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671ADFD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21B7B06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374D2212">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B8DDA7C">
        <w:tblPrEx>
          <w:tblCellMar>
            <w:top w:w="0" w:type="dxa"/>
            <w:left w:w="108" w:type="dxa"/>
            <w:bottom w:w="0" w:type="dxa"/>
            <w:right w:w="108" w:type="dxa"/>
          </w:tblCellMar>
        </w:tblPrEx>
        <w:trPr>
          <w:trHeight w:val="454"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597854AF">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restart"/>
            <w:tcBorders>
              <w:top w:val="single" w:color="auto" w:sz="4" w:space="0"/>
              <w:left w:val="single" w:color="auto" w:sz="4" w:space="0"/>
              <w:bottom w:val="single" w:color="auto" w:sz="4" w:space="0"/>
              <w:right w:val="single" w:color="auto" w:sz="4" w:space="0"/>
            </w:tcBorders>
            <w:noWrap w:val="0"/>
            <w:vAlign w:val="center"/>
          </w:tcPr>
          <w:p w14:paraId="046198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7E120C7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p w14:paraId="1C318B0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0" w:type="dxa"/>
            <w:vMerge w:val="restart"/>
            <w:tcBorders>
              <w:top w:val="single" w:color="auto" w:sz="4" w:space="0"/>
              <w:left w:val="single" w:color="auto" w:sz="4" w:space="0"/>
              <w:bottom w:val="single" w:color="auto" w:sz="4" w:space="0"/>
              <w:right w:val="single" w:color="auto" w:sz="4" w:space="0"/>
            </w:tcBorders>
            <w:noWrap w:val="0"/>
            <w:vAlign w:val="center"/>
          </w:tcPr>
          <w:p w14:paraId="247BA94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3122EF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及时处理违规行为，强化行政管理，</w:t>
            </w:r>
            <w:r>
              <w:rPr>
                <w:rFonts w:hint="eastAsia" w:ascii="仿宋_GB2312" w:hAnsi="仿宋_GB2312" w:eastAsia="仿宋_GB2312" w:cs="仿宋_GB2312"/>
                <w:color w:val="000000"/>
                <w:sz w:val="20"/>
                <w:szCs w:val="20"/>
                <w:highlight w:val="none"/>
              </w:rPr>
              <w:t>案件办结率</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3F8A8F2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96%</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33B8E1B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5FE77AB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0347C7B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3A9D12F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1CAFF7C">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590D6417">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51CF159">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continue"/>
            <w:tcBorders>
              <w:top w:val="single" w:color="auto" w:sz="4" w:space="0"/>
              <w:left w:val="single" w:color="auto" w:sz="4" w:space="0"/>
              <w:bottom w:val="single" w:color="auto" w:sz="4" w:space="0"/>
              <w:right w:val="single" w:color="auto" w:sz="4" w:space="0"/>
            </w:tcBorders>
            <w:noWrap w:val="0"/>
            <w:vAlign w:val="center"/>
          </w:tcPr>
          <w:p w14:paraId="42255050">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333E7DE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auto"/>
                <w:sz w:val="20"/>
                <w:szCs w:val="20"/>
                <w:highlight w:val="none"/>
                <w:lang w:val="en" w:eastAsia="zh-CN"/>
              </w:rPr>
            </w:pPr>
            <w:r>
              <w:rPr>
                <w:rFonts w:hint="eastAsia" w:ascii="仿宋_GB2312" w:hAnsi="仿宋_GB2312" w:eastAsia="仿宋_GB2312" w:cs="仿宋_GB2312"/>
                <w:color w:val="auto"/>
                <w:sz w:val="20"/>
                <w:szCs w:val="20"/>
                <w:highlight w:val="none"/>
                <w:lang w:eastAsia="zh-CN"/>
              </w:rPr>
              <w:t>非税收入</w:t>
            </w:r>
            <w:r>
              <w:rPr>
                <w:rFonts w:hint="eastAsia" w:ascii="仿宋_GB2312" w:hAnsi="仿宋_GB2312" w:eastAsia="仿宋_GB2312" w:cs="仿宋_GB2312"/>
                <w:color w:val="auto"/>
                <w:sz w:val="20"/>
                <w:szCs w:val="20"/>
                <w:highlight w:val="none"/>
              </w:rPr>
              <w:t>征收</w:t>
            </w:r>
            <w:r>
              <w:rPr>
                <w:rFonts w:hint="eastAsia" w:ascii="仿宋_GB2312" w:hAnsi="仿宋_GB2312" w:eastAsia="仿宋_GB2312" w:cs="仿宋_GB2312"/>
                <w:color w:val="auto"/>
                <w:sz w:val="20"/>
                <w:szCs w:val="20"/>
                <w:highlight w:val="none"/>
                <w:lang w:eastAsia="zh-CN"/>
              </w:rPr>
              <w:t>计划</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0E868AF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20万元</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19B9E2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auto"/>
                <w:sz w:val="20"/>
                <w:szCs w:val="20"/>
                <w:highlight w:val="none"/>
                <w:lang w:val="en" w:eastAsia="zh-CN"/>
              </w:rPr>
            </w:pPr>
            <w:r>
              <w:rPr>
                <w:rFonts w:hint="eastAsia" w:ascii="仿宋_GB2312" w:hAnsi="仿宋_GB2312" w:eastAsia="仿宋_GB2312" w:cs="仿宋_GB2312"/>
                <w:color w:val="auto"/>
                <w:sz w:val="20"/>
                <w:szCs w:val="20"/>
                <w:highlight w:val="none"/>
                <w:lang w:val="en-US" w:eastAsia="zh-CN"/>
              </w:rPr>
              <w:t>28.56万元</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15F197C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2A0D69E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70B9533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rPr>
            </w:pPr>
          </w:p>
        </w:tc>
      </w:tr>
      <w:tr w14:paraId="029A95F1">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17BF152">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1AB051E">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continue"/>
            <w:tcBorders>
              <w:top w:val="single" w:color="auto" w:sz="4" w:space="0"/>
              <w:left w:val="single" w:color="auto" w:sz="4" w:space="0"/>
              <w:bottom w:val="single" w:color="auto" w:sz="4" w:space="0"/>
              <w:right w:val="single" w:color="auto" w:sz="4" w:space="0"/>
            </w:tcBorders>
            <w:noWrap w:val="0"/>
            <w:vAlign w:val="center"/>
          </w:tcPr>
          <w:p w14:paraId="694BBA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1776E17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全年综合整治工作率</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EFF8E83">
            <w:pPr>
              <w:keepNext w:val="0"/>
              <w:keepLines w:val="0"/>
              <w:pageBreakBefore w:val="0"/>
              <w:widowControl/>
              <w:kinsoku/>
              <w:wordWrap/>
              <w:overflowPunct/>
              <w:topLinePunct w:val="0"/>
              <w:autoSpaceDE/>
              <w:autoSpaceDN/>
              <w:bidi w:val="0"/>
              <w:adjustRightInd/>
              <w:snapToGrid/>
              <w:spacing w:line="32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95%</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531BE422">
            <w:pPr>
              <w:keepNext w:val="0"/>
              <w:keepLines w:val="0"/>
              <w:pageBreakBefore w:val="0"/>
              <w:widowControl/>
              <w:kinsoku/>
              <w:wordWrap/>
              <w:overflowPunct/>
              <w:topLinePunct w:val="0"/>
              <w:autoSpaceDE/>
              <w:autoSpaceDN/>
              <w:bidi w:val="0"/>
              <w:adjustRightInd/>
              <w:snapToGrid/>
              <w:spacing w:line="32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96%</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0494029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545A2C59">
            <w:pPr>
              <w:keepNext w:val="0"/>
              <w:keepLines w:val="0"/>
              <w:pageBreakBefore w:val="0"/>
              <w:widowControl/>
              <w:kinsoku/>
              <w:wordWrap/>
              <w:overflowPunct/>
              <w:topLinePunct w:val="0"/>
              <w:autoSpaceDE/>
              <w:autoSpaceDN/>
              <w:bidi w:val="0"/>
              <w:adjustRightInd/>
              <w:snapToGrid/>
              <w:spacing w:line="320" w:lineRule="exact"/>
              <w:ind w:firstLine="200" w:firstLineChars="1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13DD9BE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r>
      <w:tr w14:paraId="062E4E5E">
        <w:tblPrEx>
          <w:tblCellMar>
            <w:top w:w="0" w:type="dxa"/>
            <w:left w:w="108" w:type="dxa"/>
            <w:bottom w:w="0" w:type="dxa"/>
            <w:right w:w="108" w:type="dxa"/>
          </w:tblCellMar>
        </w:tblPrEx>
        <w:trPr>
          <w:trHeight w:val="473"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F3A5F4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2B50CD2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continue"/>
            <w:tcBorders>
              <w:top w:val="single" w:color="auto" w:sz="4" w:space="0"/>
              <w:left w:val="single" w:color="auto" w:sz="4" w:space="0"/>
              <w:bottom w:val="single" w:color="auto" w:sz="4" w:space="0"/>
              <w:right w:val="single" w:color="auto" w:sz="4" w:space="0"/>
            </w:tcBorders>
            <w:noWrap w:val="0"/>
            <w:vAlign w:val="center"/>
          </w:tcPr>
          <w:p w14:paraId="0D9E527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4D8682FF">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便民服务率</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B145E2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2AA3FC9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99%</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6E864A3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0A5A271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79D0FF1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3A7EFDE">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19333BD">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71324B6C">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restart"/>
            <w:tcBorders>
              <w:top w:val="single" w:color="auto" w:sz="4" w:space="0"/>
              <w:left w:val="single" w:color="auto" w:sz="4" w:space="0"/>
              <w:bottom w:val="single" w:color="auto" w:sz="4" w:space="0"/>
              <w:right w:val="single" w:color="auto" w:sz="4" w:space="0"/>
            </w:tcBorders>
            <w:noWrap w:val="0"/>
            <w:vAlign w:val="center"/>
          </w:tcPr>
          <w:p w14:paraId="3905BE0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556BBEF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达到国家文明</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卫生城市标准</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0780EA2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符合</w:t>
            </w:r>
            <w:r>
              <w:rPr>
                <w:rFonts w:hint="eastAsia" w:ascii="仿宋_GB2312" w:hAnsi="仿宋_GB2312" w:eastAsia="仿宋_GB2312" w:cs="仿宋_GB2312"/>
                <w:color w:val="000000"/>
                <w:sz w:val="20"/>
                <w:szCs w:val="20"/>
                <w:highlight w:val="none"/>
              </w:rPr>
              <w:t>行业相关标准</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720509B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符合</w:t>
            </w:r>
            <w:r>
              <w:rPr>
                <w:rFonts w:hint="eastAsia" w:ascii="仿宋_GB2312" w:hAnsi="仿宋_GB2312" w:eastAsia="仿宋_GB2312" w:cs="仿宋_GB2312"/>
                <w:color w:val="000000"/>
                <w:sz w:val="20"/>
                <w:szCs w:val="20"/>
                <w:highlight w:val="none"/>
              </w:rPr>
              <w:t>行业</w:t>
            </w:r>
            <w:r>
              <w:rPr>
                <w:rFonts w:hint="eastAsia" w:ascii="仿宋_GB2312" w:hAnsi="仿宋_GB2312" w:eastAsia="仿宋_GB2312" w:cs="仿宋_GB2312"/>
                <w:color w:val="000000"/>
                <w:sz w:val="20"/>
                <w:szCs w:val="20"/>
                <w:highlight w:val="none"/>
                <w:lang w:eastAsia="zh-CN"/>
              </w:rPr>
              <w:t>管理</w:t>
            </w:r>
            <w:r>
              <w:rPr>
                <w:rFonts w:hint="eastAsia" w:ascii="仿宋_GB2312" w:hAnsi="仿宋_GB2312" w:eastAsia="仿宋_GB2312" w:cs="仿宋_GB2312"/>
                <w:color w:val="000000"/>
                <w:sz w:val="20"/>
                <w:szCs w:val="20"/>
                <w:highlight w:val="none"/>
              </w:rPr>
              <w:t>相关标准</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6F6DE16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44639CC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6647173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0F24CC4">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8A3CC9E">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32CF7D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continue"/>
            <w:tcBorders>
              <w:top w:val="single" w:color="auto" w:sz="4" w:space="0"/>
              <w:left w:val="single" w:color="auto" w:sz="4" w:space="0"/>
              <w:bottom w:val="single" w:color="auto" w:sz="4" w:space="0"/>
              <w:right w:val="single" w:color="auto" w:sz="4" w:space="0"/>
            </w:tcBorders>
            <w:noWrap w:val="0"/>
            <w:vAlign w:val="center"/>
          </w:tcPr>
          <w:p w14:paraId="62F26E7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44D5C8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kern w:val="0"/>
                <w:sz w:val="20"/>
                <w:szCs w:val="20"/>
              </w:rPr>
              <w:t>完成市委市政府交办的中心工作和和重大迎检工作</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AEE54A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100%</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0D771D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100%</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084BF5E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376F19B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2660F5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47F2FD5">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62ABF0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623692B9">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restart"/>
            <w:tcBorders>
              <w:top w:val="single" w:color="auto" w:sz="4" w:space="0"/>
              <w:left w:val="single" w:color="auto" w:sz="4" w:space="0"/>
              <w:bottom w:val="single" w:color="auto" w:sz="4" w:space="0"/>
              <w:right w:val="single" w:color="auto" w:sz="4" w:space="0"/>
            </w:tcBorders>
            <w:noWrap w:val="0"/>
            <w:vAlign w:val="center"/>
          </w:tcPr>
          <w:p w14:paraId="2377B6B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34AB3D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按照计划和进度完成全年工作</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71ABCF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52040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1986B70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34589B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26ACCEE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1F08553">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6BCBDB2">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EEAC29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continue"/>
            <w:tcBorders>
              <w:top w:val="single" w:color="auto" w:sz="4" w:space="0"/>
              <w:left w:val="single" w:color="auto" w:sz="4" w:space="0"/>
              <w:bottom w:val="single" w:color="auto" w:sz="4" w:space="0"/>
              <w:right w:val="single" w:color="auto" w:sz="4" w:space="0"/>
            </w:tcBorders>
            <w:noWrap w:val="0"/>
            <w:vAlign w:val="center"/>
          </w:tcPr>
          <w:p w14:paraId="4E08C2C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18FF4E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案件办结时长</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39E5E6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在规定时间内办结</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333BA3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均在规定时间内办结</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08360A1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74CF180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4B6CB70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E63458E">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3DC90CA0">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1ED1B75">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restart"/>
            <w:tcBorders>
              <w:top w:val="single" w:color="auto" w:sz="4" w:space="0"/>
              <w:left w:val="single" w:color="auto" w:sz="4" w:space="0"/>
              <w:bottom w:val="single" w:color="auto" w:sz="4" w:space="0"/>
              <w:right w:val="single" w:color="auto" w:sz="4" w:space="0"/>
            </w:tcBorders>
            <w:noWrap w:val="0"/>
            <w:vAlign w:val="center"/>
          </w:tcPr>
          <w:p w14:paraId="00CE161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7BDD96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单位履职成本</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BAD4B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不超年度预算</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56C627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eastAsia="zh-CN"/>
              </w:rPr>
              <w:t>未超预算</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175024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7434E2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7883CC8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02162C5">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7A1A841">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6EBD8CA5">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continue"/>
            <w:tcBorders>
              <w:top w:val="single" w:color="auto" w:sz="4" w:space="0"/>
              <w:left w:val="single" w:color="auto" w:sz="4" w:space="0"/>
              <w:bottom w:val="single" w:color="auto" w:sz="4" w:space="0"/>
              <w:right w:val="single" w:color="auto" w:sz="4" w:space="0"/>
            </w:tcBorders>
            <w:noWrap w:val="0"/>
            <w:vAlign w:val="center"/>
          </w:tcPr>
          <w:p w14:paraId="27AFF8F5">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614EE0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对社会发展可能造成的影响</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018751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无负面影响</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71A360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44C2B42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516E65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5455FCB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6D0DDE">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57F2E378">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7E8588E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continue"/>
            <w:tcBorders>
              <w:top w:val="single" w:color="auto" w:sz="4" w:space="0"/>
              <w:left w:val="single" w:color="auto" w:sz="4" w:space="0"/>
              <w:bottom w:val="single" w:color="auto" w:sz="4" w:space="0"/>
              <w:right w:val="single" w:color="auto" w:sz="4" w:space="0"/>
            </w:tcBorders>
            <w:noWrap w:val="0"/>
            <w:vAlign w:val="center"/>
          </w:tcPr>
          <w:p w14:paraId="62CEBE1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1A4B8EA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对自然生态环境可能造成的影响</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E53BA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749B72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67F8143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4026E2D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648AA9A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4151FA4">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75E2EDA">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restart"/>
            <w:tcBorders>
              <w:top w:val="single" w:color="auto" w:sz="4" w:space="0"/>
              <w:left w:val="single" w:color="auto" w:sz="4" w:space="0"/>
              <w:bottom w:val="single" w:color="auto" w:sz="4" w:space="0"/>
              <w:right w:val="single" w:color="auto" w:sz="4" w:space="0"/>
            </w:tcBorders>
            <w:noWrap w:val="0"/>
            <w:vAlign w:val="center"/>
          </w:tcPr>
          <w:p w14:paraId="164FB2D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0DDBE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p w14:paraId="3FFE1AE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14F654C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4B5163D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182BCDF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7736B9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是否产生一定的经济效益</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45144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产生一定的间接经济效益</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59C903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kern w:val="0"/>
                <w:sz w:val="20"/>
                <w:szCs w:val="20"/>
              </w:rPr>
              <w:t>吸引外来游客旅游</w:t>
            </w:r>
            <w:r>
              <w:rPr>
                <w:rFonts w:hint="eastAsia" w:ascii="仿宋_GB2312" w:hAnsi="仿宋_GB2312" w:eastAsia="仿宋_GB2312" w:cs="仿宋_GB2312"/>
                <w:kern w:val="0"/>
                <w:sz w:val="20"/>
                <w:szCs w:val="20"/>
                <w:lang w:eastAsia="zh-CN"/>
              </w:rPr>
              <w:t>和</w:t>
            </w:r>
            <w:r>
              <w:rPr>
                <w:rFonts w:hint="eastAsia" w:ascii="仿宋_GB2312" w:hAnsi="仿宋_GB2312" w:eastAsia="仿宋_GB2312" w:cs="仿宋_GB2312"/>
                <w:kern w:val="0"/>
                <w:sz w:val="20"/>
                <w:szCs w:val="20"/>
              </w:rPr>
              <w:t>外</w:t>
            </w:r>
            <w:r>
              <w:rPr>
                <w:rFonts w:hint="eastAsia" w:ascii="仿宋_GB2312" w:hAnsi="仿宋_GB2312" w:eastAsia="仿宋_GB2312" w:cs="仿宋_GB2312"/>
                <w:kern w:val="0"/>
                <w:sz w:val="20"/>
                <w:szCs w:val="20"/>
                <w:lang w:eastAsia="zh-CN"/>
              </w:rPr>
              <w:t>商投资</w:t>
            </w:r>
            <w:r>
              <w:rPr>
                <w:rFonts w:hint="eastAsia" w:ascii="仿宋_GB2312" w:hAnsi="仿宋_GB2312" w:eastAsia="仿宋_GB2312" w:cs="仿宋_GB2312"/>
                <w:color w:val="000000"/>
                <w:sz w:val="20"/>
                <w:szCs w:val="20"/>
                <w:highlight w:val="none"/>
              </w:rPr>
              <w:t>　</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6E2471E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36DF1E5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28FB9E4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3AEE33">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243E55C7">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76DA3D1C">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tcBorders>
              <w:top w:val="single" w:color="auto" w:sz="4" w:space="0"/>
              <w:left w:val="single" w:color="auto" w:sz="4" w:space="0"/>
              <w:bottom w:val="single" w:color="auto" w:sz="4" w:space="0"/>
              <w:right w:val="single" w:color="auto" w:sz="4" w:space="0"/>
            </w:tcBorders>
            <w:noWrap w:val="0"/>
            <w:vAlign w:val="center"/>
          </w:tcPr>
          <w:p w14:paraId="08093A5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44C6C88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05733C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依法行政、文明执法，提升综合管理能力</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47D63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依法行政、文明执法，管理和服务相结合，提升综合管理水平</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0411D2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管理和服务相结合，综合管理水平不断提升</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3EADD9B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64ADFAE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4B3F649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综合管理方面还有待进一步加强，下一步加强管理，为市民创造更好的城市环境。</w:t>
            </w:r>
          </w:p>
        </w:tc>
      </w:tr>
      <w:tr w14:paraId="51610E21">
        <w:tblPrEx>
          <w:tblCellMar>
            <w:top w:w="0" w:type="dxa"/>
            <w:left w:w="108" w:type="dxa"/>
            <w:bottom w:w="0" w:type="dxa"/>
            <w:right w:w="108" w:type="dxa"/>
          </w:tblCellMar>
        </w:tblPrEx>
        <w:trPr>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41C2D9FA">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08A4CCCB">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tcBorders>
              <w:top w:val="single" w:color="auto" w:sz="4" w:space="0"/>
              <w:left w:val="single" w:color="auto" w:sz="4" w:space="0"/>
              <w:bottom w:val="single" w:color="auto" w:sz="4" w:space="0"/>
              <w:right w:val="single" w:color="auto" w:sz="4" w:space="0"/>
            </w:tcBorders>
            <w:noWrap w:val="0"/>
            <w:vAlign w:val="center"/>
          </w:tcPr>
          <w:p w14:paraId="062F811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5B9DA9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162965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对生态效益可能造成的影响</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07C630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kern w:val="0"/>
                <w:sz w:val="20"/>
                <w:szCs w:val="20"/>
                <w:lang w:eastAsia="zh-CN"/>
              </w:rPr>
              <w:t>加强辖区内扬尘、噪音、油烟、烟花等管理</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236CD3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辖区内</w:t>
            </w:r>
            <w:r>
              <w:rPr>
                <w:rFonts w:hint="eastAsia" w:ascii="仿宋_GB2312" w:hAnsi="仿宋_GB2312" w:eastAsia="仿宋_GB2312" w:cs="仿宋_GB2312"/>
                <w:kern w:val="0"/>
                <w:sz w:val="20"/>
                <w:szCs w:val="20"/>
                <w:lang w:eastAsia="zh-CN"/>
              </w:rPr>
              <w:t>扬尘、噪音、油烟、烟花等</w:t>
            </w:r>
            <w:r>
              <w:rPr>
                <w:rFonts w:hint="eastAsia" w:ascii="仿宋_GB2312" w:hAnsi="仿宋_GB2312" w:eastAsia="仿宋_GB2312" w:cs="仿宋_GB2312"/>
                <w:color w:val="000000"/>
                <w:sz w:val="20"/>
                <w:szCs w:val="20"/>
                <w:lang w:val="en-US" w:eastAsia="zh-CN"/>
              </w:rPr>
              <w:t>环境影响因素得到有效控制</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44CBCF4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559F01A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0EAED11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建筑垃圾管控有待加强，下一步联合社区及相关部门加强管理。</w:t>
            </w:r>
          </w:p>
        </w:tc>
      </w:tr>
      <w:tr w14:paraId="5132EED4">
        <w:tblPrEx>
          <w:tblCellMar>
            <w:top w:w="0" w:type="dxa"/>
            <w:left w:w="108" w:type="dxa"/>
            <w:bottom w:w="0" w:type="dxa"/>
            <w:right w:w="108" w:type="dxa"/>
          </w:tblCellMar>
        </w:tblPrEx>
        <w:trPr>
          <w:trHeight w:val="290"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525EC03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1C494F4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restart"/>
            <w:tcBorders>
              <w:top w:val="single" w:color="auto" w:sz="4" w:space="0"/>
              <w:left w:val="single" w:color="auto" w:sz="4" w:space="0"/>
              <w:bottom w:val="single" w:color="auto" w:sz="4" w:space="0"/>
              <w:right w:val="single" w:color="auto" w:sz="4" w:space="0"/>
            </w:tcBorders>
            <w:noWrap w:val="0"/>
            <w:vAlign w:val="center"/>
          </w:tcPr>
          <w:p w14:paraId="40CC1A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6CBA91F1">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提升城市窗口形象</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17951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进一步提升城市窗口形象</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784046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两站地区管理有序，城市窗口形象有效提升。</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5600D76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7049BCE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4F2E3DB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080FC79">
        <w:tblPrEx>
          <w:tblCellMar>
            <w:top w:w="0" w:type="dxa"/>
            <w:left w:w="108" w:type="dxa"/>
            <w:bottom w:w="0" w:type="dxa"/>
            <w:right w:w="108" w:type="dxa"/>
          </w:tblCellMar>
        </w:tblPrEx>
        <w:trPr>
          <w:trHeight w:val="270"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589A0DA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64F107C7">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30" w:type="dxa"/>
            <w:vMerge w:val="continue"/>
            <w:tcBorders>
              <w:top w:val="single" w:color="auto" w:sz="4" w:space="0"/>
              <w:left w:val="single" w:color="auto" w:sz="4" w:space="0"/>
              <w:bottom w:val="single" w:color="auto" w:sz="4" w:space="0"/>
              <w:right w:val="single" w:color="auto" w:sz="4" w:space="0"/>
            </w:tcBorders>
            <w:noWrap w:val="0"/>
            <w:vAlign w:val="center"/>
          </w:tcPr>
          <w:p w14:paraId="44F6C1E0">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294" w:type="dxa"/>
            <w:tcBorders>
              <w:top w:val="single" w:color="auto" w:sz="4" w:space="0"/>
              <w:left w:val="single" w:color="auto" w:sz="4" w:space="0"/>
              <w:bottom w:val="single" w:color="auto" w:sz="4" w:space="0"/>
              <w:right w:val="single" w:color="auto" w:sz="4" w:space="0"/>
            </w:tcBorders>
            <w:noWrap w:val="0"/>
            <w:vAlign w:val="center"/>
          </w:tcPr>
          <w:p w14:paraId="3253C657">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改善辖区内环境</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00E6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改善辖区内环境，吸引外商在岳投资发展产业，外来游客旅游及吸引外来人口定居。</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4DAE81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辖区内城市环境得到持续改善</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14417A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60A9D9B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491AF8E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辖区内城市环境精细化管理有待进一步提升，下一步加强管理，提升管理水平。</w:t>
            </w:r>
          </w:p>
        </w:tc>
      </w:tr>
      <w:tr w14:paraId="61721C7C">
        <w:tblPrEx>
          <w:tblCellMar>
            <w:top w:w="0" w:type="dxa"/>
            <w:left w:w="108" w:type="dxa"/>
            <w:bottom w:w="0" w:type="dxa"/>
            <w:right w:w="108" w:type="dxa"/>
          </w:tblCellMar>
        </w:tblPrEx>
        <w:trPr>
          <w:trHeight w:val="330" w:hRule="atLeast"/>
          <w:jc w:val="center"/>
        </w:trPr>
        <w:tc>
          <w:tcPr>
            <w:tcW w:w="1077" w:type="dxa"/>
            <w:vMerge w:val="continue"/>
            <w:tcBorders>
              <w:top w:val="single" w:color="auto" w:sz="4" w:space="0"/>
              <w:left w:val="single" w:color="auto" w:sz="4" w:space="0"/>
              <w:bottom w:val="single" w:color="auto" w:sz="4" w:space="0"/>
              <w:right w:val="single" w:color="auto" w:sz="4" w:space="0"/>
            </w:tcBorders>
            <w:noWrap w:val="0"/>
            <w:vAlign w:val="center"/>
          </w:tcPr>
          <w:p w14:paraId="394F1F3A">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p>
        </w:tc>
        <w:tc>
          <w:tcPr>
            <w:tcW w:w="1077" w:type="dxa"/>
            <w:tcBorders>
              <w:top w:val="single" w:color="auto" w:sz="4" w:space="0"/>
              <w:left w:val="single" w:color="auto" w:sz="4" w:space="0"/>
              <w:bottom w:val="single" w:color="auto" w:sz="4" w:space="0"/>
              <w:right w:val="single" w:color="auto" w:sz="4" w:space="0"/>
            </w:tcBorders>
            <w:noWrap w:val="0"/>
            <w:vAlign w:val="center"/>
          </w:tcPr>
          <w:p w14:paraId="01404B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1530D2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6CF071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0" w:type="dxa"/>
            <w:tcBorders>
              <w:top w:val="single" w:color="auto" w:sz="4" w:space="0"/>
              <w:left w:val="single" w:color="auto" w:sz="4" w:space="0"/>
              <w:bottom w:val="single" w:color="auto" w:sz="4" w:space="0"/>
              <w:right w:val="single" w:color="auto" w:sz="4" w:space="0"/>
            </w:tcBorders>
            <w:noWrap w:val="0"/>
            <w:vAlign w:val="center"/>
          </w:tcPr>
          <w:p w14:paraId="4078EC0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0F2598A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市民满意度</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34010D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≧95%</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4A73B11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98%</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11862A6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2B036CA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611CAB7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FDDC66">
        <w:tblPrEx>
          <w:tblCellMar>
            <w:top w:w="0" w:type="dxa"/>
            <w:left w:w="108" w:type="dxa"/>
            <w:bottom w:w="0" w:type="dxa"/>
            <w:right w:w="108" w:type="dxa"/>
          </w:tblCellMar>
        </w:tblPrEx>
        <w:trPr>
          <w:trHeight w:val="440" w:hRule="atLeast"/>
          <w:jc w:val="center"/>
        </w:trPr>
        <w:tc>
          <w:tcPr>
            <w:tcW w:w="7025" w:type="dxa"/>
            <w:gridSpan w:val="6"/>
            <w:tcBorders>
              <w:top w:val="single" w:color="auto" w:sz="4" w:space="0"/>
              <w:left w:val="single" w:color="auto" w:sz="4" w:space="0"/>
              <w:bottom w:val="single" w:color="auto" w:sz="4" w:space="0"/>
              <w:right w:val="single" w:color="auto" w:sz="4" w:space="0"/>
            </w:tcBorders>
            <w:noWrap w:val="0"/>
            <w:vAlign w:val="center"/>
          </w:tcPr>
          <w:p w14:paraId="22D3458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609DCB8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654917D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rPr>
              <w:t>96.</w:t>
            </w:r>
            <w:r>
              <w:rPr>
                <w:rFonts w:hint="eastAsia" w:ascii="仿宋_GB2312" w:hAnsi="仿宋_GB2312" w:eastAsia="仿宋_GB2312" w:cs="仿宋_GB2312"/>
                <w:color w:val="000000"/>
                <w:sz w:val="20"/>
                <w:szCs w:val="20"/>
                <w:highlight w:val="none"/>
                <w:lang w:val="en-US" w:eastAsia="zh-CN"/>
              </w:rPr>
              <w:t>8</w:t>
            </w:r>
          </w:p>
        </w:tc>
        <w:tc>
          <w:tcPr>
            <w:tcW w:w="1523" w:type="dxa"/>
            <w:tcBorders>
              <w:top w:val="single" w:color="auto" w:sz="4" w:space="0"/>
              <w:left w:val="single" w:color="auto" w:sz="4" w:space="0"/>
              <w:bottom w:val="single" w:color="auto" w:sz="4" w:space="0"/>
              <w:right w:val="single" w:color="auto" w:sz="4" w:space="0"/>
            </w:tcBorders>
            <w:noWrap w:val="0"/>
            <w:vAlign w:val="center"/>
          </w:tcPr>
          <w:p w14:paraId="6F5A2E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4A502315">
      <w:pPr>
        <w:keepNext w:val="0"/>
        <w:keepLines w:val="0"/>
        <w:pageBreakBefore w:val="0"/>
        <w:widowControl/>
        <w:kinsoku/>
        <w:wordWrap/>
        <w:overflowPunct/>
        <w:topLinePunct w:val="0"/>
        <w:autoSpaceDE/>
        <w:autoSpaceDN/>
        <w:bidi w:val="0"/>
        <w:adjustRightInd/>
        <w:snapToGrid/>
        <w:spacing w:after="0" w:afterLines="0" w:line="320" w:lineRule="exact"/>
        <w:jc w:val="left"/>
        <w:textAlignment w:val="auto"/>
        <w:rPr>
          <w:rFonts w:hint="default" w:ascii="Times New Roman" w:hAnsi="Times New Roman" w:eastAsia="仿宋_GB2312" w:cs="Times New Roman"/>
          <w:sz w:val="22"/>
          <w:highlight w:val="none"/>
        </w:rPr>
      </w:pPr>
    </w:p>
    <w:p w14:paraId="082F6F76">
      <w:pPr>
        <w:keepNext w:val="0"/>
        <w:keepLines w:val="0"/>
        <w:pageBreakBefore w:val="0"/>
        <w:widowControl/>
        <w:kinsoku/>
        <w:wordWrap/>
        <w:overflowPunct/>
        <w:topLinePunct w:val="0"/>
        <w:autoSpaceDE/>
        <w:autoSpaceDN/>
        <w:bidi w:val="0"/>
        <w:adjustRightInd/>
        <w:snapToGrid/>
        <w:spacing w:after="0" w:afterLines="0" w:line="320" w:lineRule="exact"/>
        <w:jc w:val="left"/>
        <w:textAlignment w:val="auto"/>
        <w:rPr>
          <w:rFonts w:hint="eastAsia" w:ascii="Times New Roman" w:hAnsi="Times New Roman" w:eastAsia="仿宋_GB2312" w:cs="Times New Roman"/>
          <w:sz w:val="22"/>
          <w:highlight w:val="none"/>
          <w:lang w:eastAsia="zh-CN"/>
        </w:rPr>
      </w:pPr>
      <w:r>
        <w:rPr>
          <w:rFonts w:hint="default" w:ascii="Times New Roman" w:hAnsi="Times New Roman" w:eastAsia="仿宋_GB2312" w:cs="Times New Roman"/>
          <w:sz w:val="22"/>
          <w:highlight w:val="none"/>
        </w:rPr>
        <w:t>填表人：</w:t>
      </w:r>
      <w:r>
        <w:rPr>
          <w:rFonts w:hint="eastAsia" w:ascii="Times New Roman" w:hAnsi="Times New Roman" w:eastAsia="仿宋_GB2312" w:cs="Times New Roman"/>
          <w:sz w:val="22"/>
          <w:highlight w:val="none"/>
          <w:lang w:eastAsia="zh-CN"/>
        </w:rPr>
        <w:t>宋婷</w:t>
      </w:r>
      <w:r>
        <w:rPr>
          <w:rFonts w:hint="default" w:ascii="Times New Roman" w:hAnsi="Times New Roman" w:eastAsia="仿宋_GB2312" w:cs="Times New Roman"/>
          <w:sz w:val="22"/>
          <w:highlight w:val="none"/>
        </w:rPr>
        <w:t xml:space="preserve"> </w:t>
      </w:r>
      <w:r>
        <w:rPr>
          <w:rFonts w:hint="eastAsia" w:ascii="Times New Roman" w:hAnsi="Times New Roman" w:eastAsia="仿宋_GB2312" w:cs="Times New Roman"/>
          <w:sz w:val="22"/>
          <w:highlight w:val="none"/>
          <w:lang w:val="en-US" w:eastAsia="zh-CN"/>
        </w:rPr>
        <w:t xml:space="preserve"> </w:t>
      </w:r>
      <w:r>
        <w:rPr>
          <w:rFonts w:hint="default" w:ascii="Times New Roman" w:hAnsi="Times New Roman" w:eastAsia="仿宋_GB2312" w:cs="Times New Roman"/>
          <w:sz w:val="22"/>
          <w:highlight w:val="none"/>
        </w:rPr>
        <w:t xml:space="preserve"> 填报日期：</w:t>
      </w:r>
      <w:r>
        <w:rPr>
          <w:rFonts w:hint="eastAsia" w:ascii="仿宋_GB2312" w:hAnsi="仿宋_GB2312" w:eastAsia="仿宋_GB2312" w:cs="仿宋_GB2312"/>
          <w:sz w:val="22"/>
          <w:highlight w:val="none"/>
          <w:lang w:val="en-US" w:eastAsia="zh-CN"/>
        </w:rPr>
        <w:t>2026.6.18</w:t>
      </w:r>
      <w:r>
        <w:rPr>
          <w:rFonts w:hint="default" w:ascii="Times New Roman" w:hAnsi="Times New Roman" w:eastAsia="仿宋_GB2312" w:cs="Times New Roman"/>
          <w:sz w:val="22"/>
          <w:highlight w:val="none"/>
        </w:rPr>
        <w:t xml:space="preserve"> </w:t>
      </w:r>
      <w:r>
        <w:rPr>
          <w:rFonts w:hint="eastAsia" w:ascii="Times New Roman" w:hAnsi="Times New Roman" w:eastAsia="仿宋_GB2312" w:cs="Times New Roman"/>
          <w:sz w:val="22"/>
          <w:highlight w:val="none"/>
          <w:lang w:val="en-US" w:eastAsia="zh-CN"/>
        </w:rPr>
        <w:t xml:space="preserve"> </w:t>
      </w:r>
      <w:r>
        <w:rPr>
          <w:rFonts w:hint="default" w:ascii="Times New Roman" w:hAnsi="Times New Roman" w:eastAsia="仿宋_GB2312" w:cs="Times New Roman"/>
          <w:sz w:val="22"/>
          <w:highlight w:val="none"/>
        </w:rPr>
        <w:t xml:space="preserve"> 联系电话：</w:t>
      </w:r>
      <w:r>
        <w:rPr>
          <w:rFonts w:hint="eastAsia" w:ascii="仿宋_GB2312" w:hAnsi="仿宋_GB2312" w:eastAsia="仿宋_GB2312" w:cs="仿宋_GB2312"/>
          <w:sz w:val="22"/>
          <w:szCs w:val="22"/>
        </w:rPr>
        <w:t>8981953</w:t>
      </w:r>
      <w:r>
        <w:rPr>
          <w:rFonts w:hint="eastAsia" w:ascii="仿宋_GB2312" w:hAnsi="仿宋_GB2312" w:eastAsia="仿宋_GB2312" w:cs="仿宋_GB2312"/>
          <w:sz w:val="24"/>
          <w:lang w:val="en-US" w:eastAsia="zh-CN"/>
        </w:rPr>
        <w:t xml:space="preserve">   </w:t>
      </w:r>
      <w:r>
        <w:rPr>
          <w:rFonts w:hint="default" w:ascii="Times New Roman" w:hAnsi="Times New Roman" w:eastAsia="仿宋_GB2312" w:cs="Times New Roman"/>
          <w:sz w:val="22"/>
          <w:highlight w:val="none"/>
        </w:rPr>
        <w:t>单位负责人：</w:t>
      </w:r>
      <w:r>
        <w:rPr>
          <w:rFonts w:hint="eastAsia" w:ascii="Times New Roman" w:hAnsi="Times New Roman" w:eastAsia="仿宋_GB2312" w:cs="Times New Roman"/>
          <w:sz w:val="22"/>
          <w:highlight w:val="none"/>
          <w:lang w:eastAsia="zh-CN"/>
        </w:rPr>
        <w:t>刘力斌</w:t>
      </w:r>
    </w:p>
    <w:p w14:paraId="3C97230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仿宋_GB2312" w:cs="Times New Roman"/>
          <w:sz w:val="22"/>
          <w:szCs w:val="22"/>
          <w:highlight w:val="none"/>
        </w:rPr>
      </w:pPr>
      <w:r>
        <w:rPr>
          <w:rFonts w:hint="default" w:ascii="Times New Roman" w:hAnsi="Times New Roman" w:eastAsia="仿宋_GB2312" w:cs="Times New Roman"/>
          <w:sz w:val="22"/>
          <w:szCs w:val="22"/>
          <w:highlight w:val="none"/>
        </w:rPr>
        <w:br w:type="page"/>
      </w:r>
    </w:p>
    <w:p w14:paraId="325C9BB5">
      <w:pPr>
        <w:jc w:val="center"/>
        <w:rPr>
          <w:rFonts w:hint="eastAsia" w:ascii="方正小标宋简体" w:hAnsi="方正小标宋简体" w:eastAsia="方正小标宋简体" w:cs="方正小标宋简体"/>
          <w:b w:val="0"/>
          <w:bCs w:val="0"/>
          <w:sz w:val="44"/>
          <w:szCs w:val="44"/>
        </w:rPr>
      </w:pPr>
    </w:p>
    <w:p w14:paraId="64AA3F55">
      <w:pPr>
        <w:keepNext w:val="0"/>
        <w:keepLines w:val="0"/>
        <w:pageBreakBefore w:val="0"/>
        <w:kinsoku/>
        <w:wordWrap/>
        <w:overflowPunct/>
        <w:topLinePunct w:val="0"/>
        <w:autoSpaceDE/>
        <w:autoSpaceDN/>
        <w:bidi w:val="0"/>
        <w:adjustRightInd/>
        <w:spacing w:line="580" w:lineRule="exact"/>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5</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color w:val="auto"/>
          <w:sz w:val="44"/>
          <w:szCs w:val="44"/>
        </w:rPr>
        <w:t>岳阳市城市管理综合行政执法支队站场执法大队</w:t>
      </w:r>
      <w:r>
        <w:rPr>
          <w:rFonts w:hint="eastAsia" w:asciiTheme="majorEastAsia" w:hAnsiTheme="majorEastAsia" w:eastAsiaTheme="majorEastAsia" w:cstheme="majorEastAsia"/>
          <w:b/>
          <w:bCs/>
          <w:sz w:val="44"/>
          <w:szCs w:val="44"/>
          <w:lang w:eastAsia="zh-CN"/>
        </w:rPr>
        <w:t>项目</w:t>
      </w:r>
      <w:r>
        <w:rPr>
          <w:rFonts w:hint="eastAsia" w:asciiTheme="majorEastAsia" w:hAnsiTheme="majorEastAsia" w:eastAsiaTheme="majorEastAsia" w:cstheme="majorEastAsia"/>
          <w:b/>
          <w:bCs/>
          <w:sz w:val="44"/>
          <w:szCs w:val="44"/>
        </w:rPr>
        <w:t>支出绩效自评报告</w:t>
      </w:r>
    </w:p>
    <w:p w14:paraId="158AC258">
      <w:pPr>
        <w:pStyle w:val="2"/>
        <w:keepNext w:val="0"/>
        <w:keepLines w:val="0"/>
        <w:pageBreakBefore w:val="0"/>
        <w:kinsoku/>
        <w:wordWrap/>
        <w:overflowPunct/>
        <w:topLinePunct w:val="0"/>
        <w:autoSpaceDE/>
        <w:autoSpaceDN/>
        <w:bidi w:val="0"/>
        <w:adjustRightInd/>
        <w:spacing w:line="580" w:lineRule="exact"/>
        <w:textAlignment w:val="auto"/>
        <w:rPr>
          <w:rFonts w:hint="eastAsia" w:ascii="方正小标宋简体" w:hAnsi="方正小标宋简体" w:eastAsia="方正小标宋简体" w:cs="方正小标宋简体"/>
          <w:b w:val="0"/>
          <w:bCs w:val="0"/>
          <w:sz w:val="32"/>
          <w:szCs w:val="32"/>
        </w:rPr>
      </w:pPr>
    </w:p>
    <w:p w14:paraId="60B340CF">
      <w:pPr>
        <w:keepNext w:val="0"/>
        <w:keepLines w:val="0"/>
        <w:pageBreakBefore w:val="0"/>
        <w:widowControl w:val="0"/>
        <w:numPr>
          <w:ilvl w:val="0"/>
          <w:numId w:val="4"/>
        </w:numPr>
        <w:kinsoku/>
        <w:wordWrap/>
        <w:overflowPunct/>
        <w:topLinePunct w:val="0"/>
        <w:autoSpaceDE/>
        <w:autoSpaceDN/>
        <w:bidi w:val="0"/>
        <w:adjustRightInd/>
        <w:snapToGrid/>
        <w:spacing w:afterLines="0" w:line="580" w:lineRule="exact"/>
        <w:ind w:right="0" w:rightChars="0" w:firstLine="643" w:firstLineChars="200"/>
        <w:jc w:val="left"/>
        <w:textAlignment w:val="auto"/>
        <w:rPr>
          <w:rFonts w:hint="eastAsia" w:ascii="黑体" w:hAnsi="黑体" w:eastAsia="黑体" w:cs="黑体"/>
          <w:b/>
          <w:bCs/>
          <w:sz w:val="32"/>
          <w:szCs w:val="32"/>
          <w:lang w:val="en" w:eastAsia="zh-CN"/>
        </w:rPr>
      </w:pPr>
      <w:r>
        <w:rPr>
          <w:rFonts w:hint="eastAsia" w:ascii="黑体" w:hAnsi="黑体" w:eastAsia="黑体" w:cs="黑体"/>
          <w:b/>
          <w:bCs/>
          <w:sz w:val="32"/>
          <w:szCs w:val="32"/>
          <w:lang w:val="en" w:eastAsia="zh-CN"/>
        </w:rPr>
        <w:t>项目基本情况</w:t>
      </w:r>
    </w:p>
    <w:p w14:paraId="30F02B63">
      <w:pPr>
        <w:keepNext w:val="0"/>
        <w:keepLines w:val="0"/>
        <w:pageBreakBefore w:val="0"/>
        <w:kinsoku/>
        <w:wordWrap/>
        <w:overflowPunct/>
        <w:topLinePunct w:val="0"/>
        <w:autoSpaceDE/>
        <w:autoSpaceDN/>
        <w:bidi w:val="0"/>
        <w:adjustRightInd/>
        <w:spacing w:line="580" w:lineRule="exact"/>
        <w:ind w:firstLine="640" w:firstLineChars="200"/>
        <w:textAlignment w:val="auto"/>
        <w:rPr>
          <w:rFonts w:hint="default" w:eastAsia="仿宋_GB2312"/>
          <w:sz w:val="32"/>
          <w:szCs w:val="32"/>
          <w:lang w:val="en-US" w:eastAsia="zh-CN"/>
        </w:rPr>
      </w:pPr>
      <w:r>
        <w:rPr>
          <w:rStyle w:val="12"/>
          <w:rFonts w:hint="eastAsia" w:ascii="仿宋_GB2312" w:hAnsi="仿宋_GB2312" w:eastAsia="仿宋_GB2312" w:cs="仿宋_GB2312"/>
          <w:sz w:val="32"/>
          <w:szCs w:val="32"/>
        </w:rPr>
        <w:t>岳阳市城市管理综合行政执法支队站场执法大队</w:t>
      </w:r>
      <w:r>
        <w:rPr>
          <w:rStyle w:val="12"/>
          <w:rFonts w:hint="eastAsia" w:ascii="仿宋_GB2312" w:hAnsi="仿宋_GB2312" w:eastAsia="仿宋_GB2312" w:cs="仿宋_GB2312"/>
          <w:sz w:val="32"/>
          <w:szCs w:val="32"/>
          <w:lang w:val="en-US" w:eastAsia="zh-CN"/>
        </w:rPr>
        <w:t>（下称“大队”）为</w:t>
      </w:r>
      <w:r>
        <w:rPr>
          <w:rStyle w:val="12"/>
          <w:rFonts w:hint="eastAsia" w:ascii="仿宋_GB2312" w:hAnsi="仿宋_GB2312" w:eastAsia="仿宋_GB2312" w:cs="仿宋_GB2312"/>
          <w:sz w:val="32"/>
          <w:szCs w:val="32"/>
        </w:rPr>
        <w:t>岳阳市城市管理综合行政执法支队</w:t>
      </w:r>
      <w:r>
        <w:rPr>
          <w:rStyle w:val="12"/>
          <w:rFonts w:hint="eastAsia" w:ascii="仿宋_GB2312" w:hAnsi="仿宋_GB2312" w:eastAsia="仿宋_GB2312" w:cs="仿宋_GB2312"/>
          <w:sz w:val="32"/>
          <w:szCs w:val="32"/>
          <w:lang w:eastAsia="zh-CN"/>
        </w:rPr>
        <w:t>直属</w:t>
      </w:r>
      <w:r>
        <w:rPr>
          <w:rStyle w:val="12"/>
          <w:rFonts w:hint="eastAsia" w:ascii="仿宋_GB2312" w:hAnsi="仿宋_GB2312" w:eastAsia="仿宋_GB2312" w:cs="仿宋_GB2312"/>
          <w:sz w:val="32"/>
          <w:szCs w:val="32"/>
          <w:lang w:val="en-US" w:eastAsia="zh-CN"/>
        </w:rPr>
        <w:t>全额拨款事业单位。本年共有2个项目，其中城管事务经费（日常工作经费）主要用于</w:t>
      </w:r>
      <w:r>
        <w:rPr>
          <w:rStyle w:val="12"/>
          <w:rFonts w:hint="eastAsia" w:ascii="仿宋_GB2312" w:hAnsi="仿宋_GB2312" w:eastAsia="仿宋_GB2312" w:cs="仿宋_GB2312"/>
          <w:sz w:val="32"/>
          <w:szCs w:val="32"/>
        </w:rPr>
        <w:t>岳阳火车站、岳阳火车东站地区的综合管理</w:t>
      </w:r>
      <w:r>
        <w:rPr>
          <w:rStyle w:val="12"/>
          <w:rFonts w:hint="eastAsia" w:ascii="仿宋_GB2312" w:hAnsi="仿宋_GB2312" w:eastAsia="仿宋_GB2312" w:cs="仿宋_GB2312"/>
          <w:sz w:val="32"/>
          <w:szCs w:val="32"/>
          <w:lang w:eastAsia="zh-CN"/>
        </w:rPr>
        <w:t>，</w:t>
      </w:r>
      <w:r>
        <w:rPr>
          <w:rStyle w:val="12"/>
          <w:rFonts w:hint="eastAsia" w:ascii="仿宋_GB2312" w:hAnsi="仿宋_GB2312" w:eastAsia="仿宋_GB2312" w:cs="仿宋_GB2312"/>
          <w:sz w:val="32"/>
          <w:szCs w:val="32"/>
        </w:rPr>
        <w:t>开展综合执法并行使相对集中行政处罚权，以及协助市春运办做好</w:t>
      </w:r>
      <w:r>
        <w:rPr>
          <w:rStyle w:val="12"/>
          <w:rFonts w:hint="eastAsia" w:ascii="仿宋_GB2312" w:hAnsi="仿宋_GB2312" w:eastAsia="仿宋_GB2312" w:cs="仿宋_GB2312"/>
          <w:sz w:val="32"/>
          <w:szCs w:val="32"/>
          <w:lang w:eastAsia="zh-CN"/>
        </w:rPr>
        <w:t>两</w:t>
      </w:r>
      <w:r>
        <w:rPr>
          <w:rStyle w:val="12"/>
          <w:rFonts w:hint="eastAsia" w:ascii="仿宋_GB2312" w:hAnsi="仿宋_GB2312" w:eastAsia="仿宋_GB2312" w:cs="仿宋_GB2312"/>
          <w:sz w:val="32"/>
          <w:szCs w:val="32"/>
        </w:rPr>
        <w:t>站</w:t>
      </w:r>
      <w:r>
        <w:rPr>
          <w:rStyle w:val="12"/>
          <w:rFonts w:hint="eastAsia" w:ascii="仿宋_GB2312" w:hAnsi="仿宋_GB2312" w:eastAsia="仿宋_GB2312" w:cs="仿宋_GB2312"/>
          <w:sz w:val="32"/>
          <w:szCs w:val="32"/>
          <w:lang w:eastAsia="zh-CN"/>
        </w:rPr>
        <w:t>地区</w:t>
      </w:r>
      <w:r>
        <w:rPr>
          <w:rStyle w:val="12"/>
          <w:rFonts w:hint="eastAsia" w:ascii="仿宋_GB2312" w:hAnsi="仿宋_GB2312" w:eastAsia="仿宋_GB2312" w:cs="仿宋_GB2312"/>
          <w:sz w:val="32"/>
          <w:szCs w:val="32"/>
        </w:rPr>
        <w:t>春运工作，拟订并组织实施岳阳火车站地区应急预案</w:t>
      </w:r>
      <w:r>
        <w:rPr>
          <w:rStyle w:val="12"/>
          <w:rFonts w:hint="eastAsia" w:ascii="仿宋_GB2312" w:hAnsi="仿宋_GB2312" w:eastAsia="仿宋_GB2312" w:cs="仿宋_GB2312"/>
          <w:sz w:val="32"/>
          <w:szCs w:val="32"/>
          <w:lang w:eastAsia="zh-CN"/>
        </w:rPr>
        <w:t>等工作经费保障</w:t>
      </w:r>
      <w:r>
        <w:rPr>
          <w:rStyle w:val="12"/>
          <w:rFonts w:hint="eastAsia" w:ascii="仿宋_GB2312" w:hAnsi="仿宋_GB2312" w:eastAsia="仿宋_GB2312" w:cs="仿宋_GB2312"/>
          <w:sz w:val="32"/>
          <w:szCs w:val="32"/>
        </w:rPr>
        <w:t>。</w:t>
      </w:r>
      <w:r>
        <w:rPr>
          <w:rStyle w:val="12"/>
          <w:rFonts w:hint="eastAsia" w:ascii="仿宋_GB2312" w:hAnsi="仿宋_GB2312" w:eastAsia="仿宋_GB2312" w:cs="仿宋_GB2312"/>
          <w:sz w:val="32"/>
          <w:szCs w:val="32"/>
          <w:lang w:eastAsia="zh-CN"/>
        </w:rPr>
        <w:t>以及</w:t>
      </w:r>
      <w:r>
        <w:rPr>
          <w:rStyle w:val="12"/>
          <w:rFonts w:hint="eastAsia" w:ascii="仿宋_GB2312" w:hAnsi="仿宋_GB2312" w:eastAsia="仿宋_GB2312" w:cs="仿宋_GB2312"/>
          <w:sz w:val="32"/>
          <w:szCs w:val="32"/>
          <w:lang w:val="en-US" w:eastAsia="zh-CN"/>
        </w:rPr>
        <w:t>机构改革后金凤桥管理处、通海路管理处、木里港管理处辖区范围内城市管理综合行政执法工作</w:t>
      </w:r>
      <w:r>
        <w:rPr>
          <w:rStyle w:val="12"/>
          <w:rFonts w:hint="eastAsia" w:ascii="仿宋_GB2312" w:hAnsi="仿宋_GB2312" w:eastAsia="仿宋_GB2312" w:cs="仿宋_GB2312"/>
          <w:sz w:val="32"/>
          <w:szCs w:val="32"/>
          <w:lang w:eastAsia="zh-CN"/>
        </w:rPr>
        <w:t>经费保障，</w:t>
      </w:r>
      <w:r>
        <w:rPr>
          <w:rStyle w:val="12"/>
          <w:rFonts w:hint="eastAsia" w:ascii="仿宋_GB2312" w:hAnsi="仿宋_GB2312" w:eastAsia="仿宋_GB2312" w:cs="仿宋_GB2312"/>
          <w:sz w:val="32"/>
          <w:szCs w:val="32"/>
          <w:lang w:val="en-US" w:eastAsia="zh-CN"/>
        </w:rPr>
        <w:t>以及火车站广场和火车东站广场水电、拖车、电瓶巡逻车辆的正常运转保障；协管员经费主要用于行政执法辅助人员工资及各类社会保障缴费支出</w:t>
      </w:r>
      <w:r>
        <w:rPr>
          <w:rFonts w:hint="eastAsia" w:ascii="仿宋_GB2312" w:hAnsi="仿宋_GB2312" w:eastAsia="仿宋_GB2312" w:cs="仿宋_GB2312"/>
          <w:color w:val="auto"/>
          <w:kern w:val="0"/>
          <w:sz w:val="32"/>
          <w:szCs w:val="32"/>
          <w:lang w:val="en-US" w:eastAsia="zh-CN"/>
        </w:rPr>
        <w:t>。</w:t>
      </w:r>
    </w:p>
    <w:p w14:paraId="5E4AA256">
      <w:pPr>
        <w:keepNext w:val="0"/>
        <w:keepLines w:val="0"/>
        <w:pageBreakBefore w:val="0"/>
        <w:numPr>
          <w:ilvl w:val="0"/>
          <w:numId w:val="4"/>
        </w:numPr>
        <w:kinsoku/>
        <w:wordWrap/>
        <w:overflowPunct/>
        <w:topLinePunct w:val="0"/>
        <w:autoSpaceDE/>
        <w:autoSpaceDN/>
        <w:bidi w:val="0"/>
        <w:adjustRightInd/>
        <w:spacing w:line="580" w:lineRule="exact"/>
        <w:ind w:left="0" w:leftChars="0"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项目资金使用及管理情况</w:t>
      </w:r>
    </w:p>
    <w:p w14:paraId="27704707">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2025年度市财政预算批复，大队项目年初预算总金额为870.00万元，本年实际支出总金额为867.99万元，其中协管员经费支出670.50万元、城管事务经费支出197.49万元，主要用于行政执法辅助协管员工资和社保支出、执法保障相关支出、法律法规宣传、法律文书制作、业务培训、拖车租赁、广场水电费及设施设备维护等支出。</w:t>
      </w:r>
    </w:p>
    <w:p w14:paraId="2C029D32">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default" w:ascii="仿宋_GB2312" w:hAnsi="仿宋_GB2312" w:eastAsia="仿宋_GB2312" w:cs="仿宋_GB2312"/>
          <w:bCs/>
          <w:sz w:val="32"/>
          <w:szCs w:val="32"/>
          <w:lang w:val="en-US" w:eastAsia="zh-CN"/>
        </w:rPr>
      </w:pPr>
      <w:r>
        <w:rPr>
          <w:rStyle w:val="12"/>
          <w:rFonts w:hint="eastAsia" w:ascii="仿宋_GB2312" w:hAnsi="仿宋_GB2312" w:eastAsia="仿宋_GB2312" w:cs="仿宋_GB2312"/>
          <w:sz w:val="32"/>
          <w:szCs w:val="32"/>
          <w:lang w:val="en-US" w:eastAsia="zh-CN"/>
        </w:rPr>
        <w:t>大队进一步修订完善了内部控制管理制度，严格按照《财务管理制度》、《内部控制手册》和《政府采购内控制度》等规章制度执行，专项资金管理经依法批准的预算执行，按照专款专用的原则，进行日常财务管理和核算，配合市财政、监察和审计等部门对项目专项资金的使用和管理情况进行监督检查，并开展绩效评价工作。</w:t>
      </w:r>
    </w:p>
    <w:p w14:paraId="00818DF8">
      <w:pPr>
        <w:keepNext w:val="0"/>
        <w:keepLines w:val="0"/>
        <w:pageBreakBefore w:val="0"/>
        <w:widowControl w:val="0"/>
        <w:numPr>
          <w:ilvl w:val="0"/>
          <w:numId w:val="4"/>
        </w:numPr>
        <w:kinsoku/>
        <w:wordWrap/>
        <w:overflowPunct/>
        <w:topLinePunct w:val="0"/>
        <w:autoSpaceDE/>
        <w:autoSpaceDN/>
        <w:bidi w:val="0"/>
        <w:adjustRightInd/>
        <w:snapToGrid/>
        <w:spacing w:afterLines="0" w:line="580" w:lineRule="exact"/>
        <w:ind w:left="0" w:leftChars="0" w:right="0" w:rightChars="0" w:firstLine="643" w:firstLineChars="200"/>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项目组织实施情况</w:t>
      </w:r>
    </w:p>
    <w:p w14:paraId="78CE6B8E">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大队内设机构设置和科室职责，实行业务归口管理，授权审批的制度，重大业务费用支出由业务科室提出申请，并进行必要的事前绩效评估后，报大队分管领导审核，送财务部确定资金来源，再呈报大队党支部研究决策，通过后按相关规定组织实施。项目实施完成后，认真履行验收程序，验收合格后再进行相关费用结算。</w:t>
      </w:r>
    </w:p>
    <w:p w14:paraId="24F0955A">
      <w:pPr>
        <w:keepNext w:val="0"/>
        <w:keepLines w:val="0"/>
        <w:pageBreakBefore w:val="0"/>
        <w:widowControl w:val="0"/>
        <w:numPr>
          <w:ilvl w:val="0"/>
          <w:numId w:val="0"/>
        </w:numPr>
        <w:kinsoku/>
        <w:wordWrap/>
        <w:overflowPunct/>
        <w:topLinePunct w:val="0"/>
        <w:autoSpaceDE/>
        <w:autoSpaceDN/>
        <w:bidi w:val="0"/>
        <w:adjustRightInd/>
        <w:snapToGrid/>
        <w:spacing w:afterLines="0" w:line="580" w:lineRule="exact"/>
        <w:ind w:leftChars="200" w:right="0" w:rightChars="0"/>
        <w:jc w:val="left"/>
        <w:textAlignment w:val="auto"/>
        <w:rPr>
          <w:rFonts w:hint="eastAsia" w:ascii="华文楷体" w:hAnsi="华文楷体" w:eastAsia="华文楷体" w:cs="华文楷体"/>
          <w:b/>
          <w:bCs/>
          <w:sz w:val="32"/>
          <w:szCs w:val="32"/>
          <w:lang w:val="en-US" w:eastAsia="zh-CN"/>
        </w:rPr>
      </w:pPr>
      <w:r>
        <w:rPr>
          <w:rFonts w:hint="eastAsia" w:ascii="黑体" w:hAnsi="黑体" w:eastAsia="黑体" w:cs="黑体"/>
          <w:b/>
          <w:bCs/>
          <w:sz w:val="32"/>
          <w:szCs w:val="32"/>
          <w:lang w:val="en-US" w:eastAsia="zh-CN"/>
        </w:rPr>
        <w:t>四、综合评价情况评价结论</w:t>
      </w:r>
    </w:p>
    <w:p w14:paraId="782D555B">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中共岳阳市委办公室 岳阳市人民政府办公室关于印发&lt;岳阳市预算绩效管理实施办法&gt;的通知》（岳办发〔2020〕4号）和《岳阳市财政局关于印发&lt;岳阳市市级预算部门绩效自评操作规程&gt;的通知》（岳财函〔2022〕209号）等相关文件精神，大队绩效评价小组结合</w:t>
      </w:r>
      <w:r>
        <w:rPr>
          <w:rFonts w:hint="eastAsia" w:ascii="仿宋_GB2312" w:hAnsi="仿宋_GB2312" w:eastAsia="仿宋_GB2312" w:cs="仿宋_GB2312"/>
          <w:sz w:val="32"/>
          <w:szCs w:val="32"/>
        </w:rPr>
        <w:t>财政部门预算批复、</w:t>
      </w:r>
      <w:r>
        <w:rPr>
          <w:rFonts w:hint="eastAsia" w:ascii="仿宋_GB2312" w:hAnsi="仿宋_GB2312" w:eastAsia="仿宋_GB2312" w:cs="仿宋_GB2312"/>
          <w:sz w:val="32"/>
          <w:szCs w:val="32"/>
          <w:lang w:eastAsia="zh-CN"/>
        </w:rPr>
        <w:t>项目绩效目标、</w:t>
      </w:r>
      <w:r>
        <w:rPr>
          <w:rFonts w:hint="eastAsia" w:ascii="仿宋_GB2312" w:hAnsi="仿宋_GB2312" w:eastAsia="仿宋_GB2312" w:cs="仿宋_GB2312"/>
          <w:sz w:val="32"/>
          <w:szCs w:val="32"/>
        </w:rPr>
        <w:t>年度预算执行情况</w:t>
      </w:r>
      <w:r>
        <w:rPr>
          <w:rFonts w:hint="eastAsia" w:ascii="仿宋_GB2312" w:hAnsi="仿宋_GB2312" w:eastAsia="仿宋_GB2312" w:cs="仿宋_GB2312"/>
          <w:sz w:val="32"/>
          <w:szCs w:val="32"/>
          <w:lang w:eastAsia="zh-CN"/>
        </w:rPr>
        <w:t>等资料认真进行了定量与定性分析，</w:t>
      </w:r>
      <w:r>
        <w:rPr>
          <w:rFonts w:hint="eastAsia" w:ascii="仿宋_GB2312" w:hAnsi="仿宋_GB2312" w:eastAsia="仿宋_GB2312" w:cs="仿宋_GB2312"/>
          <w:sz w:val="32"/>
          <w:szCs w:val="32"/>
          <w:lang w:val="en-US" w:eastAsia="zh-CN"/>
        </w:rPr>
        <w:t>一致认为2025年度项目资金管理规范，预算执行率达99.77%，遵守了相关法律法规，资金支出效益好，圆满完成了年初绩效目标，项目评价得分均在98分以上，等级均为优秀。</w:t>
      </w:r>
    </w:p>
    <w:p w14:paraId="1725010D">
      <w:pPr>
        <w:keepNext w:val="0"/>
        <w:keepLines w:val="0"/>
        <w:pageBreakBefore w:val="0"/>
        <w:widowControl w:val="0"/>
        <w:numPr>
          <w:ilvl w:val="0"/>
          <w:numId w:val="0"/>
        </w:numPr>
        <w:kinsoku/>
        <w:wordWrap/>
        <w:overflowPunct/>
        <w:topLinePunct w:val="0"/>
        <w:autoSpaceDE/>
        <w:autoSpaceDN/>
        <w:bidi w:val="0"/>
        <w:adjustRightInd/>
        <w:snapToGrid/>
        <w:spacing w:afterLines="0" w:line="580" w:lineRule="exact"/>
        <w:ind w:leftChars="200" w:right="0" w:rightChars="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五、项目主要绩效情况分析</w:t>
      </w:r>
    </w:p>
    <w:p w14:paraId="16D8DB6C">
      <w:pPr>
        <w:pStyle w:val="2"/>
        <w:bidi w:val="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聚焦主业主责，重难点问题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深入开展专项治理</w:t>
      </w:r>
      <w:r>
        <w:rPr>
          <w:rFonts w:hint="eastAsia" w:ascii="仿宋_GB2312" w:hAnsi="仿宋_GB2312" w:eastAsia="仿宋_GB2312" w:cs="仿宋_GB2312"/>
          <w:sz w:val="32"/>
          <w:szCs w:val="32"/>
          <w:lang w:eastAsia="zh-CN"/>
        </w:rPr>
        <w:t>，规范辖区内市容秩序、燃气安全等领域管理，进一步优化岳阳东站交通组织建设，有效提升岳阳东站广场的公交、出租等公共运力接驳效率。</w:t>
      </w:r>
    </w:p>
    <w:p w14:paraId="2812B69F">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市容秩序提质。一是占道经营整治。坚决打击违规占道经营行为，实施高频次、常态化的巡查执法。全年累计劝离、规范流动摊贩38800余起，规范出店经营15100余起，取缔违规露天烧烤摊点12处。二是餐饮油烟治理。累计巡查餐饮门店1259家次，督促90家4灶台以上餐饮单位安装和开启油烟净化设施，督促安装油烟净化装置16家，督促清洗油烟装置5家，整改设施异常问题20起。三是停车秩序管理。联合交警部门开展车辆违停整治，累计劝离违停车辆20000余台次。四是户外广告整治。完成辖区广告设施底数摸排，建立台账24处；户外招牌底数摸排，建立台账141处；建立建筑物屋顶棚架底数台账129处。依法拆除广告设施46块，排除隐患166处。五是禁炮工作扎实开展。组织督导辖区管理处及各社区在关键节日开展联合巡查，累计开展执法行动18次，巡查门店328家次，张贴禁燃通告320份，发放宣传资料300份，签订承诺书60份，劝阻违规燃放95起。六是燃气安全专项整治。持续聚焦城镇燃气安全风险隐患排查整治，累计开展执法检查200余次，联合检查餐饮门店累计883家次，排除隐患556家次，查处跨区域经营燃气“黑窝点”1处，扣押违规气瓶6个。检查电动自行车充电违规停放占用公共门厅、楼梯间、堵塞疏散通道和安全出口，违规“进楼入户”“飞线充电”行为，累计排查48次，制止“飞线充电”行为111次。</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是建筑垃圾整治。加大对建筑垃圾堆放点的巡查监管力度，累计巡查107国道、连接线等重点区域17次，查处违规倾倒行为14起，清理堆放点31处。</w:t>
      </w:r>
    </w:p>
    <w:p w14:paraId="4D3B7F8D">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lang w:val="en" w:eastAsia="zh-CN"/>
        </w:rPr>
        <w:t>二</w:t>
      </w:r>
      <w:r>
        <w:rPr>
          <w:rFonts w:hint="eastAsia" w:ascii="仿宋_GB2312" w:hAnsi="仿宋_GB2312" w:eastAsia="仿宋_GB2312" w:cs="仿宋_GB2312"/>
          <w:sz w:val="32"/>
          <w:szCs w:val="32"/>
          <w:lang w:val="en"/>
        </w:rPr>
        <w:t>)</w:t>
      </w:r>
      <w:r>
        <w:rPr>
          <w:rFonts w:hint="eastAsia" w:ascii="仿宋_GB2312" w:hAnsi="仿宋_GB2312" w:eastAsia="仿宋_GB2312" w:cs="仿宋_GB2312"/>
          <w:sz w:val="32"/>
          <w:szCs w:val="32"/>
          <w:lang w:val="en" w:eastAsia="zh-CN"/>
        </w:rPr>
        <w:t>开展专项整治行动。一是</w:t>
      </w:r>
      <w:r>
        <w:rPr>
          <w:rFonts w:hint="eastAsia" w:ascii="仿宋_GB2312" w:hAnsi="仿宋_GB2312" w:eastAsia="仿宋_GB2312" w:cs="仿宋_GB2312"/>
          <w:sz w:val="32"/>
          <w:szCs w:val="32"/>
        </w:rPr>
        <w:t>打非治违强力整治。开始为期一百天的喊客拉客、非法运营和交通秩序联合执法工作。期间开展联合执法行动80余次，出动执法人员千余人次，查处网约车6台次，黑车9台次，日均劝离喊客拉客人员达30人次，累计对22名喊客拉客人员建档监管，其中2名喊客拉客人员被移送至公安机关处罚。联合公安、交通等部门启动两站地区专项整治。开展联合执法行动109次，出动执法人员1200余人次，累计查处非法运营车辆21台次。同时，针对城区共享电动车违规行为联合相关部门开展联合整治。已拉黑处理1682个骑行账户，开展宣传活动13次，发放宣传手册6500余份。</w:t>
      </w:r>
      <w:r>
        <w:rPr>
          <w:rFonts w:hint="eastAsia" w:ascii="仿宋_GB2312" w:hAnsi="仿宋_GB2312" w:eastAsia="仿宋_GB2312" w:cs="仿宋_GB2312"/>
          <w:sz w:val="32"/>
          <w:szCs w:val="32"/>
          <w:lang w:val="en" w:eastAsia="zh-CN"/>
        </w:rPr>
        <w:t>二是</w:t>
      </w:r>
      <w:r>
        <w:rPr>
          <w:rFonts w:hint="eastAsia" w:ascii="仿宋_GB2312" w:hAnsi="仿宋_GB2312" w:eastAsia="仿宋_GB2312" w:cs="仿宋_GB2312"/>
          <w:sz w:val="32"/>
          <w:szCs w:val="32"/>
        </w:rPr>
        <w:t>东站交通组织优化改造。通过扩建下客车道、扩容出租车通道、调整公交车入场线路、增设智慧公厕、实施路面翻新等措施推动解决车流组织不畅、出租车候客满溢、停车设施不足等问题，有力提升了岳阳东站广场的公交、出租等公共运力接驳效率。</w:t>
      </w:r>
      <w:r>
        <w:rPr>
          <w:rFonts w:hint="eastAsia" w:ascii="仿宋_GB2312" w:hAnsi="仿宋_GB2312" w:eastAsia="仿宋_GB2312" w:cs="仿宋_GB2312"/>
          <w:sz w:val="32"/>
          <w:szCs w:val="32"/>
          <w:lang w:val="en" w:eastAsia="zh-CN"/>
        </w:rPr>
        <w:t>三是</w:t>
      </w:r>
      <w:r>
        <w:rPr>
          <w:rFonts w:hint="eastAsia" w:ascii="仿宋_GB2312" w:hAnsi="仿宋_GB2312" w:eastAsia="仿宋_GB2312" w:cs="仿宋_GB2312"/>
          <w:sz w:val="32"/>
          <w:szCs w:val="32"/>
        </w:rPr>
        <w:t>建筑垃圾技防设施建设。为有效遏制建筑垃圾违规倾倒问题，我大队创新监管模式，采取“视频监控+人工巡查”相结合的方式，实现精准执法、高效治理。</w:t>
      </w:r>
      <w:r>
        <w:rPr>
          <w:rFonts w:hint="eastAsia" w:ascii="仿宋_GB2312" w:hAnsi="仿宋_GB2312" w:eastAsia="仿宋_GB2312" w:cs="仿宋_GB2312"/>
          <w:sz w:val="32"/>
          <w:szCs w:val="32"/>
          <w:lang w:val="en" w:eastAsia="zh-CN"/>
        </w:rPr>
        <w:t>四是</w:t>
      </w:r>
      <w:r>
        <w:rPr>
          <w:rFonts w:hint="eastAsia" w:ascii="仿宋_GB2312" w:hAnsi="仿宋_GB2312" w:eastAsia="仿宋_GB2312" w:cs="仿宋_GB2312"/>
          <w:sz w:val="32"/>
          <w:szCs w:val="32"/>
        </w:rPr>
        <w:t>是规范马路市场管理。联合管理处及社区力量，对辖区内茶山、翠碧山庄两处马路市场开展了专项整治行动。累计向摊贩发放告知书100余份，下达责令改正违法行为通知书15份，登记保存三轮车等物品3件。</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中南市场</w:t>
      </w:r>
      <w:r>
        <w:rPr>
          <w:rFonts w:hint="eastAsia" w:ascii="仿宋_GB2312" w:hAnsi="仿宋_GB2312" w:eastAsia="仿宋_GB2312" w:cs="仿宋_GB2312"/>
          <w:sz w:val="32"/>
          <w:szCs w:val="32"/>
          <w:lang w:eastAsia="zh-CN"/>
        </w:rPr>
        <w:t>周边进行</w:t>
      </w:r>
      <w:r>
        <w:rPr>
          <w:rFonts w:hint="eastAsia" w:ascii="仿宋_GB2312" w:hAnsi="仿宋_GB2312" w:eastAsia="仿宋_GB2312" w:cs="仿宋_GB2312"/>
          <w:sz w:val="32"/>
          <w:szCs w:val="32"/>
        </w:rPr>
        <w:t>专项整治，累计发放并下达各类执法文书156份，拆除违规伸缩棚30个、清理违规搭建篷布289家，彻底打通市场及周边公共区域的消防通道。</w:t>
      </w:r>
    </w:p>
    <w:p w14:paraId="2CA18F07">
      <w:pPr>
        <w:pStyle w:val="2"/>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重大活动保障任务。2025湘超联赛岳阳赛区赛事以及省第二届人力资源服务业发展大会举行期间，我大队提前部署，针对赛事及活动特点制定详细保障方案，圆满完成保障服务。</w:t>
      </w:r>
    </w:p>
    <w:p w14:paraId="2A0B6398">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城市管理综合行政执法工作的扎实开展，</w:t>
      </w:r>
      <w:r>
        <w:rPr>
          <w:rFonts w:hint="eastAsia" w:ascii="仿宋_GB2312" w:hAnsi="仿宋_GB2312" w:eastAsia="仿宋_GB2312" w:cs="仿宋_GB2312"/>
          <w:sz w:val="32"/>
          <w:szCs w:val="32"/>
          <w:lang w:eastAsia="zh-CN"/>
        </w:rPr>
        <w:t>火车站两站地区和</w:t>
      </w:r>
      <w:r>
        <w:rPr>
          <w:rFonts w:hint="eastAsia" w:ascii="仿宋_GB2312" w:hAnsi="仿宋_GB2312" w:eastAsia="仿宋_GB2312" w:cs="仿宋_GB2312"/>
          <w:sz w:val="32"/>
          <w:szCs w:val="32"/>
          <w:lang w:val="en-US" w:eastAsia="zh-CN"/>
        </w:rPr>
        <w:t>金凤桥管理处、通海路管理处、木里港管理处辖区范围内市容市貌明显改观，城市整体形象不断提升，大大改善了城市人居环境，有效助力了旅游业发展，为我市建设全国文明城市奠定了基础。</w:t>
      </w:r>
    </w:p>
    <w:p w14:paraId="1522E8C7">
      <w:pPr>
        <w:keepNext w:val="0"/>
        <w:keepLines w:val="0"/>
        <w:pageBreakBefore w:val="0"/>
        <w:widowControl w:val="0"/>
        <w:numPr>
          <w:ilvl w:val="0"/>
          <w:numId w:val="0"/>
        </w:numPr>
        <w:kinsoku/>
        <w:wordWrap/>
        <w:overflowPunct/>
        <w:topLinePunct w:val="0"/>
        <w:autoSpaceDE/>
        <w:autoSpaceDN/>
        <w:bidi w:val="0"/>
        <w:adjustRightInd/>
        <w:snapToGrid/>
        <w:spacing w:afterLines="0" w:line="580" w:lineRule="exact"/>
        <w:ind w:leftChars="200" w:right="0" w:rightChars="0"/>
        <w:jc w:val="left"/>
        <w:textAlignment w:val="auto"/>
        <w:rPr>
          <w:rFonts w:hint="eastAsia" w:ascii="方正楷体_GBK" w:hAnsi="方正楷体_GBK" w:eastAsia="方正楷体_GBK" w:cs="方正楷体_GBK"/>
          <w:b/>
          <w:bCs/>
          <w:color w:val="auto"/>
          <w:sz w:val="32"/>
          <w:szCs w:val="32"/>
          <w:lang w:val="en-US" w:eastAsia="zh-CN"/>
        </w:rPr>
      </w:pPr>
      <w:r>
        <w:rPr>
          <w:rFonts w:hint="eastAsia" w:ascii="黑体" w:hAnsi="黑体" w:eastAsia="黑体" w:cs="黑体"/>
          <w:b/>
          <w:bCs/>
          <w:color w:val="auto"/>
          <w:sz w:val="32"/>
          <w:szCs w:val="32"/>
          <w:lang w:val="en-US" w:eastAsia="zh-CN"/>
        </w:rPr>
        <w:t>六、存在的问题和下一步工作计划</w:t>
      </w:r>
    </w:p>
    <w:p w14:paraId="5D1E1387">
      <w:pPr>
        <w:pStyle w:val="2"/>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（一）存在执法装备不足</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执法车辆老旧的问题，影响执法效率和效果。下一步大队将</w:t>
      </w:r>
      <w:r>
        <w:rPr>
          <w:rFonts w:hint="eastAsia" w:ascii="仿宋_GB2312" w:hAnsi="仿宋_GB2312" w:eastAsia="仿宋_GB2312" w:cs="仿宋_GB2312"/>
          <w:sz w:val="32"/>
          <w:szCs w:val="32"/>
          <w:lang w:val="en-US" w:eastAsia="zh-CN"/>
        </w:rPr>
        <w:t>加强与财政及相关职能部门的对接，及时补充执法装备，更新执法车辆。</w:t>
      </w:r>
    </w:p>
    <w:p w14:paraId="07CCF0D2">
      <w:pPr>
        <w:pStyle w:val="2"/>
        <w:bidi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（二）部门协同管理方面有待加强。下一步将加强与公安、交通、社区等部门的联动，通过信息共享、职能互补、党建引领、法治保障等多维度加大管理力度，形成高效协同的城市治理体系。</w:t>
      </w:r>
    </w:p>
    <w:p w14:paraId="54D16598">
      <w:pPr>
        <w:pStyle w:val="2"/>
        <w:bidi w:val="0"/>
        <w:rPr>
          <w:rFonts w:hint="eastAsia" w:ascii="仿宋_GB2312" w:hAnsi="仿宋_GB2312" w:eastAsia="仿宋_GB2312" w:cs="仿宋_GB2312"/>
          <w:sz w:val="32"/>
          <w:szCs w:val="32"/>
          <w:lang w:val="en-US" w:eastAsia="zh-CN"/>
        </w:rPr>
      </w:pPr>
    </w:p>
    <w:p w14:paraId="357A0686">
      <w:pPr>
        <w:pStyle w:val="2"/>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年度项目支出绩效自评表（</w:t>
      </w:r>
      <w:r>
        <w:rPr>
          <w:rFonts w:hint="eastAsia" w:ascii="仿宋_GB2312" w:hAnsi="仿宋_GB2312" w:eastAsia="仿宋_GB2312" w:cs="仿宋_GB2312"/>
          <w:sz w:val="32"/>
          <w:szCs w:val="32"/>
          <w:lang w:val="en-US" w:eastAsia="zh-CN"/>
        </w:rPr>
        <w:t>1-1至1-2</w:t>
      </w:r>
      <w:r>
        <w:rPr>
          <w:rFonts w:hint="eastAsia" w:ascii="仿宋_GB2312" w:hAnsi="仿宋_GB2312" w:eastAsia="仿宋_GB2312" w:cs="仿宋_GB2312"/>
          <w:sz w:val="32"/>
          <w:szCs w:val="32"/>
        </w:rPr>
        <w:t>）</w:t>
      </w:r>
    </w:p>
    <w:p w14:paraId="2C5F74A2">
      <w:pPr>
        <w:pStyle w:val="2"/>
        <w:bidi w:val="0"/>
        <w:rPr>
          <w:rFonts w:hint="eastAsia" w:ascii="仿宋_GB2312" w:hAnsi="仿宋_GB2312" w:eastAsia="仿宋_GB2312" w:cs="仿宋_GB2312"/>
          <w:sz w:val="32"/>
          <w:szCs w:val="32"/>
        </w:rPr>
      </w:pPr>
    </w:p>
    <w:p w14:paraId="79C0A494">
      <w:pPr>
        <w:keepNext w:val="0"/>
        <w:keepLines w:val="0"/>
        <w:pageBreakBefore w:val="0"/>
        <w:kinsoku/>
        <w:wordWrap/>
        <w:overflowPunct/>
        <w:topLinePunct w:val="0"/>
        <w:autoSpaceDE/>
        <w:autoSpaceDN/>
        <w:bidi w:val="0"/>
        <w:adjustRightInd/>
        <w:spacing w:after="120" w:afterLines="50" w:line="580" w:lineRule="exact"/>
        <w:jc w:val="left"/>
        <w:textAlignment w:val="auto"/>
        <w:rPr>
          <w:rFonts w:hint="eastAsia" w:ascii="仿宋_GB2312" w:hAnsi="仿宋_GB2312" w:eastAsia="仿宋_GB2312" w:cs="仿宋_GB2312"/>
          <w:sz w:val="32"/>
          <w:szCs w:val="32"/>
        </w:rPr>
      </w:pPr>
    </w:p>
    <w:p w14:paraId="1922D1F4">
      <w:pPr>
        <w:keepNext w:val="0"/>
        <w:keepLines w:val="0"/>
        <w:pageBreakBefore w:val="0"/>
        <w:kinsoku/>
        <w:wordWrap/>
        <w:overflowPunct/>
        <w:topLinePunct w:val="0"/>
        <w:autoSpaceDE/>
        <w:autoSpaceDN/>
        <w:bidi w:val="0"/>
        <w:adjustRightInd/>
        <w:spacing w:line="580" w:lineRule="exact"/>
        <w:ind w:firstLine="960" w:firstLineChars="300"/>
        <w:jc w:val="right"/>
        <w:textAlignment w:val="auto"/>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rPr>
        <w:t>岳阳市城市管理综合行政执法支队</w:t>
      </w:r>
      <w:r>
        <w:rPr>
          <w:rFonts w:hint="eastAsia" w:ascii="仿宋_GB2312" w:hAnsi="仿宋_GB2312" w:eastAsia="仿宋_GB2312" w:cs="仿宋_GB2312"/>
          <w:color w:val="000000"/>
          <w:sz w:val="32"/>
          <w:szCs w:val="32"/>
          <w:u w:val="none"/>
          <w:lang w:eastAsia="zh-CN"/>
        </w:rPr>
        <w:t>站场大队</w:t>
      </w:r>
    </w:p>
    <w:p w14:paraId="7AA4DA9A">
      <w:pPr>
        <w:pStyle w:val="3"/>
        <w:keepNext w:val="0"/>
        <w:keepLines w:val="0"/>
        <w:pageBreakBefore w:val="0"/>
        <w:kinsoku/>
        <w:wordWrap/>
        <w:overflowPunct/>
        <w:topLinePunct w:val="0"/>
        <w:autoSpaceDE/>
        <w:autoSpaceDN/>
        <w:bidi w:val="0"/>
        <w:adjustRightInd/>
        <w:spacing w:line="580" w:lineRule="exact"/>
        <w:ind w:left="0" w:leftChars="0" w:firstLine="4480" w:firstLineChars="1400"/>
        <w:jc w:val="both"/>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202</w:t>
      </w:r>
      <w:r>
        <w:rPr>
          <w:rFonts w:hint="eastAsia" w:ascii="仿宋_GB2312" w:hAnsi="仿宋_GB2312" w:eastAsia="仿宋_GB2312" w:cs="仿宋_GB2312"/>
          <w:color w:val="000000"/>
          <w:sz w:val="32"/>
          <w:szCs w:val="32"/>
          <w:u w:val="none"/>
          <w:lang w:val="en" w:eastAsia="zh-CN"/>
        </w:rPr>
        <w:t>6</w:t>
      </w:r>
      <w:r>
        <w:rPr>
          <w:rFonts w:hint="eastAsia" w:ascii="仿宋_GB2312" w:hAnsi="仿宋_GB2312" w:eastAsia="仿宋_GB2312" w:cs="仿宋_GB2312"/>
          <w:color w:val="000000"/>
          <w:sz w:val="32"/>
          <w:szCs w:val="32"/>
          <w:u w:val="none"/>
          <w:lang w:val="en-US" w:eastAsia="zh-CN"/>
        </w:rPr>
        <w:t>年6月18日</w:t>
      </w:r>
    </w:p>
    <w:p w14:paraId="339FAD17">
      <w:pPr>
        <w:rPr>
          <w:rFonts w:hint="eastAsia" w:ascii="仿宋_GB2312" w:hAnsi="仿宋_GB2312" w:eastAsia="仿宋_GB2312" w:cs="仿宋_GB2312"/>
          <w:color w:val="000000"/>
          <w:sz w:val="32"/>
          <w:szCs w:val="32"/>
          <w:u w:val="none"/>
          <w:lang w:val="en-US" w:eastAsia="zh-CN"/>
        </w:rPr>
      </w:pPr>
    </w:p>
    <w:p w14:paraId="3FF980E8">
      <w:pPr>
        <w:pStyle w:val="2"/>
        <w:rPr>
          <w:rFonts w:hint="eastAsia" w:ascii="仿宋_GB2312" w:hAnsi="仿宋_GB2312" w:eastAsia="仿宋_GB2312" w:cs="仿宋_GB2312"/>
          <w:color w:val="000000"/>
          <w:sz w:val="32"/>
          <w:szCs w:val="32"/>
          <w:u w:val="none"/>
          <w:lang w:val="en-US" w:eastAsia="zh-CN"/>
        </w:rPr>
      </w:pPr>
    </w:p>
    <w:p w14:paraId="6ACC9301">
      <w:pPr>
        <w:pStyle w:val="3"/>
        <w:rPr>
          <w:rFonts w:hint="eastAsia" w:ascii="仿宋_GB2312" w:hAnsi="仿宋_GB2312" w:eastAsia="仿宋_GB2312" w:cs="仿宋_GB2312"/>
          <w:color w:val="000000"/>
          <w:sz w:val="32"/>
          <w:szCs w:val="32"/>
          <w:u w:val="none"/>
          <w:lang w:val="en-US" w:eastAsia="zh-CN"/>
        </w:rPr>
      </w:pPr>
    </w:p>
    <w:p w14:paraId="268FC851">
      <w:pPr>
        <w:rPr>
          <w:rFonts w:hint="eastAsia"/>
          <w:lang w:eastAsia="zh-CN"/>
        </w:rPr>
      </w:pPr>
    </w:p>
    <w:p w14:paraId="6A5FC7F2">
      <w:pPr>
        <w:pStyle w:val="2"/>
        <w:rPr>
          <w:rFonts w:hint="eastAsia"/>
          <w:lang w:eastAsia="zh-CN"/>
        </w:rPr>
      </w:pPr>
    </w:p>
    <w:p w14:paraId="14B5BD82">
      <w:pPr>
        <w:pStyle w:val="3"/>
        <w:rPr>
          <w:rFonts w:hint="eastAsia"/>
          <w:lang w:eastAsia="zh-CN"/>
        </w:rPr>
      </w:pPr>
    </w:p>
    <w:p w14:paraId="221D37F7">
      <w:pPr>
        <w:rPr>
          <w:rFonts w:hint="eastAsia"/>
          <w:lang w:eastAsia="zh-CN"/>
        </w:rPr>
      </w:pPr>
    </w:p>
    <w:p w14:paraId="5CC4F470">
      <w:pPr>
        <w:pStyle w:val="2"/>
        <w:rPr>
          <w:rFonts w:hint="eastAsia"/>
          <w:lang w:eastAsia="zh-CN"/>
        </w:rPr>
      </w:pPr>
    </w:p>
    <w:p w14:paraId="02441D79">
      <w:pPr>
        <w:pStyle w:val="3"/>
        <w:rPr>
          <w:rFonts w:hint="eastAsia"/>
          <w:lang w:eastAsia="zh-CN"/>
        </w:rPr>
      </w:pPr>
    </w:p>
    <w:p w14:paraId="68043C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仿宋_GB2312" w:cs="Times New Roman"/>
          <w:sz w:val="22"/>
          <w:szCs w:val="22"/>
          <w:highlight w:val="none"/>
        </w:rPr>
      </w:pPr>
    </w:p>
    <w:p w14:paraId="31356DB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仿宋_GB2312" w:cs="Times New Roman"/>
          <w:sz w:val="22"/>
          <w:szCs w:val="22"/>
          <w:highlight w:val="none"/>
        </w:rPr>
      </w:pPr>
    </w:p>
    <w:p w14:paraId="191357E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1-1</w:t>
      </w:r>
    </w:p>
    <w:p w14:paraId="701664BF">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default" w:ascii="方正小标宋简体" w:hAnsi="方正小标宋简体" w:eastAsia="方正小标宋简体" w:cs="方正小标宋简体"/>
          <w:color w:val="000000"/>
          <w:sz w:val="36"/>
          <w:szCs w:val="36"/>
          <w:highlight w:val="none"/>
          <w:lang w:val="en"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p w14:paraId="11A8FF10">
      <w:pPr>
        <w:pStyle w:val="2"/>
        <w:rPr>
          <w:rFonts w:hint="eastAsia"/>
        </w:rPr>
      </w:pPr>
    </w:p>
    <w:tbl>
      <w:tblPr>
        <w:tblStyle w:val="8"/>
        <w:tblW w:w="9851" w:type="dxa"/>
        <w:jc w:val="center"/>
        <w:tblLayout w:type="autofit"/>
        <w:tblCellMar>
          <w:top w:w="0" w:type="dxa"/>
          <w:left w:w="108" w:type="dxa"/>
          <w:bottom w:w="0" w:type="dxa"/>
          <w:right w:w="108" w:type="dxa"/>
        </w:tblCellMar>
      </w:tblPr>
      <w:tblGrid>
        <w:gridCol w:w="1080"/>
        <w:gridCol w:w="1080"/>
        <w:gridCol w:w="1080"/>
        <w:gridCol w:w="1224"/>
        <w:gridCol w:w="1134"/>
        <w:gridCol w:w="1230"/>
        <w:gridCol w:w="732"/>
        <w:gridCol w:w="873"/>
        <w:gridCol w:w="1418"/>
      </w:tblGrid>
      <w:tr w14:paraId="1251E1B7">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E43F1D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110C3BB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11853E2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
              </w:rPr>
            </w:pPr>
            <w:r>
              <w:rPr>
                <w:rFonts w:hint="eastAsia" w:ascii="仿宋_GB2312" w:hAnsi="仿宋_GB2312" w:eastAsia="仿宋_GB2312" w:cs="仿宋_GB2312"/>
                <w:sz w:val="20"/>
                <w:szCs w:val="20"/>
              </w:rPr>
              <w:t>协管员经费</w:t>
            </w:r>
            <w:r>
              <w:rPr>
                <w:rFonts w:hint="default" w:ascii="仿宋_GB2312" w:hAnsi="仿宋_GB2312" w:eastAsia="仿宋_GB2312" w:cs="仿宋_GB2312"/>
                <w:sz w:val="20"/>
                <w:szCs w:val="20"/>
                <w:lang w:val="en"/>
              </w:rPr>
              <w:t>(其他人员类支出)</w:t>
            </w:r>
          </w:p>
        </w:tc>
      </w:tr>
      <w:tr w14:paraId="479C7278">
        <w:tblPrEx>
          <w:tblCellMar>
            <w:top w:w="0" w:type="dxa"/>
            <w:left w:w="108" w:type="dxa"/>
            <w:bottom w:w="0" w:type="dxa"/>
            <w:right w:w="108" w:type="dxa"/>
          </w:tblCellMar>
        </w:tblPrEx>
        <w:trPr>
          <w:trHeight w:val="492" w:hRule="atLeast"/>
          <w:jc w:val="center"/>
        </w:trPr>
        <w:tc>
          <w:tcPr>
            <w:tcW w:w="1080" w:type="dxa"/>
            <w:tcBorders>
              <w:top w:val="nil"/>
              <w:left w:val="single" w:color="auto" w:sz="4" w:space="0"/>
              <w:bottom w:val="single" w:color="auto" w:sz="4" w:space="0"/>
              <w:right w:val="single" w:color="auto" w:sz="4" w:space="0"/>
            </w:tcBorders>
            <w:noWrap w:val="0"/>
            <w:vAlign w:val="center"/>
          </w:tcPr>
          <w:p w14:paraId="2167C61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5CD9EA1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sz w:val="20"/>
                <w:szCs w:val="20"/>
              </w:rPr>
              <w:t>岳阳市城市管理综合行政执法支队</w:t>
            </w:r>
          </w:p>
        </w:tc>
        <w:tc>
          <w:tcPr>
            <w:tcW w:w="1230" w:type="dxa"/>
            <w:tcBorders>
              <w:top w:val="single" w:color="auto" w:sz="4" w:space="0"/>
              <w:left w:val="nil"/>
              <w:bottom w:val="single" w:color="auto" w:sz="4" w:space="0"/>
              <w:right w:val="single" w:color="000000" w:sz="4" w:space="0"/>
            </w:tcBorders>
            <w:noWrap w:val="0"/>
            <w:vAlign w:val="center"/>
          </w:tcPr>
          <w:p w14:paraId="19A9877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实施单位</w:t>
            </w:r>
          </w:p>
        </w:tc>
        <w:tc>
          <w:tcPr>
            <w:tcW w:w="3023" w:type="dxa"/>
            <w:gridSpan w:val="3"/>
            <w:tcBorders>
              <w:top w:val="single" w:color="auto" w:sz="4" w:space="0"/>
              <w:left w:val="nil"/>
              <w:bottom w:val="single" w:color="auto" w:sz="4" w:space="0"/>
              <w:right w:val="single" w:color="auto" w:sz="4" w:space="0"/>
            </w:tcBorders>
            <w:noWrap w:val="0"/>
            <w:vAlign w:val="center"/>
          </w:tcPr>
          <w:p w14:paraId="27CDA7A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sz w:val="20"/>
                <w:szCs w:val="20"/>
              </w:rPr>
              <w:t>岳阳市城市管理综合行政执法支队站场执法大队</w:t>
            </w:r>
          </w:p>
        </w:tc>
      </w:tr>
      <w:tr w14:paraId="4BC1DC65">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7146CF2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315B4BF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2CA81B2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4A5E084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17AD22E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7441BDD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30" w:type="dxa"/>
            <w:tcBorders>
              <w:top w:val="nil"/>
              <w:left w:val="nil"/>
              <w:bottom w:val="single" w:color="auto" w:sz="4" w:space="0"/>
              <w:right w:val="single" w:color="auto" w:sz="4" w:space="0"/>
            </w:tcBorders>
            <w:noWrap w:val="0"/>
            <w:vAlign w:val="center"/>
          </w:tcPr>
          <w:p w14:paraId="070D6FF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4B3B61F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32" w:type="dxa"/>
            <w:tcBorders>
              <w:top w:val="nil"/>
              <w:left w:val="nil"/>
              <w:bottom w:val="single" w:color="auto" w:sz="4" w:space="0"/>
              <w:right w:val="single" w:color="auto" w:sz="4" w:space="0"/>
            </w:tcBorders>
            <w:noWrap w:val="0"/>
            <w:vAlign w:val="center"/>
          </w:tcPr>
          <w:p w14:paraId="070693B8">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4A1161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31C737B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26204918">
        <w:tblPrEx>
          <w:tblCellMar>
            <w:top w:w="0" w:type="dxa"/>
            <w:left w:w="108" w:type="dxa"/>
            <w:bottom w:w="0" w:type="dxa"/>
            <w:right w:w="108" w:type="dxa"/>
          </w:tblCellMar>
        </w:tblPrEx>
        <w:trPr>
          <w:trHeight w:val="504"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1D81F6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B91A8E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1A8C02A6">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rPr>
              <w:t>670.50</w:t>
            </w:r>
          </w:p>
        </w:tc>
        <w:tc>
          <w:tcPr>
            <w:tcW w:w="1134" w:type="dxa"/>
            <w:tcBorders>
              <w:top w:val="nil"/>
              <w:left w:val="nil"/>
              <w:bottom w:val="single" w:color="auto" w:sz="4" w:space="0"/>
              <w:right w:val="single" w:color="auto" w:sz="4" w:space="0"/>
            </w:tcBorders>
            <w:noWrap w:val="0"/>
            <w:vAlign w:val="center"/>
          </w:tcPr>
          <w:p w14:paraId="1E04423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rPr>
              <w:t>670.50</w:t>
            </w:r>
          </w:p>
        </w:tc>
        <w:tc>
          <w:tcPr>
            <w:tcW w:w="1230" w:type="dxa"/>
            <w:tcBorders>
              <w:top w:val="nil"/>
              <w:left w:val="nil"/>
              <w:bottom w:val="single" w:color="auto" w:sz="4" w:space="0"/>
              <w:right w:val="single" w:color="auto" w:sz="4" w:space="0"/>
            </w:tcBorders>
            <w:noWrap w:val="0"/>
            <w:vAlign w:val="center"/>
          </w:tcPr>
          <w:p w14:paraId="24301E82">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rPr>
              <w:t>670.50</w:t>
            </w:r>
          </w:p>
        </w:tc>
        <w:tc>
          <w:tcPr>
            <w:tcW w:w="732" w:type="dxa"/>
            <w:tcBorders>
              <w:top w:val="nil"/>
              <w:left w:val="nil"/>
              <w:bottom w:val="single" w:color="auto" w:sz="4" w:space="0"/>
              <w:right w:val="single" w:color="auto" w:sz="4" w:space="0"/>
            </w:tcBorders>
            <w:noWrap w:val="0"/>
            <w:vAlign w:val="center"/>
          </w:tcPr>
          <w:p w14:paraId="292BBD5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63B379D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6422782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r>
      <w:tr w14:paraId="6E919E7D">
        <w:tblPrEx>
          <w:tblCellMar>
            <w:top w:w="0" w:type="dxa"/>
            <w:left w:w="108" w:type="dxa"/>
            <w:bottom w:w="0" w:type="dxa"/>
            <w:right w:w="108" w:type="dxa"/>
          </w:tblCellMar>
        </w:tblPrEx>
        <w:trPr>
          <w:trHeight w:val="507"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220C24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D69EC2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73EB5E0C">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rPr>
              <w:t>670.50</w:t>
            </w:r>
          </w:p>
        </w:tc>
        <w:tc>
          <w:tcPr>
            <w:tcW w:w="1134" w:type="dxa"/>
            <w:tcBorders>
              <w:top w:val="nil"/>
              <w:left w:val="nil"/>
              <w:bottom w:val="single" w:color="auto" w:sz="4" w:space="0"/>
              <w:right w:val="single" w:color="auto" w:sz="4" w:space="0"/>
            </w:tcBorders>
            <w:noWrap w:val="0"/>
            <w:vAlign w:val="center"/>
          </w:tcPr>
          <w:p w14:paraId="1D52EC0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rPr>
              <w:t>670.50</w:t>
            </w:r>
          </w:p>
        </w:tc>
        <w:tc>
          <w:tcPr>
            <w:tcW w:w="1230" w:type="dxa"/>
            <w:tcBorders>
              <w:top w:val="nil"/>
              <w:left w:val="nil"/>
              <w:bottom w:val="single" w:color="auto" w:sz="4" w:space="0"/>
              <w:right w:val="single" w:color="auto" w:sz="4" w:space="0"/>
            </w:tcBorders>
            <w:noWrap w:val="0"/>
            <w:vAlign w:val="center"/>
          </w:tcPr>
          <w:p w14:paraId="576431B7">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rPr>
              <w:t>670.50</w:t>
            </w:r>
          </w:p>
        </w:tc>
        <w:tc>
          <w:tcPr>
            <w:tcW w:w="732" w:type="dxa"/>
            <w:tcBorders>
              <w:top w:val="nil"/>
              <w:left w:val="nil"/>
              <w:bottom w:val="single" w:color="auto" w:sz="4" w:space="0"/>
              <w:right w:val="single" w:color="auto" w:sz="4" w:space="0"/>
            </w:tcBorders>
            <w:noWrap w:val="0"/>
            <w:vAlign w:val="center"/>
          </w:tcPr>
          <w:p w14:paraId="5A16E81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rPr>
            </w:pPr>
          </w:p>
        </w:tc>
        <w:tc>
          <w:tcPr>
            <w:tcW w:w="873" w:type="dxa"/>
            <w:tcBorders>
              <w:top w:val="nil"/>
              <w:left w:val="nil"/>
              <w:bottom w:val="single" w:color="auto" w:sz="4" w:space="0"/>
              <w:right w:val="single" w:color="auto" w:sz="4" w:space="0"/>
            </w:tcBorders>
            <w:noWrap w:val="0"/>
            <w:vAlign w:val="center"/>
          </w:tcPr>
          <w:p w14:paraId="17F1EB7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76CB827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3EDD50A">
        <w:tblPrEx>
          <w:tblCellMar>
            <w:top w:w="0" w:type="dxa"/>
            <w:left w:w="108" w:type="dxa"/>
            <w:bottom w:w="0" w:type="dxa"/>
            <w:right w:w="108" w:type="dxa"/>
          </w:tblCellMar>
        </w:tblPrEx>
        <w:trPr>
          <w:trHeight w:val="43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B5DD20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AD7E8A8">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3FEC09B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134" w:type="dxa"/>
            <w:tcBorders>
              <w:top w:val="nil"/>
              <w:left w:val="nil"/>
              <w:bottom w:val="single" w:color="auto" w:sz="4" w:space="0"/>
              <w:right w:val="single" w:color="auto" w:sz="4" w:space="0"/>
            </w:tcBorders>
            <w:noWrap w:val="0"/>
            <w:vAlign w:val="center"/>
          </w:tcPr>
          <w:p w14:paraId="65E3020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1230" w:type="dxa"/>
            <w:tcBorders>
              <w:top w:val="nil"/>
              <w:left w:val="nil"/>
              <w:bottom w:val="single" w:color="auto" w:sz="4" w:space="0"/>
              <w:right w:val="single" w:color="auto" w:sz="4" w:space="0"/>
            </w:tcBorders>
            <w:noWrap w:val="0"/>
            <w:vAlign w:val="center"/>
          </w:tcPr>
          <w:p w14:paraId="0580043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p>
        </w:tc>
        <w:tc>
          <w:tcPr>
            <w:tcW w:w="732" w:type="dxa"/>
            <w:tcBorders>
              <w:top w:val="nil"/>
              <w:left w:val="nil"/>
              <w:bottom w:val="single" w:color="auto" w:sz="4" w:space="0"/>
              <w:right w:val="single" w:color="auto" w:sz="4" w:space="0"/>
            </w:tcBorders>
            <w:noWrap w:val="0"/>
            <w:vAlign w:val="center"/>
          </w:tcPr>
          <w:p w14:paraId="66B2BC6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10460E8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2B2B032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A3A5554">
        <w:tblPrEx>
          <w:tblCellMar>
            <w:top w:w="0" w:type="dxa"/>
            <w:left w:w="108" w:type="dxa"/>
            <w:bottom w:w="0" w:type="dxa"/>
            <w:right w:w="108" w:type="dxa"/>
          </w:tblCellMar>
        </w:tblPrEx>
        <w:trPr>
          <w:trHeight w:val="48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B6FA54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C030D45">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6174F3E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31D148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30" w:type="dxa"/>
            <w:tcBorders>
              <w:top w:val="nil"/>
              <w:left w:val="nil"/>
              <w:bottom w:val="single" w:color="auto" w:sz="4" w:space="0"/>
              <w:right w:val="single" w:color="auto" w:sz="4" w:space="0"/>
            </w:tcBorders>
            <w:noWrap w:val="0"/>
            <w:vAlign w:val="center"/>
          </w:tcPr>
          <w:p w14:paraId="4DBB20C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32" w:type="dxa"/>
            <w:tcBorders>
              <w:top w:val="nil"/>
              <w:left w:val="nil"/>
              <w:bottom w:val="single" w:color="auto" w:sz="4" w:space="0"/>
              <w:right w:val="single" w:color="auto" w:sz="4" w:space="0"/>
            </w:tcBorders>
            <w:noWrap w:val="0"/>
            <w:vAlign w:val="center"/>
          </w:tcPr>
          <w:p w14:paraId="511CBBD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479802E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3CD048B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0E5DE88">
        <w:tblPrEx>
          <w:tblCellMar>
            <w:top w:w="0" w:type="dxa"/>
            <w:left w:w="108" w:type="dxa"/>
            <w:bottom w:w="0" w:type="dxa"/>
            <w:right w:w="108" w:type="dxa"/>
          </w:tblCellMar>
        </w:tblPrEx>
        <w:trPr>
          <w:trHeight w:val="603"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EBDBFB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14B52F6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40C5BEF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6FBD85B">
        <w:tblPrEx>
          <w:tblCellMar>
            <w:top w:w="0" w:type="dxa"/>
            <w:left w:w="108" w:type="dxa"/>
            <w:bottom w:w="0" w:type="dxa"/>
            <w:right w:w="108" w:type="dxa"/>
          </w:tblCellMar>
        </w:tblPrEx>
        <w:trPr>
          <w:trHeight w:val="1668" w:hRule="atLeast"/>
          <w:jc w:val="center"/>
        </w:trPr>
        <w:tc>
          <w:tcPr>
            <w:tcW w:w="1080" w:type="dxa"/>
            <w:vMerge w:val="continue"/>
            <w:tcBorders>
              <w:top w:val="nil"/>
              <w:left w:val="single" w:color="auto" w:sz="4" w:space="0"/>
              <w:bottom w:val="single" w:color="auto" w:sz="4" w:space="0"/>
              <w:right w:val="single" w:color="auto" w:sz="4" w:space="0"/>
            </w:tcBorders>
            <w:noWrap w:val="0"/>
            <w:vAlign w:val="center"/>
          </w:tcPr>
          <w:p w14:paraId="5383368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54A3C998">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协管员在执法人员的带领下，能独立处理好各种执法事件</w:t>
            </w:r>
            <w:r>
              <w:rPr>
                <w:rFonts w:hint="eastAsia" w:ascii="仿宋_GB2312" w:hAnsi="仿宋_GB2312" w:eastAsia="仿宋_GB2312" w:cs="仿宋_GB2312"/>
                <w:color w:val="000000"/>
                <w:sz w:val="20"/>
                <w:szCs w:val="20"/>
                <w:highlight w:val="none"/>
                <w:lang w:eastAsia="zh-CN"/>
              </w:rPr>
              <w:t>辅助工作</w:t>
            </w:r>
            <w:r>
              <w:rPr>
                <w:rFonts w:hint="eastAsia" w:ascii="仿宋_GB2312" w:hAnsi="仿宋_GB2312" w:eastAsia="仿宋_GB2312" w:cs="仿宋_GB2312"/>
                <w:color w:val="000000"/>
                <w:sz w:val="20"/>
                <w:szCs w:val="20"/>
                <w:highlight w:val="none"/>
              </w:rPr>
              <w:t>，将管辖地区的秩序治理的井然有序，给过往旅客提供整洁优美的出行环境。　　</w:t>
            </w:r>
          </w:p>
        </w:tc>
        <w:tc>
          <w:tcPr>
            <w:tcW w:w="4253" w:type="dxa"/>
            <w:gridSpan w:val="4"/>
            <w:tcBorders>
              <w:top w:val="single" w:color="auto" w:sz="4" w:space="0"/>
              <w:left w:val="nil"/>
              <w:bottom w:val="single" w:color="auto" w:sz="4" w:space="0"/>
              <w:right w:val="single" w:color="auto" w:sz="4" w:space="0"/>
            </w:tcBorders>
            <w:noWrap w:val="0"/>
            <w:vAlign w:val="center"/>
          </w:tcPr>
          <w:p w14:paraId="036F17B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highlight w:val="none"/>
              </w:rPr>
              <w:t>协管员在执法人员的带领下，能独立处理好各种执法事件</w:t>
            </w:r>
            <w:r>
              <w:rPr>
                <w:rFonts w:hint="eastAsia" w:ascii="仿宋_GB2312" w:hAnsi="仿宋_GB2312" w:eastAsia="仿宋_GB2312" w:cs="仿宋_GB2312"/>
                <w:color w:val="000000"/>
                <w:sz w:val="20"/>
                <w:szCs w:val="20"/>
                <w:highlight w:val="none"/>
                <w:lang w:eastAsia="zh-CN"/>
              </w:rPr>
              <w:t>辅助工作</w:t>
            </w:r>
            <w:r>
              <w:rPr>
                <w:rFonts w:hint="eastAsia" w:ascii="仿宋_GB2312" w:hAnsi="仿宋_GB2312" w:eastAsia="仿宋_GB2312" w:cs="仿宋_GB2312"/>
                <w:color w:val="000000"/>
                <w:sz w:val="20"/>
                <w:szCs w:val="20"/>
                <w:highlight w:val="none"/>
              </w:rPr>
              <w:t>，将管辖地区的秩序治理的井然有序，给过往旅客提供</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整洁优美的出行环境。</w:t>
            </w:r>
          </w:p>
        </w:tc>
      </w:tr>
      <w:tr w14:paraId="0F723C26">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495B0F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E52FC2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441787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8401F6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6E8596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5CB95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067E81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EC63C1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024610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B0DB98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363DFB7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64FA5FD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4F89E8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94AC54B">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1D79BCD4">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34B707">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EEAFE8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4F80D49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p w14:paraId="288C03C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A22921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B3DC6C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完成法律法规、作风等培训</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D91B59">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6次</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CE0085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7次</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CBE19D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6E602F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27DDD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CDE3903">
        <w:tblPrEx>
          <w:tblCellMar>
            <w:top w:w="0" w:type="dxa"/>
            <w:left w:w="108" w:type="dxa"/>
            <w:bottom w:w="0" w:type="dxa"/>
            <w:right w:w="108" w:type="dxa"/>
          </w:tblCellMar>
        </w:tblPrEx>
        <w:trPr>
          <w:trHeight w:val="647"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1C1EC1B">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9A79A2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AB6836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5049DD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业务考核</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211025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2次/月</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4ECFB2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2次/月</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B9F5A2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D67E44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8502EE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BF8F02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1D22BE9">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EE007B3">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EEF50C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6527AA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成立固定协管队伍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5D189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1支</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772D77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1支</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D3BBE2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FFC0F6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9A328B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149人</w:t>
            </w:r>
          </w:p>
        </w:tc>
      </w:tr>
      <w:tr w14:paraId="31C3C41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0361C7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D73080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1D822F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441E8A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协管员管理及考核</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F49AB7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合格率≥95%</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217E34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0B7AF8B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CCFF87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12</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8F1138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A090440">
        <w:tblPrEx>
          <w:tblCellMar>
            <w:top w:w="0" w:type="dxa"/>
            <w:left w:w="108" w:type="dxa"/>
            <w:bottom w:w="0" w:type="dxa"/>
            <w:right w:w="108" w:type="dxa"/>
          </w:tblCellMar>
        </w:tblPrEx>
        <w:trPr>
          <w:trHeight w:val="116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B253F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1ED1D7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121757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B6DEFB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按考核结果发放协管员工资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21813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按月发放</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0E0B2C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均按时发放</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3D40FDE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003F6F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C02F53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790EC2">
        <w:tblPrEx>
          <w:tblCellMar>
            <w:top w:w="0" w:type="dxa"/>
            <w:left w:w="108" w:type="dxa"/>
            <w:bottom w:w="0" w:type="dxa"/>
            <w:right w:w="108" w:type="dxa"/>
          </w:tblCellMar>
        </w:tblPrEx>
        <w:trPr>
          <w:trHeight w:val="84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85C18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570C65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518CAD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58153C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按时完成</w:t>
            </w:r>
            <w:r>
              <w:rPr>
                <w:rFonts w:hint="eastAsia" w:ascii="仿宋_GB2312" w:hAnsi="仿宋_GB2312" w:eastAsia="仿宋_GB2312" w:cs="仿宋_GB2312"/>
                <w:color w:val="000000"/>
                <w:sz w:val="20"/>
                <w:szCs w:val="20"/>
                <w:highlight w:val="none"/>
                <w:lang w:eastAsia="zh-CN"/>
              </w:rPr>
              <w:t>相关工作</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831DC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0750D0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99F9E1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A5E754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CA376A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A406AA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92CE196">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16AA90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1D0DF1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D9209C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0C0342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eastAsia="zh-CN"/>
              </w:rPr>
              <w:t>控制</w:t>
            </w:r>
            <w:r>
              <w:rPr>
                <w:rFonts w:hint="eastAsia" w:ascii="仿宋_GB2312" w:hAnsi="仿宋_GB2312" w:eastAsia="仿宋_GB2312" w:cs="仿宋_GB2312"/>
                <w:color w:val="000000"/>
                <w:sz w:val="20"/>
                <w:szCs w:val="20"/>
                <w:highlight w:val="none"/>
                <w:lang w:val="en-US" w:eastAsia="zh-CN"/>
              </w:rPr>
              <w:t>670.5万元之内</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28029B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未超预算</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37CC540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91592B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212E13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296010D">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682FF4E">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8C317F2">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7AFB26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7B553E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对社会发展可能造成的负面影响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DE2825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无负面影响</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1225B1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E051C0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9BE850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494D55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4217F1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DBC5A9A">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9B2452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D0CD0F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3ED1AD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对自然生态环境造成负面影响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79CFEA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32FC42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623D10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E4E823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A88BF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7BBE8F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2659334">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94731F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116DEDE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p w14:paraId="0B9759D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608C2A2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661AF6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22CF04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F87D68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不适用</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226AD2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不适用</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81F78C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不适用</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62B567F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6D4688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12121B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EF0DE3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1FA252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9F1E43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52077D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2FA2D0C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B8C56D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辖区内城市秩序管理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41184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提升辖区内城市管理秩序</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0E20F6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辖区内城市管理秩序明显改善</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3C62722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A57DEC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2C2FDD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FA4EC10">
        <w:tblPrEx>
          <w:tblCellMar>
            <w:top w:w="0" w:type="dxa"/>
            <w:left w:w="108" w:type="dxa"/>
            <w:bottom w:w="0" w:type="dxa"/>
            <w:right w:w="108" w:type="dxa"/>
          </w:tblCellMar>
        </w:tblPrEx>
        <w:trPr>
          <w:trHeight w:val="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A647DF">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7CD889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98A557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984C1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为出行旅客提供合理的便民服务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75BDE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工作更细致、亲民</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7AC0B3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得到广大市民好评</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4B2D7C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628E9F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546F8A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538358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AD6F651">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2FCE18">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89787D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7D8D31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091346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对生态效益好的影响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063EF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严格管理改善辖区内环境</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7E7DFC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有效改善</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E9BEEC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AF4756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505526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AF6906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0DC060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2C7276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5D72D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A4756E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有相对固定的执法执勤队伍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129B3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有一支高素质的执法执勤队伍</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25C29C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执法执勤人员整体素质不断提升</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0DD94D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C00860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789E30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C44AAC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CF1C50">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2AB84C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6FAC37D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392642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B351DA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6341D9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群众满意度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E5130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95%以上</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BC3625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97%</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6037047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32E6EC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3B9639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EB90A7B">
        <w:tblPrEx>
          <w:tblCellMar>
            <w:top w:w="0" w:type="dxa"/>
            <w:left w:w="108" w:type="dxa"/>
            <w:bottom w:w="0" w:type="dxa"/>
            <w:right w:w="108" w:type="dxa"/>
          </w:tblCellMar>
        </w:tblPrEx>
        <w:trPr>
          <w:trHeight w:val="699" w:hRule="atLeast"/>
          <w:jc w:val="center"/>
        </w:trPr>
        <w:tc>
          <w:tcPr>
            <w:tcW w:w="6828" w:type="dxa"/>
            <w:gridSpan w:val="6"/>
            <w:tcBorders>
              <w:top w:val="single" w:color="auto" w:sz="4" w:space="0"/>
              <w:left w:val="single" w:color="auto" w:sz="4" w:space="0"/>
              <w:bottom w:val="single" w:color="auto" w:sz="4" w:space="0"/>
              <w:right w:val="single" w:color="000000" w:sz="4" w:space="0"/>
            </w:tcBorders>
            <w:noWrap w:val="0"/>
            <w:vAlign w:val="center"/>
          </w:tcPr>
          <w:p w14:paraId="5B02922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32" w:type="dxa"/>
            <w:tcBorders>
              <w:top w:val="single" w:color="auto" w:sz="4" w:space="0"/>
              <w:left w:val="nil"/>
              <w:bottom w:val="single" w:color="auto" w:sz="4" w:space="0"/>
              <w:right w:val="single" w:color="auto" w:sz="4" w:space="0"/>
            </w:tcBorders>
            <w:noWrap w:val="0"/>
            <w:vAlign w:val="center"/>
          </w:tcPr>
          <w:p w14:paraId="667C8D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nil"/>
              <w:bottom w:val="single" w:color="auto" w:sz="4" w:space="0"/>
              <w:right w:val="single" w:color="auto" w:sz="4" w:space="0"/>
            </w:tcBorders>
            <w:noWrap w:val="0"/>
            <w:vAlign w:val="center"/>
          </w:tcPr>
          <w:p w14:paraId="7F87E605">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1418" w:type="dxa"/>
            <w:tcBorders>
              <w:top w:val="single" w:color="auto" w:sz="4" w:space="0"/>
              <w:left w:val="nil"/>
              <w:bottom w:val="single" w:color="auto" w:sz="4" w:space="0"/>
              <w:right w:val="single" w:color="auto" w:sz="4" w:space="0"/>
            </w:tcBorders>
            <w:noWrap w:val="0"/>
            <w:vAlign w:val="center"/>
          </w:tcPr>
          <w:p w14:paraId="1BE1D2C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61A75487">
      <w:pPr>
        <w:keepNext w:val="0"/>
        <w:keepLines w:val="0"/>
        <w:pageBreakBefore w:val="0"/>
        <w:widowControl/>
        <w:kinsoku/>
        <w:wordWrap/>
        <w:overflowPunct/>
        <w:topLinePunct w:val="0"/>
        <w:autoSpaceDE/>
        <w:autoSpaceDN/>
        <w:bidi w:val="0"/>
        <w:adjustRightInd/>
        <w:snapToGrid/>
        <w:spacing w:after="0" w:afterLines="0" w:line="360" w:lineRule="exact"/>
        <w:jc w:val="left"/>
        <w:textAlignment w:val="auto"/>
        <w:rPr>
          <w:rFonts w:hint="default" w:ascii="Times New Roman" w:hAnsi="Times New Roman" w:eastAsia="仿宋_GB2312" w:cs="Times New Roman"/>
          <w:sz w:val="22"/>
          <w:highlight w:val="none"/>
        </w:rPr>
      </w:pPr>
    </w:p>
    <w:p w14:paraId="4672C0D4">
      <w:pPr>
        <w:keepNext w:val="0"/>
        <w:keepLines w:val="0"/>
        <w:pageBreakBefore w:val="0"/>
        <w:widowControl/>
        <w:kinsoku/>
        <w:wordWrap/>
        <w:overflowPunct/>
        <w:topLinePunct w:val="0"/>
        <w:autoSpaceDE/>
        <w:autoSpaceDN/>
        <w:bidi w:val="0"/>
        <w:adjustRightInd/>
        <w:snapToGrid/>
        <w:spacing w:after="0" w:afterLines="0" w:line="360" w:lineRule="exact"/>
        <w:jc w:val="left"/>
        <w:textAlignment w:val="auto"/>
        <w:rPr>
          <w:rFonts w:hint="eastAsia" w:ascii="Times New Roman" w:hAnsi="Times New Roman" w:eastAsia="仿宋_GB2312" w:cs="Times New Roman"/>
          <w:sz w:val="22"/>
          <w:highlight w:val="none"/>
          <w:lang w:eastAsia="zh-CN"/>
        </w:rPr>
      </w:pPr>
      <w:r>
        <w:rPr>
          <w:rFonts w:hint="default" w:ascii="Times New Roman" w:hAnsi="Times New Roman" w:eastAsia="仿宋_GB2312" w:cs="Times New Roman"/>
          <w:sz w:val="22"/>
          <w:highlight w:val="none"/>
        </w:rPr>
        <w:t>填表人：</w:t>
      </w:r>
      <w:r>
        <w:rPr>
          <w:rFonts w:hint="eastAsia" w:ascii="Times New Roman" w:hAnsi="Times New Roman" w:eastAsia="仿宋_GB2312" w:cs="Times New Roman"/>
          <w:sz w:val="22"/>
          <w:highlight w:val="none"/>
          <w:lang w:eastAsia="zh-CN"/>
        </w:rPr>
        <w:t>宋婷</w:t>
      </w:r>
      <w:r>
        <w:rPr>
          <w:rFonts w:hint="default" w:ascii="Times New Roman" w:hAnsi="Times New Roman" w:eastAsia="仿宋_GB2312" w:cs="Times New Roman"/>
          <w:sz w:val="22"/>
          <w:highlight w:val="none"/>
        </w:rPr>
        <w:t xml:space="preserve"> </w:t>
      </w:r>
      <w:r>
        <w:rPr>
          <w:rFonts w:hint="eastAsia" w:ascii="Times New Roman" w:hAnsi="Times New Roman" w:eastAsia="仿宋_GB2312" w:cs="Times New Roman"/>
          <w:sz w:val="22"/>
          <w:highlight w:val="none"/>
          <w:lang w:val="en-US" w:eastAsia="zh-CN"/>
        </w:rPr>
        <w:t xml:space="preserve"> </w:t>
      </w:r>
      <w:r>
        <w:rPr>
          <w:rFonts w:hint="default" w:ascii="Times New Roman" w:hAnsi="Times New Roman" w:eastAsia="仿宋_GB2312" w:cs="Times New Roman"/>
          <w:sz w:val="22"/>
          <w:highlight w:val="none"/>
        </w:rPr>
        <w:t xml:space="preserve"> 填报日期：</w:t>
      </w:r>
      <w:r>
        <w:rPr>
          <w:rFonts w:hint="eastAsia" w:ascii="仿宋_GB2312" w:hAnsi="仿宋_GB2312" w:eastAsia="仿宋_GB2312" w:cs="仿宋_GB2312"/>
          <w:sz w:val="22"/>
          <w:highlight w:val="none"/>
          <w:lang w:val="en-US" w:eastAsia="zh-CN"/>
        </w:rPr>
        <w:t>202</w:t>
      </w:r>
      <w:r>
        <w:rPr>
          <w:rFonts w:hint="eastAsia" w:ascii="仿宋_GB2312" w:hAnsi="仿宋_GB2312" w:eastAsia="仿宋_GB2312" w:cs="仿宋_GB2312"/>
          <w:sz w:val="22"/>
          <w:highlight w:val="none"/>
          <w:lang w:val="en" w:eastAsia="zh-CN"/>
        </w:rPr>
        <w:t>6</w:t>
      </w:r>
      <w:r>
        <w:rPr>
          <w:rFonts w:hint="eastAsia" w:ascii="仿宋_GB2312" w:hAnsi="仿宋_GB2312" w:eastAsia="仿宋_GB2312" w:cs="仿宋_GB2312"/>
          <w:sz w:val="22"/>
          <w:highlight w:val="none"/>
          <w:lang w:val="en-US" w:eastAsia="zh-CN"/>
        </w:rPr>
        <w:t>.6.18</w:t>
      </w:r>
      <w:r>
        <w:rPr>
          <w:rFonts w:hint="eastAsia" w:ascii="仿宋_GB2312" w:hAnsi="仿宋_GB2312" w:eastAsia="仿宋_GB2312" w:cs="仿宋_GB2312"/>
          <w:sz w:val="22"/>
          <w:highlight w:val="none"/>
        </w:rPr>
        <w:t xml:space="preserve">  </w:t>
      </w:r>
      <w:r>
        <w:rPr>
          <w:rFonts w:hint="default" w:ascii="Times New Roman" w:hAnsi="Times New Roman" w:eastAsia="仿宋_GB2312" w:cs="Times New Roman"/>
          <w:sz w:val="22"/>
          <w:highlight w:val="none"/>
        </w:rPr>
        <w:t>联系电话：</w:t>
      </w:r>
      <w:r>
        <w:rPr>
          <w:rFonts w:hint="eastAsia" w:ascii="仿宋_GB2312" w:hAnsi="仿宋_GB2312" w:eastAsia="仿宋_GB2312" w:cs="仿宋_GB2312"/>
          <w:sz w:val="22"/>
          <w:szCs w:val="22"/>
        </w:rPr>
        <w:t>8981953</w:t>
      </w:r>
      <w:r>
        <w:rPr>
          <w:rFonts w:hint="eastAsia" w:ascii="仿宋_GB2312" w:hAnsi="仿宋_GB2312" w:eastAsia="仿宋_GB2312" w:cs="仿宋_GB2312"/>
          <w:sz w:val="24"/>
          <w:lang w:val="en-US" w:eastAsia="zh-CN"/>
        </w:rPr>
        <w:t xml:space="preserve">  </w:t>
      </w:r>
      <w:r>
        <w:rPr>
          <w:rFonts w:hint="default" w:ascii="Times New Roman" w:hAnsi="Times New Roman" w:eastAsia="仿宋_GB2312" w:cs="Times New Roman"/>
          <w:sz w:val="22"/>
          <w:highlight w:val="none"/>
        </w:rPr>
        <w:t>单位负责人：</w:t>
      </w:r>
      <w:r>
        <w:rPr>
          <w:rFonts w:hint="eastAsia" w:ascii="Times New Roman" w:hAnsi="Times New Roman" w:eastAsia="仿宋_GB2312" w:cs="Times New Roman"/>
          <w:sz w:val="22"/>
          <w:highlight w:val="none"/>
          <w:lang w:eastAsia="zh-CN"/>
        </w:rPr>
        <w:t>刘力斌</w:t>
      </w:r>
    </w:p>
    <w:p w14:paraId="0383242C">
      <w:pPr>
        <w:widowControl/>
        <w:spacing w:line="600" w:lineRule="exact"/>
        <w:jc w:val="left"/>
        <w:rPr>
          <w:rFonts w:hint="eastAsia" w:ascii="黑体" w:hAnsi="黑体" w:eastAsia="黑体" w:cs="黑体"/>
          <w:sz w:val="32"/>
          <w:szCs w:val="32"/>
          <w:highlight w:val="none"/>
        </w:rPr>
      </w:pPr>
    </w:p>
    <w:p w14:paraId="17C89620">
      <w:pPr>
        <w:widowControl/>
        <w:spacing w:line="600" w:lineRule="exact"/>
        <w:jc w:val="left"/>
        <w:rPr>
          <w:rFonts w:hint="eastAsia" w:ascii="黑体" w:hAnsi="黑体" w:eastAsia="黑体" w:cs="黑体"/>
          <w:sz w:val="32"/>
          <w:szCs w:val="32"/>
          <w:highlight w:val="none"/>
        </w:rPr>
      </w:pPr>
    </w:p>
    <w:p w14:paraId="48B5D68A">
      <w:pPr>
        <w:widowControl/>
        <w:spacing w:line="600" w:lineRule="exact"/>
        <w:jc w:val="left"/>
        <w:rPr>
          <w:rFonts w:hint="eastAsia" w:ascii="黑体" w:hAnsi="黑体" w:eastAsia="黑体" w:cs="黑体"/>
          <w:sz w:val="32"/>
          <w:szCs w:val="32"/>
          <w:highlight w:val="none"/>
        </w:rPr>
      </w:pPr>
    </w:p>
    <w:p w14:paraId="213F97F7">
      <w:pPr>
        <w:pStyle w:val="2"/>
        <w:rPr>
          <w:rFonts w:hint="eastAsia" w:ascii="黑体" w:hAnsi="黑体" w:eastAsia="黑体" w:cs="黑体"/>
          <w:sz w:val="32"/>
          <w:szCs w:val="32"/>
          <w:highlight w:val="none"/>
        </w:rPr>
      </w:pPr>
    </w:p>
    <w:p w14:paraId="27E387F3">
      <w:pPr>
        <w:pStyle w:val="3"/>
        <w:rPr>
          <w:rFonts w:hint="eastAsia"/>
        </w:rPr>
      </w:pPr>
      <w:bookmarkStart w:id="0" w:name="_GoBack"/>
      <w:bookmarkEnd w:id="0"/>
    </w:p>
    <w:p w14:paraId="7C82B8D9">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1-2</w:t>
      </w:r>
    </w:p>
    <w:p w14:paraId="23E9B387">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default" w:ascii="方正小标宋简体" w:hAnsi="方正小标宋简体" w:eastAsia="方正小标宋简体" w:cs="方正小标宋简体"/>
          <w:color w:val="000000"/>
          <w:sz w:val="36"/>
          <w:szCs w:val="36"/>
          <w:highlight w:val="none"/>
          <w:lang w:val="en"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8"/>
        <w:tblW w:w="9851" w:type="dxa"/>
        <w:jc w:val="center"/>
        <w:tblLayout w:type="autofit"/>
        <w:tblCellMar>
          <w:top w:w="0" w:type="dxa"/>
          <w:left w:w="108" w:type="dxa"/>
          <w:bottom w:w="0" w:type="dxa"/>
          <w:right w:w="108" w:type="dxa"/>
        </w:tblCellMar>
      </w:tblPr>
      <w:tblGrid>
        <w:gridCol w:w="1080"/>
        <w:gridCol w:w="1080"/>
        <w:gridCol w:w="1080"/>
        <w:gridCol w:w="1224"/>
        <w:gridCol w:w="1134"/>
        <w:gridCol w:w="1230"/>
        <w:gridCol w:w="732"/>
        <w:gridCol w:w="873"/>
        <w:gridCol w:w="1418"/>
      </w:tblGrid>
      <w:tr w14:paraId="0111481C">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C466C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15A309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0360FB6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rPr>
            </w:pPr>
            <w:r>
              <w:rPr>
                <w:rFonts w:hint="eastAsia" w:ascii="仿宋_GB2312" w:hAnsi="仿宋_GB2312" w:eastAsia="仿宋_GB2312" w:cs="仿宋_GB2312"/>
                <w:color w:val="000000"/>
                <w:sz w:val="20"/>
                <w:szCs w:val="20"/>
                <w:highlight w:val="none"/>
                <w:lang w:eastAsia="zh-CN"/>
              </w:rPr>
              <w:t>城管事务经费</w:t>
            </w:r>
            <w:r>
              <w:rPr>
                <w:rFonts w:hint="default" w:ascii="仿宋_GB2312" w:hAnsi="仿宋_GB2312" w:eastAsia="仿宋_GB2312" w:cs="仿宋_GB2312"/>
                <w:color w:val="000000"/>
                <w:sz w:val="20"/>
                <w:szCs w:val="20"/>
                <w:highlight w:val="none"/>
                <w:lang w:val="en" w:eastAsia="zh-CN"/>
              </w:rPr>
              <w:t>(</w:t>
            </w:r>
            <w:r>
              <w:rPr>
                <w:rFonts w:hint="eastAsia" w:ascii="仿宋_GB2312" w:hAnsi="仿宋_GB2312" w:eastAsia="仿宋_GB2312" w:cs="仿宋_GB2312"/>
                <w:color w:val="000000"/>
                <w:sz w:val="20"/>
                <w:szCs w:val="20"/>
                <w:highlight w:val="none"/>
              </w:rPr>
              <w:t>日常工作经费</w:t>
            </w:r>
            <w:r>
              <w:rPr>
                <w:rFonts w:hint="default" w:ascii="仿宋_GB2312" w:hAnsi="仿宋_GB2312" w:eastAsia="仿宋_GB2312" w:cs="仿宋_GB2312"/>
                <w:color w:val="000000"/>
                <w:sz w:val="20"/>
                <w:szCs w:val="20"/>
                <w:highlight w:val="none"/>
                <w:lang w:val="en"/>
              </w:rPr>
              <w:t>)</w:t>
            </w:r>
          </w:p>
        </w:tc>
      </w:tr>
      <w:tr w14:paraId="56E159D1">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394E8F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764C3D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sz w:val="20"/>
                <w:szCs w:val="20"/>
              </w:rPr>
              <w:t>岳阳市城市管理综合行政执法支队</w:t>
            </w:r>
          </w:p>
        </w:tc>
        <w:tc>
          <w:tcPr>
            <w:tcW w:w="1230" w:type="dxa"/>
            <w:tcBorders>
              <w:top w:val="single" w:color="auto" w:sz="4" w:space="0"/>
              <w:left w:val="nil"/>
              <w:bottom w:val="single" w:color="auto" w:sz="4" w:space="0"/>
              <w:right w:val="single" w:color="000000" w:sz="4" w:space="0"/>
            </w:tcBorders>
            <w:noWrap w:val="0"/>
            <w:vAlign w:val="center"/>
          </w:tcPr>
          <w:p w14:paraId="3026268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实施单位</w:t>
            </w:r>
          </w:p>
        </w:tc>
        <w:tc>
          <w:tcPr>
            <w:tcW w:w="3023" w:type="dxa"/>
            <w:gridSpan w:val="3"/>
            <w:tcBorders>
              <w:top w:val="single" w:color="auto" w:sz="4" w:space="0"/>
              <w:left w:val="nil"/>
              <w:bottom w:val="single" w:color="auto" w:sz="4" w:space="0"/>
              <w:right w:val="single" w:color="auto" w:sz="4" w:space="0"/>
            </w:tcBorders>
            <w:noWrap w:val="0"/>
            <w:vAlign w:val="center"/>
          </w:tcPr>
          <w:p w14:paraId="608E6F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sz w:val="20"/>
                <w:szCs w:val="20"/>
              </w:rPr>
              <w:t>岳阳市城市管理综合行政执法支队站场执法大队</w:t>
            </w:r>
          </w:p>
        </w:tc>
      </w:tr>
      <w:tr w14:paraId="2BD255AA">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AD3EC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7A0668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10D849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730CA2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6D96B6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05C07F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30" w:type="dxa"/>
            <w:tcBorders>
              <w:top w:val="nil"/>
              <w:left w:val="nil"/>
              <w:bottom w:val="single" w:color="auto" w:sz="4" w:space="0"/>
              <w:right w:val="single" w:color="auto" w:sz="4" w:space="0"/>
            </w:tcBorders>
            <w:noWrap w:val="0"/>
            <w:vAlign w:val="center"/>
          </w:tcPr>
          <w:p w14:paraId="11DB732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049E87E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732" w:type="dxa"/>
            <w:tcBorders>
              <w:top w:val="nil"/>
              <w:left w:val="nil"/>
              <w:bottom w:val="single" w:color="auto" w:sz="4" w:space="0"/>
              <w:right w:val="single" w:color="auto" w:sz="4" w:space="0"/>
            </w:tcBorders>
            <w:noWrap w:val="0"/>
            <w:vAlign w:val="center"/>
          </w:tcPr>
          <w:p w14:paraId="185ACD1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389D956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672BDE9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045EE8F1">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2851FF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23D35B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11610A0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197.50</w:t>
            </w:r>
          </w:p>
        </w:tc>
        <w:tc>
          <w:tcPr>
            <w:tcW w:w="1134" w:type="dxa"/>
            <w:tcBorders>
              <w:top w:val="nil"/>
              <w:left w:val="nil"/>
              <w:bottom w:val="single" w:color="auto" w:sz="4" w:space="0"/>
              <w:right w:val="single" w:color="auto" w:sz="4" w:space="0"/>
            </w:tcBorders>
            <w:noWrap w:val="0"/>
            <w:vAlign w:val="center"/>
          </w:tcPr>
          <w:p w14:paraId="138106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197.50</w:t>
            </w:r>
          </w:p>
        </w:tc>
        <w:tc>
          <w:tcPr>
            <w:tcW w:w="1230" w:type="dxa"/>
            <w:tcBorders>
              <w:top w:val="nil"/>
              <w:left w:val="nil"/>
              <w:bottom w:val="single" w:color="auto" w:sz="4" w:space="0"/>
              <w:right w:val="single" w:color="auto" w:sz="4" w:space="0"/>
            </w:tcBorders>
            <w:noWrap w:val="0"/>
            <w:vAlign w:val="center"/>
          </w:tcPr>
          <w:p w14:paraId="589F56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197.49</w:t>
            </w:r>
          </w:p>
        </w:tc>
        <w:tc>
          <w:tcPr>
            <w:tcW w:w="732" w:type="dxa"/>
            <w:tcBorders>
              <w:top w:val="nil"/>
              <w:left w:val="nil"/>
              <w:bottom w:val="single" w:color="auto" w:sz="4" w:space="0"/>
              <w:right w:val="single" w:color="auto" w:sz="4" w:space="0"/>
            </w:tcBorders>
            <w:noWrap w:val="0"/>
            <w:vAlign w:val="center"/>
          </w:tcPr>
          <w:p w14:paraId="16A3EB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73" w:type="dxa"/>
            <w:tcBorders>
              <w:top w:val="nil"/>
              <w:left w:val="nil"/>
              <w:bottom w:val="single" w:color="auto" w:sz="4" w:space="0"/>
              <w:right w:val="single" w:color="auto" w:sz="4" w:space="0"/>
            </w:tcBorders>
            <w:noWrap w:val="0"/>
            <w:vAlign w:val="center"/>
          </w:tcPr>
          <w:p w14:paraId="632FDF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w:t>
            </w:r>
            <w:r>
              <w:rPr>
                <w:rFonts w:hint="default" w:ascii="仿宋_GB2312" w:hAnsi="仿宋_GB2312" w:eastAsia="仿宋_GB2312" w:cs="仿宋_GB2312"/>
                <w:color w:val="000000"/>
                <w:sz w:val="20"/>
                <w:szCs w:val="20"/>
                <w:highlight w:val="none"/>
                <w:lang w:val="en" w:eastAsia="zh-CN"/>
              </w:rPr>
              <w:t>9</w:t>
            </w:r>
            <w:r>
              <w:rPr>
                <w:rFonts w:hint="eastAsia" w:ascii="仿宋_GB2312" w:hAnsi="仿宋_GB2312" w:eastAsia="仿宋_GB2312" w:cs="仿宋_GB2312"/>
                <w:color w:val="000000"/>
                <w:sz w:val="20"/>
                <w:szCs w:val="20"/>
                <w:highlight w:val="none"/>
                <w:lang w:val="en-US" w:eastAsia="zh-CN"/>
              </w:rPr>
              <w:t>.99%</w:t>
            </w:r>
          </w:p>
        </w:tc>
        <w:tc>
          <w:tcPr>
            <w:tcW w:w="1418" w:type="dxa"/>
            <w:tcBorders>
              <w:top w:val="nil"/>
              <w:left w:val="nil"/>
              <w:bottom w:val="single" w:color="auto" w:sz="4" w:space="0"/>
              <w:right w:val="single" w:color="auto" w:sz="4" w:space="0"/>
            </w:tcBorders>
            <w:noWrap w:val="0"/>
            <w:vAlign w:val="center"/>
          </w:tcPr>
          <w:p w14:paraId="56AE28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10</w:t>
            </w:r>
          </w:p>
        </w:tc>
      </w:tr>
      <w:tr w14:paraId="612D2F49">
        <w:tblPrEx>
          <w:tblCellMar>
            <w:top w:w="0" w:type="dxa"/>
            <w:left w:w="108" w:type="dxa"/>
            <w:bottom w:w="0" w:type="dxa"/>
            <w:right w:w="108" w:type="dxa"/>
          </w:tblCellMar>
        </w:tblPrEx>
        <w:trPr>
          <w:trHeight w:val="20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DD2D10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0A7F18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32B5FB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eastAsia="zh-CN"/>
              </w:rPr>
              <w:t>197.50</w:t>
            </w:r>
          </w:p>
        </w:tc>
        <w:tc>
          <w:tcPr>
            <w:tcW w:w="1134" w:type="dxa"/>
            <w:tcBorders>
              <w:top w:val="nil"/>
              <w:left w:val="nil"/>
              <w:bottom w:val="single" w:color="auto" w:sz="4" w:space="0"/>
              <w:right w:val="single" w:color="auto" w:sz="4" w:space="0"/>
            </w:tcBorders>
            <w:noWrap w:val="0"/>
            <w:vAlign w:val="center"/>
          </w:tcPr>
          <w:p w14:paraId="7FD9D4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eastAsia="zh-CN"/>
              </w:rPr>
              <w:t>197.50</w:t>
            </w:r>
          </w:p>
        </w:tc>
        <w:tc>
          <w:tcPr>
            <w:tcW w:w="1230" w:type="dxa"/>
            <w:tcBorders>
              <w:top w:val="nil"/>
              <w:left w:val="nil"/>
              <w:bottom w:val="single" w:color="auto" w:sz="4" w:space="0"/>
              <w:right w:val="single" w:color="auto" w:sz="4" w:space="0"/>
            </w:tcBorders>
            <w:noWrap w:val="0"/>
            <w:vAlign w:val="center"/>
          </w:tcPr>
          <w:p w14:paraId="260C1B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eastAsia="zh-CN"/>
              </w:rPr>
              <w:t>197.49</w:t>
            </w:r>
          </w:p>
        </w:tc>
        <w:tc>
          <w:tcPr>
            <w:tcW w:w="732" w:type="dxa"/>
            <w:tcBorders>
              <w:top w:val="nil"/>
              <w:left w:val="nil"/>
              <w:bottom w:val="single" w:color="auto" w:sz="4" w:space="0"/>
              <w:right w:val="single" w:color="auto" w:sz="4" w:space="0"/>
            </w:tcBorders>
            <w:noWrap w:val="0"/>
            <w:vAlign w:val="center"/>
          </w:tcPr>
          <w:p w14:paraId="2F3647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2321400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4D981F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AF64FB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4DC49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61B94D3A">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3109EF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0</w:t>
            </w:r>
          </w:p>
        </w:tc>
        <w:tc>
          <w:tcPr>
            <w:tcW w:w="1134" w:type="dxa"/>
            <w:tcBorders>
              <w:top w:val="nil"/>
              <w:left w:val="nil"/>
              <w:bottom w:val="single" w:color="auto" w:sz="4" w:space="0"/>
              <w:right w:val="single" w:color="auto" w:sz="4" w:space="0"/>
            </w:tcBorders>
            <w:noWrap w:val="0"/>
            <w:vAlign w:val="center"/>
          </w:tcPr>
          <w:p w14:paraId="4CB84B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0</w:t>
            </w:r>
          </w:p>
        </w:tc>
        <w:tc>
          <w:tcPr>
            <w:tcW w:w="1230" w:type="dxa"/>
            <w:tcBorders>
              <w:top w:val="nil"/>
              <w:left w:val="nil"/>
              <w:bottom w:val="single" w:color="auto" w:sz="4" w:space="0"/>
              <w:right w:val="single" w:color="auto" w:sz="4" w:space="0"/>
            </w:tcBorders>
            <w:noWrap w:val="0"/>
            <w:vAlign w:val="center"/>
          </w:tcPr>
          <w:p w14:paraId="6C3CBC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0</w:t>
            </w:r>
          </w:p>
        </w:tc>
        <w:tc>
          <w:tcPr>
            <w:tcW w:w="732" w:type="dxa"/>
            <w:tcBorders>
              <w:top w:val="nil"/>
              <w:left w:val="nil"/>
              <w:bottom w:val="single" w:color="auto" w:sz="4" w:space="0"/>
              <w:right w:val="single" w:color="auto" w:sz="4" w:space="0"/>
            </w:tcBorders>
            <w:noWrap w:val="0"/>
            <w:vAlign w:val="center"/>
          </w:tcPr>
          <w:p w14:paraId="296DA3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5D4806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39C3D0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7A2F041">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AA429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621019B6">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52E22E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662B25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30" w:type="dxa"/>
            <w:tcBorders>
              <w:top w:val="nil"/>
              <w:left w:val="nil"/>
              <w:bottom w:val="single" w:color="auto" w:sz="4" w:space="0"/>
              <w:right w:val="single" w:color="auto" w:sz="4" w:space="0"/>
            </w:tcBorders>
            <w:noWrap w:val="0"/>
            <w:vAlign w:val="center"/>
          </w:tcPr>
          <w:p w14:paraId="3AE9616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32" w:type="dxa"/>
            <w:tcBorders>
              <w:top w:val="nil"/>
              <w:left w:val="nil"/>
              <w:bottom w:val="single" w:color="auto" w:sz="4" w:space="0"/>
              <w:right w:val="single" w:color="auto" w:sz="4" w:space="0"/>
            </w:tcBorders>
            <w:noWrap w:val="0"/>
            <w:vAlign w:val="center"/>
          </w:tcPr>
          <w:p w14:paraId="3A57B48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5E441AB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40B74B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4686D85">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EB4D6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55F51E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235266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C429347">
        <w:tblPrEx>
          <w:tblCellMar>
            <w:top w:w="0" w:type="dxa"/>
            <w:left w:w="108" w:type="dxa"/>
            <w:bottom w:w="0" w:type="dxa"/>
            <w:right w:w="108" w:type="dxa"/>
          </w:tblCellMar>
        </w:tblPrEx>
        <w:trPr>
          <w:trHeight w:val="90" w:hRule="atLeast"/>
          <w:jc w:val="center"/>
        </w:trPr>
        <w:tc>
          <w:tcPr>
            <w:tcW w:w="1080" w:type="dxa"/>
            <w:vMerge w:val="continue"/>
            <w:tcBorders>
              <w:top w:val="nil"/>
              <w:left w:val="single" w:color="auto" w:sz="4" w:space="0"/>
              <w:bottom w:val="single" w:color="auto" w:sz="4" w:space="0"/>
              <w:right w:val="single" w:color="auto" w:sz="4" w:space="0"/>
            </w:tcBorders>
            <w:noWrap w:val="0"/>
            <w:vAlign w:val="center"/>
          </w:tcPr>
          <w:p w14:paraId="2D914B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30C56703">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及时快速处理火车站地区、经开区通海路管理处、金凤桥管理处、木里港管理处管理中出现的难点问题;</w:t>
            </w:r>
          </w:p>
          <w:p w14:paraId="686FEB89">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2、出色完成市委市政府交办的临时性中心工作和重大迎检接待工作</w:t>
            </w:r>
            <w:r>
              <w:rPr>
                <w:rFonts w:hint="eastAsia" w:ascii="仿宋_GB2312" w:hAnsi="仿宋_GB2312" w:eastAsia="仿宋_GB2312" w:cs="仿宋_GB2312"/>
                <w:color w:val="000000"/>
                <w:sz w:val="20"/>
                <w:szCs w:val="20"/>
                <w:highlight w:val="none"/>
                <w:lang w:eastAsia="zh-CN"/>
              </w:rPr>
              <w:t>；</w:t>
            </w:r>
          </w:p>
          <w:p w14:paraId="43AD531A">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3、打造环境优美、秩序井然、干净整洁的窗口环境；</w:t>
            </w:r>
          </w:p>
          <w:p w14:paraId="367D9492">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4、保证火车站广场和火车东站广场设施设备的正常运转，确保无欠费等原因导致停水停电现象；</w:t>
            </w:r>
          </w:p>
          <w:p w14:paraId="5E2957B2">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5、春运期间，为过往旅客提供优质高效的便民服务，如提供茶水、药品、雨伞等物品，全面完成本年度春运工作任务；</w:t>
            </w:r>
          </w:p>
          <w:p w14:paraId="474BE977">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6、行政许可和行政处罚完全依法依规，以罚代管、以罚代收现象销声匿迹，实现真正的管罚分离；</w:t>
            </w:r>
          </w:p>
          <w:p w14:paraId="3E322C33">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7、及时快速处理火车站广场和火车东站广场管理中出现的突发性问题，如出现执法纠纷迅速赶到现场进行处置，遏制执法事故发生。　　</w:t>
            </w:r>
          </w:p>
        </w:tc>
        <w:tc>
          <w:tcPr>
            <w:tcW w:w="4253" w:type="dxa"/>
            <w:gridSpan w:val="4"/>
            <w:tcBorders>
              <w:top w:val="single" w:color="auto" w:sz="4" w:space="0"/>
              <w:left w:val="nil"/>
              <w:bottom w:val="single" w:color="auto" w:sz="4" w:space="0"/>
              <w:right w:val="single" w:color="auto" w:sz="4" w:space="0"/>
            </w:tcBorders>
            <w:noWrap w:val="0"/>
            <w:vAlign w:val="center"/>
          </w:tcPr>
          <w:p w14:paraId="430B03A6">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及时快速处理</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火车站地区、经开区通海路管理处、金凤桥管理处、木里港管理处管理中出现的难点问题;</w:t>
            </w:r>
          </w:p>
          <w:p w14:paraId="3EBBF297">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2、</w:t>
            </w:r>
            <w:r>
              <w:rPr>
                <w:rFonts w:hint="eastAsia" w:ascii="仿宋_GB2312" w:hAnsi="仿宋_GB2312" w:eastAsia="仿宋_GB2312" w:cs="仿宋_GB2312"/>
                <w:color w:val="000000"/>
                <w:sz w:val="20"/>
                <w:szCs w:val="20"/>
                <w:highlight w:val="none"/>
                <w:lang w:eastAsia="zh-CN"/>
              </w:rPr>
              <w:t>高标准</w:t>
            </w:r>
            <w:r>
              <w:rPr>
                <w:rFonts w:hint="eastAsia" w:ascii="仿宋_GB2312" w:hAnsi="仿宋_GB2312" w:eastAsia="仿宋_GB2312" w:cs="仿宋_GB2312"/>
                <w:color w:val="000000"/>
                <w:sz w:val="20"/>
                <w:szCs w:val="20"/>
                <w:highlight w:val="none"/>
              </w:rPr>
              <w:t>完成</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市委市政府交办的临时性中心工作和重大迎检接待工作</w:t>
            </w:r>
            <w:r>
              <w:rPr>
                <w:rFonts w:hint="eastAsia" w:ascii="仿宋_GB2312" w:hAnsi="仿宋_GB2312" w:eastAsia="仿宋_GB2312" w:cs="仿宋_GB2312"/>
                <w:color w:val="000000"/>
                <w:sz w:val="20"/>
                <w:szCs w:val="20"/>
                <w:highlight w:val="none"/>
                <w:lang w:eastAsia="zh-CN"/>
              </w:rPr>
              <w:t>；</w:t>
            </w:r>
          </w:p>
          <w:p w14:paraId="098639CC">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3、打造</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环境优美、秩序井然、干净整洁的窗口环境；</w:t>
            </w:r>
          </w:p>
          <w:p w14:paraId="4A284C34">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4、火车站广场和火车东站广场设施设备</w:t>
            </w:r>
            <w:r>
              <w:rPr>
                <w:rFonts w:hint="eastAsia" w:ascii="仿宋_GB2312" w:hAnsi="仿宋_GB2312" w:eastAsia="仿宋_GB2312" w:cs="仿宋_GB2312"/>
                <w:color w:val="000000"/>
                <w:sz w:val="20"/>
                <w:szCs w:val="20"/>
                <w:highlight w:val="none"/>
                <w:lang w:eastAsia="zh-CN"/>
              </w:rPr>
              <w:t>全年</w:t>
            </w:r>
            <w:r>
              <w:rPr>
                <w:rFonts w:hint="eastAsia" w:ascii="仿宋_GB2312" w:hAnsi="仿宋_GB2312" w:eastAsia="仿宋_GB2312" w:cs="仿宋_GB2312"/>
                <w:color w:val="000000"/>
                <w:sz w:val="20"/>
                <w:szCs w:val="20"/>
                <w:highlight w:val="none"/>
              </w:rPr>
              <w:t>正常运转，</w:t>
            </w:r>
            <w:r>
              <w:rPr>
                <w:rFonts w:hint="eastAsia" w:ascii="仿宋_GB2312" w:hAnsi="仿宋_GB2312" w:eastAsia="仿宋_GB2312" w:cs="仿宋_GB2312"/>
                <w:color w:val="000000"/>
                <w:sz w:val="20"/>
                <w:szCs w:val="20"/>
                <w:highlight w:val="none"/>
                <w:lang w:eastAsia="zh-CN"/>
              </w:rPr>
              <w:t>保障了设施设备正常供水供</w:t>
            </w:r>
            <w:r>
              <w:rPr>
                <w:rFonts w:hint="eastAsia" w:ascii="仿宋_GB2312" w:hAnsi="仿宋_GB2312" w:eastAsia="仿宋_GB2312" w:cs="仿宋_GB2312"/>
                <w:color w:val="000000"/>
                <w:sz w:val="20"/>
                <w:szCs w:val="20"/>
                <w:highlight w:val="none"/>
              </w:rPr>
              <w:t>电；</w:t>
            </w:r>
          </w:p>
          <w:p w14:paraId="15A05E84">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5、春运期间，为过往旅客提供</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优质高效的便民服务，如提供茶水、药品、雨伞等物品，全面完成本年度春运工作任务；</w:t>
            </w:r>
          </w:p>
          <w:p w14:paraId="22172A38">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6、行政许可和行政处罚完全依法依规，以罚代管、以罚代收现象销声匿迹，实现</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真正的管罚分离；</w:t>
            </w:r>
          </w:p>
          <w:p w14:paraId="01BB1D30">
            <w:pPr>
              <w:keepNext w:val="0"/>
              <w:keepLines w:val="0"/>
              <w:pageBreakBefore w:val="0"/>
              <w:widowControl/>
              <w:kinsoku/>
              <w:wordWrap/>
              <w:overflowPunct/>
              <w:topLinePunct w:val="0"/>
              <w:autoSpaceDE/>
              <w:autoSpaceDN/>
              <w:bidi w:val="0"/>
              <w:adjustRightInd/>
              <w:snapToGrid/>
              <w:spacing w:line="2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7、及时快速处</w:t>
            </w:r>
            <w:r>
              <w:rPr>
                <w:rFonts w:hint="eastAsia" w:ascii="仿宋_GB2312" w:hAnsi="仿宋_GB2312" w:eastAsia="仿宋_GB2312" w:cs="仿宋_GB2312"/>
                <w:color w:val="000000"/>
                <w:sz w:val="20"/>
                <w:szCs w:val="20"/>
                <w:highlight w:val="none"/>
                <w:lang w:eastAsia="zh-CN"/>
              </w:rPr>
              <w:t>置了</w:t>
            </w:r>
            <w:r>
              <w:rPr>
                <w:rFonts w:hint="eastAsia" w:ascii="仿宋_GB2312" w:hAnsi="仿宋_GB2312" w:eastAsia="仿宋_GB2312" w:cs="仿宋_GB2312"/>
                <w:color w:val="000000"/>
                <w:sz w:val="20"/>
                <w:szCs w:val="20"/>
                <w:highlight w:val="none"/>
              </w:rPr>
              <w:t>火车站广场和火车东站广场管理中出现的突发性问题，如出现执法纠纷迅速赶到现场进行处置，遏制执法事故发生。　　</w:t>
            </w:r>
          </w:p>
        </w:tc>
      </w:tr>
      <w:tr w14:paraId="1F2A12F9">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42FFCE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7D353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21962E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07EDC7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EB09C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8CAEF9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03781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6DFD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0672A8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996DD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006D8B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13BF85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C9E4D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2D96039">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35251D9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B94F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DCDDF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749BD4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5959253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21352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C4D6E4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火车站地区交通秩序</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绿化、规范问题</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食品药品、物价、文化市场管理秩序整治</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EDFC2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 xml:space="preserve">  24次</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499F5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24次</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B55F2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04A5D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6BC146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B6BE9C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E899DC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BFD8C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EA4EEE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F2B5D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火车站地区市政设施维护整治</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2049C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24次</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3BEEF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24次</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3F99244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133970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F8E0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90EFED4">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507DD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A3B11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5CB3D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D8425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经开区通海路管理处、金凤桥管理处、木里港管理处</w:t>
            </w:r>
            <w:r>
              <w:rPr>
                <w:rFonts w:hint="eastAsia" w:ascii="仿宋_GB2312" w:hAnsi="仿宋_GB2312" w:eastAsia="仿宋_GB2312" w:cs="仿宋_GB2312"/>
                <w:color w:val="000000"/>
                <w:sz w:val="20"/>
                <w:szCs w:val="20"/>
                <w:highlight w:val="none"/>
                <w:lang w:eastAsia="zh-CN"/>
              </w:rPr>
              <w:t>辖区内市容市貌巡查</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38F8B1C">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3次/天</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7BB390E">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3次/天</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945C579">
            <w:pPr>
              <w:keepNext w:val="0"/>
              <w:keepLines w:val="0"/>
              <w:pageBreakBefore w:val="0"/>
              <w:widowControl/>
              <w:kinsoku/>
              <w:wordWrap/>
              <w:overflowPunct/>
              <w:topLinePunct w:val="0"/>
              <w:autoSpaceDE/>
              <w:autoSpaceDN/>
              <w:bidi w:val="0"/>
              <w:adjustRightInd/>
              <w:snapToGrid/>
              <w:spacing w:line="260" w:lineRule="exact"/>
              <w:ind w:firstLine="200" w:firstLineChars="100"/>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D668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ED652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r w14:paraId="4AA594E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DC7A1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B4AE48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A7BF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7D31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中心工作和重大迎检接待工作完成率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535C45B">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100%</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F32FDA2">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100%</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0D30B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F1CE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64892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574C161D">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28B19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AE191D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B481A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E5B18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i w:val="0"/>
                <w:color w:val="000000"/>
                <w:kern w:val="0"/>
                <w:sz w:val="20"/>
                <w:szCs w:val="20"/>
                <w:u w:val="none"/>
                <w:lang w:val="en-US" w:eastAsia="zh-CN" w:bidi="ar"/>
              </w:rPr>
              <w:t>综合整治确保辖区内秩序见成效</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2984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达到相关行业要求</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9E5E2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i w:val="0"/>
                <w:color w:val="000000"/>
                <w:kern w:val="0"/>
                <w:sz w:val="20"/>
                <w:szCs w:val="20"/>
                <w:u w:val="none"/>
                <w:lang w:val="en-US" w:eastAsia="zh-CN" w:bidi="ar"/>
              </w:rPr>
              <w:t>均符合相关行业标准</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0E6F2C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C4E62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9E83E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D0D48E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B46361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52F47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D85BD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8EF4494">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依法文明执</w:t>
            </w:r>
            <w:r>
              <w:rPr>
                <w:rFonts w:hint="eastAsia" w:ascii="仿宋_GB2312" w:hAnsi="仿宋_GB2312" w:eastAsia="仿宋_GB2312" w:cs="仿宋_GB2312"/>
                <w:color w:val="000000"/>
                <w:sz w:val="20"/>
                <w:szCs w:val="20"/>
                <w:lang w:val="en-US" w:eastAsia="zh-CN"/>
              </w:rPr>
              <w:t>勤</w:t>
            </w:r>
            <w:r>
              <w:rPr>
                <w:rFonts w:hint="eastAsia" w:ascii="仿宋_GB2312" w:hAnsi="仿宋_GB2312" w:eastAsia="仿宋_GB2312" w:cs="仿宋_GB2312"/>
                <w:color w:val="000000"/>
                <w:sz w:val="20"/>
                <w:szCs w:val="20"/>
              </w:rPr>
              <w:t>，操作合规，无投诉。</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1385A42">
            <w:pPr>
              <w:keepNext w:val="0"/>
              <w:keepLines w:val="0"/>
              <w:pageBreakBefore w:val="0"/>
              <w:widowControl/>
              <w:kinsoku/>
              <w:wordWrap/>
              <w:overflowPunct/>
              <w:topLinePunct w:val="0"/>
              <w:autoSpaceDE/>
              <w:autoSpaceDN/>
              <w:bidi w:val="0"/>
              <w:adjustRightInd/>
              <w:snapToGrid/>
              <w:spacing w:line="280" w:lineRule="exact"/>
              <w:textAlignment w:val="center"/>
              <w:rPr>
                <w:rFonts w:hint="eastAsia" w:ascii="仿宋_GB2312" w:hAnsi="仿宋_GB2312" w:eastAsia="仿宋_GB2312" w:cs="仿宋_GB2312"/>
                <w:bCs/>
                <w:color w:val="000000"/>
                <w:kern w:val="0"/>
                <w:sz w:val="20"/>
                <w:szCs w:val="20"/>
                <w:lang w:val="en-US" w:eastAsia="zh-CN" w:bidi="ar-SA"/>
              </w:rPr>
            </w:pPr>
            <w:r>
              <w:rPr>
                <w:rFonts w:hint="eastAsia" w:ascii="仿宋_GB2312" w:hAnsi="仿宋_GB2312" w:eastAsia="仿宋_GB2312" w:cs="仿宋_GB2312"/>
                <w:bCs/>
                <w:sz w:val="20"/>
                <w:szCs w:val="20"/>
                <w:lang w:val="en-US" w:eastAsia="zh-CN"/>
              </w:rPr>
              <w:t>无</w:t>
            </w:r>
            <w:r>
              <w:rPr>
                <w:rFonts w:hint="eastAsia" w:ascii="仿宋_GB2312" w:hAnsi="仿宋_GB2312" w:eastAsia="仿宋_GB2312" w:cs="仿宋_GB2312"/>
                <w:bCs/>
                <w:sz w:val="20"/>
                <w:szCs w:val="20"/>
              </w:rPr>
              <w:t>违规操作投诉</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F9AB4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bCs/>
                <w:sz w:val="20"/>
                <w:szCs w:val="20"/>
              </w:rPr>
              <w:t>完成良好，无违规操作，无投诉。</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3FD0F3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449AB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7C6C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70F4B5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986A36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F936A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D069A0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78D8F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及时完成预定</w:t>
            </w:r>
            <w:r>
              <w:rPr>
                <w:rFonts w:hint="eastAsia" w:ascii="仿宋_GB2312" w:hAnsi="仿宋_GB2312" w:eastAsia="仿宋_GB2312" w:cs="仿宋_GB2312"/>
                <w:color w:val="000000"/>
                <w:sz w:val="20"/>
                <w:szCs w:val="20"/>
                <w:highlight w:val="none"/>
                <w:lang w:eastAsia="zh-CN"/>
              </w:rPr>
              <w:t>工作</w:t>
            </w:r>
            <w:r>
              <w:rPr>
                <w:rFonts w:hint="eastAsia" w:ascii="仿宋_GB2312" w:hAnsi="仿宋_GB2312" w:eastAsia="仿宋_GB2312" w:cs="仿宋_GB2312"/>
                <w:color w:val="000000"/>
                <w:sz w:val="20"/>
                <w:szCs w:val="20"/>
                <w:highlight w:val="none"/>
              </w:rPr>
              <w:t>目标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BFE69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9F152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BC7F18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2E0D27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AD1544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D18731F">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2739E7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D9573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7BC4F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63648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案件办结时长</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38103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在规定时间内办结</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9338B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均在规定时间内办结</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3702F8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60F32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801BD1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D9DE93F">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95E73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444545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55FA3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FA0B2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项目实施成本</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FAF9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控制在</w:t>
            </w:r>
            <w:r>
              <w:rPr>
                <w:rFonts w:hint="eastAsia" w:ascii="仿宋_GB2312" w:hAnsi="仿宋_GB2312" w:eastAsia="仿宋_GB2312" w:cs="仿宋_GB2312"/>
                <w:color w:val="000000"/>
                <w:sz w:val="20"/>
                <w:szCs w:val="20"/>
                <w:highlight w:val="none"/>
                <w:lang w:val="en-US" w:eastAsia="zh-CN"/>
              </w:rPr>
              <w:t>197.5万元之</w:t>
            </w:r>
            <w:r>
              <w:rPr>
                <w:rFonts w:hint="eastAsia" w:ascii="仿宋_GB2312" w:hAnsi="仿宋_GB2312" w:eastAsia="仿宋_GB2312" w:cs="仿宋_GB2312"/>
                <w:color w:val="000000"/>
                <w:sz w:val="20"/>
                <w:szCs w:val="20"/>
                <w:highlight w:val="none"/>
              </w:rPr>
              <w:t>内</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5B81F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未超预算</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03997E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332B7B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027FD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6AE878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21D019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77B664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A3235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4B0E6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对社会发展可能造成的负面影响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8B1BE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无负面影响</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EE496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0E57D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BCA81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5CABC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45FB5F">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74A708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CBB8F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8EA12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7BE46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对自然生态环境造成负面影响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626F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1AB2B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无负面影响</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CB9BF2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1F28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5C440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263F29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32BC0E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A7C3D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75D3442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35B19A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3CFFBA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E0DF2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3464E0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vMerge w:val="restart"/>
            <w:tcBorders>
              <w:top w:val="single" w:color="auto" w:sz="4" w:space="0"/>
              <w:left w:val="single" w:color="auto" w:sz="4" w:space="0"/>
              <w:bottom w:val="single" w:color="auto" w:sz="4" w:space="0"/>
              <w:right w:val="single" w:color="auto" w:sz="4" w:space="0"/>
            </w:tcBorders>
            <w:noWrap w:val="0"/>
            <w:vAlign w:val="center"/>
          </w:tcPr>
          <w:p w14:paraId="51661E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是否产生一定的经济效益</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1FD20C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产生一定的间接经济效益</w:t>
            </w:r>
          </w:p>
          <w:p w14:paraId="29947B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5F52E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kern w:val="0"/>
                <w:sz w:val="20"/>
                <w:szCs w:val="20"/>
              </w:rPr>
              <w:t>吸引</w:t>
            </w:r>
            <w:r>
              <w:rPr>
                <w:rFonts w:hint="eastAsia" w:ascii="仿宋_GB2312" w:hAnsi="仿宋_GB2312" w:eastAsia="仿宋_GB2312" w:cs="仿宋_GB2312"/>
                <w:kern w:val="0"/>
                <w:sz w:val="20"/>
                <w:szCs w:val="20"/>
                <w:lang w:val="en-US" w:eastAsia="zh-CN"/>
              </w:rPr>
              <w:t>了</w:t>
            </w:r>
            <w:r>
              <w:rPr>
                <w:rFonts w:hint="eastAsia" w:ascii="仿宋_GB2312" w:hAnsi="仿宋_GB2312" w:eastAsia="仿宋_GB2312" w:cs="仿宋_GB2312"/>
                <w:kern w:val="0"/>
                <w:sz w:val="20"/>
                <w:szCs w:val="20"/>
              </w:rPr>
              <w:t>外商在岳投资发展产业</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83330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26959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3D14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ADF4AE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5EE06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37FAED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F2FD49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vMerge w:val="continue"/>
            <w:tcBorders>
              <w:top w:val="single" w:color="auto" w:sz="4" w:space="0"/>
              <w:left w:val="single" w:color="auto" w:sz="4" w:space="0"/>
              <w:bottom w:val="single" w:color="auto" w:sz="4" w:space="0"/>
              <w:right w:val="single" w:color="auto" w:sz="4" w:space="0"/>
            </w:tcBorders>
            <w:noWrap w:val="0"/>
            <w:vAlign w:val="center"/>
          </w:tcPr>
          <w:p w14:paraId="239F20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53D7F7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78EDB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kern w:val="0"/>
                <w:sz w:val="20"/>
                <w:szCs w:val="20"/>
              </w:rPr>
              <w:t>吸引外来游客</w:t>
            </w:r>
            <w:r>
              <w:rPr>
                <w:rFonts w:hint="eastAsia" w:ascii="仿宋_GB2312" w:hAnsi="仿宋_GB2312" w:eastAsia="仿宋_GB2312" w:cs="仿宋_GB2312"/>
                <w:kern w:val="0"/>
                <w:sz w:val="20"/>
                <w:szCs w:val="20"/>
                <w:lang w:eastAsia="zh-CN"/>
              </w:rPr>
              <w:t>，</w:t>
            </w:r>
            <w:r>
              <w:rPr>
                <w:rFonts w:hint="eastAsia" w:ascii="仿宋_GB2312" w:hAnsi="仿宋_GB2312" w:eastAsia="仿宋_GB2312" w:cs="仿宋_GB2312"/>
                <w:kern w:val="0"/>
                <w:sz w:val="20"/>
                <w:szCs w:val="20"/>
                <w:lang w:val="en-US" w:eastAsia="zh-CN"/>
              </w:rPr>
              <w:t>助力旅游业发展。</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2B24FC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B9BC2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7A2AE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D09EE9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CF79E4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24752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right w:val="single" w:color="auto" w:sz="4" w:space="0"/>
            </w:tcBorders>
            <w:noWrap w:val="0"/>
            <w:vAlign w:val="center"/>
          </w:tcPr>
          <w:p w14:paraId="54E1E7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7BB777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A0E91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通海路管理处、金凤桥管理处、木里港管理处</w:t>
            </w:r>
            <w:r>
              <w:rPr>
                <w:rFonts w:hint="eastAsia" w:ascii="仿宋_GB2312" w:hAnsi="仿宋_GB2312" w:eastAsia="仿宋_GB2312" w:cs="仿宋_GB2312"/>
                <w:color w:val="000000"/>
                <w:sz w:val="20"/>
                <w:szCs w:val="20"/>
                <w:highlight w:val="none"/>
                <w:lang w:eastAsia="zh-CN"/>
              </w:rPr>
              <w:t>辖区内市容市貌管理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7956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提升辖区内市容市貌管理秩序</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0446D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辖区市容市貌管理秩序有效改善</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15BF78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0A24B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6D827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p>
        </w:tc>
      </w:tr>
      <w:tr w14:paraId="335755B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37141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F32BA9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642857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42201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打造环境优美、秩序井然、干净整洁的窗口环境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1D36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加强两站地区秩序管理，打造窗口场站。</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61BA9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火车站地区管理秩序得到不断</w:t>
            </w:r>
            <w:r>
              <w:rPr>
                <w:rFonts w:hint="eastAsia" w:ascii="仿宋_GB2312" w:hAnsi="仿宋_GB2312" w:eastAsia="仿宋_GB2312" w:cs="仿宋_GB2312"/>
                <w:color w:val="000000"/>
                <w:sz w:val="20"/>
                <w:szCs w:val="20"/>
                <w:highlight w:val="none"/>
              </w:rPr>
              <w:t>改善</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20ADC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7218AF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102121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站场秩序管理常态化有待加强，下一步加强管理提升场站秩序。</w:t>
            </w:r>
          </w:p>
        </w:tc>
      </w:tr>
      <w:tr w14:paraId="37E5DBC8">
        <w:tblPrEx>
          <w:tblCellMar>
            <w:top w:w="0" w:type="dxa"/>
            <w:left w:w="108" w:type="dxa"/>
            <w:bottom w:w="0" w:type="dxa"/>
            <w:right w:w="108" w:type="dxa"/>
          </w:tblCellMar>
        </w:tblPrEx>
        <w:trPr>
          <w:trHeight w:val="188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D6E84F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AD406D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35BF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400A7C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B78CB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lang w:val="en-US" w:eastAsia="zh-CN"/>
              </w:rPr>
              <w:t>对生态效益可能造成的影响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227C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kern w:val="0"/>
                <w:sz w:val="20"/>
                <w:szCs w:val="20"/>
                <w:lang w:eastAsia="zh-CN"/>
              </w:rPr>
              <w:t>加强辖区内扬尘、噪音、油烟、烟花等管理</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2C16A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辖区内</w:t>
            </w:r>
            <w:r>
              <w:rPr>
                <w:rFonts w:hint="eastAsia" w:ascii="仿宋_GB2312" w:hAnsi="仿宋_GB2312" w:eastAsia="仿宋_GB2312" w:cs="仿宋_GB2312"/>
                <w:kern w:val="0"/>
                <w:sz w:val="20"/>
                <w:szCs w:val="20"/>
                <w:lang w:eastAsia="zh-CN"/>
              </w:rPr>
              <w:t>扬尘、噪音、油烟、烟花等</w:t>
            </w:r>
            <w:r>
              <w:rPr>
                <w:rFonts w:hint="eastAsia" w:ascii="仿宋_GB2312" w:hAnsi="仿宋_GB2312" w:eastAsia="仿宋_GB2312" w:cs="仿宋_GB2312"/>
                <w:color w:val="000000"/>
                <w:sz w:val="20"/>
                <w:szCs w:val="20"/>
                <w:lang w:val="en-US" w:eastAsia="zh-CN"/>
              </w:rPr>
              <w:t>环境影响因素得到有效控制</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C0583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6A2B0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EB35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辖区内油烟管理有待加强，加强巡查，加大油烟管控力度。</w:t>
            </w:r>
          </w:p>
        </w:tc>
      </w:tr>
      <w:tr w14:paraId="02DA4AC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E9824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26CA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F4134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870B7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规范场站管理秩序，提升城市形象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DA1B1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提升场站管理秩序</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121AF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管理秩序明显提升</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2629C9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B972D6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52B17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9E31B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7CD79E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499D3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11050A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F691362">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改善辖区内环境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076B3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改善辖区内环境，打造宜业宜居环境</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DC871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eastAsia="zh-CN"/>
              </w:rPr>
              <w:t>辖区内城市环境得到持续改善</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60F2A6D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3CD34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B4B12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CA6D93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2E4BFC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2B64B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1F0768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51735E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4585E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5C616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群众满意度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82A9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95%以上</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5DB87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97%</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4218734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D4860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2173F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DFE28C4">
        <w:tblPrEx>
          <w:tblCellMar>
            <w:top w:w="0" w:type="dxa"/>
            <w:left w:w="108" w:type="dxa"/>
            <w:bottom w:w="0" w:type="dxa"/>
            <w:right w:w="108" w:type="dxa"/>
          </w:tblCellMar>
        </w:tblPrEx>
        <w:trPr>
          <w:trHeight w:val="435" w:hRule="atLeast"/>
          <w:jc w:val="center"/>
        </w:trPr>
        <w:tc>
          <w:tcPr>
            <w:tcW w:w="6828" w:type="dxa"/>
            <w:gridSpan w:val="6"/>
            <w:tcBorders>
              <w:top w:val="single" w:color="auto" w:sz="4" w:space="0"/>
              <w:left w:val="single" w:color="auto" w:sz="4" w:space="0"/>
              <w:bottom w:val="single" w:color="auto" w:sz="4" w:space="0"/>
              <w:right w:val="single" w:color="000000" w:sz="4" w:space="0"/>
            </w:tcBorders>
            <w:noWrap w:val="0"/>
            <w:vAlign w:val="center"/>
          </w:tcPr>
          <w:p w14:paraId="63AC44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32" w:type="dxa"/>
            <w:tcBorders>
              <w:top w:val="single" w:color="auto" w:sz="4" w:space="0"/>
              <w:left w:val="nil"/>
              <w:bottom w:val="single" w:color="auto" w:sz="4" w:space="0"/>
              <w:right w:val="single" w:color="auto" w:sz="4" w:space="0"/>
            </w:tcBorders>
            <w:noWrap w:val="0"/>
            <w:vAlign w:val="center"/>
          </w:tcPr>
          <w:p w14:paraId="043820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nil"/>
              <w:bottom w:val="single" w:color="auto" w:sz="4" w:space="0"/>
              <w:right w:val="single" w:color="auto" w:sz="4" w:space="0"/>
            </w:tcBorders>
            <w:noWrap w:val="0"/>
            <w:vAlign w:val="center"/>
          </w:tcPr>
          <w:p w14:paraId="51E2CF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w:t>
            </w:r>
          </w:p>
        </w:tc>
        <w:tc>
          <w:tcPr>
            <w:tcW w:w="1418" w:type="dxa"/>
            <w:tcBorders>
              <w:top w:val="single" w:color="auto" w:sz="4" w:space="0"/>
              <w:left w:val="nil"/>
              <w:bottom w:val="single" w:color="auto" w:sz="4" w:space="0"/>
              <w:right w:val="single" w:color="auto" w:sz="4" w:space="0"/>
            </w:tcBorders>
            <w:noWrap w:val="0"/>
            <w:vAlign w:val="center"/>
          </w:tcPr>
          <w:p w14:paraId="75CBA2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r>
    </w:tbl>
    <w:p w14:paraId="4A3E7E6D">
      <w:pPr>
        <w:rPr>
          <w:rFonts w:hint="default" w:ascii="Times New Roman" w:hAnsi="Times New Roman" w:eastAsia="仿宋_GB2312" w:cs="Times New Roman"/>
          <w:sz w:val="18"/>
          <w:szCs w:val="18"/>
          <w:highlight w:val="none"/>
        </w:rPr>
      </w:pPr>
    </w:p>
    <w:p w14:paraId="274676F7">
      <w:pPr>
        <w:widowControl/>
        <w:spacing w:after="0" w:afterLines="0" w:line="400" w:lineRule="exact"/>
        <w:jc w:val="left"/>
        <w:rPr>
          <w:rFonts w:hint="eastAsia" w:ascii="Times New Roman" w:hAnsi="Times New Roman" w:eastAsia="仿宋_GB2312" w:cs="Times New Roman"/>
          <w:sz w:val="22"/>
          <w:highlight w:val="none"/>
          <w:lang w:eastAsia="zh-CN"/>
        </w:rPr>
      </w:pPr>
      <w:r>
        <w:rPr>
          <w:rFonts w:hint="default" w:ascii="Times New Roman" w:hAnsi="Times New Roman" w:eastAsia="仿宋_GB2312" w:cs="Times New Roman"/>
          <w:sz w:val="22"/>
          <w:highlight w:val="none"/>
        </w:rPr>
        <w:t>填表人：</w:t>
      </w:r>
      <w:r>
        <w:rPr>
          <w:rFonts w:hint="eastAsia" w:ascii="Times New Roman" w:hAnsi="Times New Roman" w:eastAsia="仿宋_GB2312" w:cs="Times New Roman"/>
          <w:sz w:val="22"/>
          <w:highlight w:val="none"/>
          <w:lang w:eastAsia="zh-CN"/>
        </w:rPr>
        <w:t>宋婷</w:t>
      </w:r>
      <w:r>
        <w:rPr>
          <w:rFonts w:hint="default" w:ascii="Times New Roman" w:hAnsi="Times New Roman" w:eastAsia="仿宋_GB2312" w:cs="Times New Roman"/>
          <w:sz w:val="22"/>
          <w:highlight w:val="none"/>
        </w:rPr>
        <w:t xml:space="preserve"> </w:t>
      </w:r>
      <w:r>
        <w:rPr>
          <w:rFonts w:hint="eastAsia" w:ascii="Times New Roman" w:hAnsi="Times New Roman" w:eastAsia="仿宋_GB2312" w:cs="Times New Roman"/>
          <w:sz w:val="22"/>
          <w:highlight w:val="none"/>
          <w:lang w:val="en-US" w:eastAsia="zh-CN"/>
        </w:rPr>
        <w:t xml:space="preserve"> </w:t>
      </w:r>
      <w:r>
        <w:rPr>
          <w:rFonts w:hint="default" w:ascii="Times New Roman" w:hAnsi="Times New Roman" w:eastAsia="仿宋_GB2312" w:cs="Times New Roman"/>
          <w:sz w:val="22"/>
          <w:highlight w:val="none"/>
        </w:rPr>
        <w:t xml:space="preserve"> 填报日期：</w:t>
      </w:r>
      <w:r>
        <w:rPr>
          <w:rFonts w:hint="eastAsia" w:ascii="仿宋_GB2312" w:hAnsi="仿宋_GB2312" w:eastAsia="仿宋_GB2312" w:cs="仿宋_GB2312"/>
          <w:sz w:val="22"/>
          <w:highlight w:val="none"/>
          <w:lang w:val="en-US" w:eastAsia="zh-CN"/>
        </w:rPr>
        <w:t>202</w:t>
      </w:r>
      <w:r>
        <w:rPr>
          <w:rFonts w:hint="eastAsia" w:ascii="仿宋_GB2312" w:hAnsi="仿宋_GB2312" w:eastAsia="仿宋_GB2312" w:cs="仿宋_GB2312"/>
          <w:sz w:val="22"/>
          <w:highlight w:val="none"/>
          <w:lang w:val="en" w:eastAsia="zh-CN"/>
        </w:rPr>
        <w:t>6</w:t>
      </w:r>
      <w:r>
        <w:rPr>
          <w:rFonts w:hint="eastAsia" w:ascii="仿宋_GB2312" w:hAnsi="仿宋_GB2312" w:eastAsia="仿宋_GB2312" w:cs="仿宋_GB2312"/>
          <w:sz w:val="22"/>
          <w:highlight w:val="none"/>
          <w:lang w:val="en-US" w:eastAsia="zh-CN"/>
        </w:rPr>
        <w:t>.6.18</w:t>
      </w:r>
      <w:r>
        <w:rPr>
          <w:rFonts w:hint="default" w:ascii="Times New Roman" w:hAnsi="Times New Roman" w:eastAsia="仿宋_GB2312" w:cs="Times New Roman"/>
          <w:sz w:val="22"/>
          <w:highlight w:val="none"/>
        </w:rPr>
        <w:t xml:space="preserve">  联系电话：</w:t>
      </w:r>
      <w:r>
        <w:rPr>
          <w:rFonts w:hint="eastAsia" w:ascii="仿宋_GB2312" w:hAnsi="仿宋_GB2312" w:eastAsia="仿宋_GB2312" w:cs="仿宋_GB2312"/>
          <w:sz w:val="22"/>
          <w:szCs w:val="22"/>
        </w:rPr>
        <w:t>8981953</w:t>
      </w:r>
      <w:r>
        <w:rPr>
          <w:rFonts w:hint="eastAsia" w:ascii="仿宋_GB2312" w:hAnsi="仿宋_GB2312" w:eastAsia="仿宋_GB2312" w:cs="仿宋_GB2312"/>
          <w:sz w:val="22"/>
          <w:szCs w:val="22"/>
          <w:lang w:val="en-US" w:eastAsia="zh-CN"/>
        </w:rPr>
        <w:t xml:space="preserve"> </w:t>
      </w:r>
      <w:r>
        <w:rPr>
          <w:rFonts w:hint="eastAsia" w:ascii="仿宋_GB2312" w:hAnsi="仿宋_GB2312" w:eastAsia="仿宋_GB2312" w:cs="仿宋_GB2312"/>
          <w:sz w:val="24"/>
          <w:lang w:val="en-US" w:eastAsia="zh-CN"/>
        </w:rPr>
        <w:t xml:space="preserve"> </w:t>
      </w:r>
      <w:r>
        <w:rPr>
          <w:rFonts w:hint="default" w:ascii="Times New Roman" w:hAnsi="Times New Roman" w:eastAsia="仿宋_GB2312" w:cs="Times New Roman"/>
          <w:sz w:val="22"/>
          <w:highlight w:val="none"/>
        </w:rPr>
        <w:t>单位负责人：</w:t>
      </w:r>
      <w:r>
        <w:rPr>
          <w:rFonts w:hint="eastAsia" w:ascii="Times New Roman" w:hAnsi="Times New Roman" w:eastAsia="仿宋_GB2312" w:cs="Times New Roman"/>
          <w:sz w:val="22"/>
          <w:highlight w:val="none"/>
          <w:lang w:eastAsia="zh-CN"/>
        </w:rPr>
        <w:t>刘力斌</w:t>
      </w:r>
    </w:p>
    <w:p w14:paraId="032FAEC3">
      <w:pPr>
        <w:jc w:val="both"/>
        <w:rPr>
          <w:rFonts w:hint="eastAsia" w:ascii="方正小标宋简体" w:hAnsi="方正小标宋简体" w:eastAsia="方正小标宋简体" w:cs="方正小标宋简体"/>
          <w:b w:val="0"/>
          <w:bCs w:val="0"/>
          <w:sz w:val="44"/>
          <w:szCs w:val="44"/>
          <w:lang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华文楷体">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BAA1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FB493A">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9FB493A">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8E20B2"/>
    <w:multiLevelType w:val="singleLevel"/>
    <w:tmpl w:val="EB8E20B2"/>
    <w:lvl w:ilvl="0" w:tentative="0">
      <w:start w:val="1"/>
      <w:numFmt w:val="chineseCounting"/>
      <w:suff w:val="nothing"/>
      <w:lvlText w:val="（%1）"/>
      <w:lvlJc w:val="left"/>
      <w:rPr>
        <w:rFonts w:hint="eastAsia"/>
      </w:rPr>
    </w:lvl>
  </w:abstractNum>
  <w:abstractNum w:abstractNumId="1">
    <w:nsid w:val="F2BE5DF4"/>
    <w:multiLevelType w:val="singleLevel"/>
    <w:tmpl w:val="F2BE5DF4"/>
    <w:lvl w:ilvl="0" w:tentative="0">
      <w:start w:val="1"/>
      <w:numFmt w:val="chineseCounting"/>
      <w:suff w:val="nothing"/>
      <w:lvlText w:val="%1、"/>
      <w:lvlJc w:val="left"/>
      <w:rPr>
        <w:rFonts w:hint="eastAsia"/>
      </w:rPr>
    </w:lvl>
  </w:abstractNum>
  <w:abstractNum w:abstractNumId="2">
    <w:nsid w:val="65372ED6"/>
    <w:multiLevelType w:val="singleLevel"/>
    <w:tmpl w:val="65372ED6"/>
    <w:lvl w:ilvl="0" w:tentative="0">
      <w:start w:val="5"/>
      <w:numFmt w:val="chineseCounting"/>
      <w:suff w:val="nothing"/>
      <w:lvlText w:val="（%1）"/>
      <w:lvlJc w:val="left"/>
      <w:rPr>
        <w:rFonts w:hint="eastAsia"/>
      </w:rPr>
    </w:lvl>
  </w:abstractNum>
  <w:abstractNum w:abstractNumId="3">
    <w:nsid w:val="6E90CD2E"/>
    <w:multiLevelType w:val="singleLevel"/>
    <w:tmpl w:val="6E90CD2E"/>
    <w:lvl w:ilvl="0" w:tentative="0">
      <w:start w:val="4"/>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OTBlMjkxOGJkZTY2YWVjYTkxNWZjODEzNjkwZDcifQ=="/>
  </w:docVars>
  <w:rsids>
    <w:rsidRoot w:val="59886344"/>
    <w:rsid w:val="008D484F"/>
    <w:rsid w:val="00D16A9A"/>
    <w:rsid w:val="01496276"/>
    <w:rsid w:val="01A63099"/>
    <w:rsid w:val="028C5218"/>
    <w:rsid w:val="02B349AE"/>
    <w:rsid w:val="04D01847"/>
    <w:rsid w:val="052C2A6C"/>
    <w:rsid w:val="0563090D"/>
    <w:rsid w:val="06FB3DF4"/>
    <w:rsid w:val="075DEF4B"/>
    <w:rsid w:val="0C956E62"/>
    <w:rsid w:val="0D77A1BD"/>
    <w:rsid w:val="0DD780DF"/>
    <w:rsid w:val="0DFEE86F"/>
    <w:rsid w:val="0E3DF41A"/>
    <w:rsid w:val="0E4806A0"/>
    <w:rsid w:val="0E5E4367"/>
    <w:rsid w:val="0E8D383A"/>
    <w:rsid w:val="0FD5A9C4"/>
    <w:rsid w:val="0FEF1559"/>
    <w:rsid w:val="0FFFA5D0"/>
    <w:rsid w:val="11BE10DD"/>
    <w:rsid w:val="11FE3E97"/>
    <w:rsid w:val="12103BCB"/>
    <w:rsid w:val="12365B89"/>
    <w:rsid w:val="12EF37E0"/>
    <w:rsid w:val="13182D37"/>
    <w:rsid w:val="13B70C88"/>
    <w:rsid w:val="13E34112"/>
    <w:rsid w:val="13EBB455"/>
    <w:rsid w:val="1444365E"/>
    <w:rsid w:val="14EB0535"/>
    <w:rsid w:val="15202377"/>
    <w:rsid w:val="15D06ED5"/>
    <w:rsid w:val="15FFCBB8"/>
    <w:rsid w:val="169F8159"/>
    <w:rsid w:val="16BA4105"/>
    <w:rsid w:val="16BDB81F"/>
    <w:rsid w:val="17663FDE"/>
    <w:rsid w:val="17DCFC49"/>
    <w:rsid w:val="17DECAE5"/>
    <w:rsid w:val="17EC578D"/>
    <w:rsid w:val="182C4B8E"/>
    <w:rsid w:val="18FE60B2"/>
    <w:rsid w:val="199E4152"/>
    <w:rsid w:val="1AD2194F"/>
    <w:rsid w:val="1B063DBD"/>
    <w:rsid w:val="1BFE9419"/>
    <w:rsid w:val="1BFEC0FC"/>
    <w:rsid w:val="1C136791"/>
    <w:rsid w:val="1C6C5EA1"/>
    <w:rsid w:val="1CED62D1"/>
    <w:rsid w:val="1D1F2F14"/>
    <w:rsid w:val="1D616EFA"/>
    <w:rsid w:val="1DDD0AE1"/>
    <w:rsid w:val="1DEFCC8A"/>
    <w:rsid w:val="1DFDBE0E"/>
    <w:rsid w:val="1DFEDCDD"/>
    <w:rsid w:val="1E4F5A7B"/>
    <w:rsid w:val="1E7B403B"/>
    <w:rsid w:val="1ED6F39C"/>
    <w:rsid w:val="1F0B1394"/>
    <w:rsid w:val="1F4FCAD4"/>
    <w:rsid w:val="1F572E39"/>
    <w:rsid w:val="1F7EC431"/>
    <w:rsid w:val="1FB30FA6"/>
    <w:rsid w:val="1FBFC6AC"/>
    <w:rsid w:val="1FD91A20"/>
    <w:rsid w:val="1FDF649B"/>
    <w:rsid w:val="1FEDF768"/>
    <w:rsid w:val="1FF25530"/>
    <w:rsid w:val="1FF71328"/>
    <w:rsid w:val="1FFBCD0E"/>
    <w:rsid w:val="1FFFCC8A"/>
    <w:rsid w:val="1FFFE739"/>
    <w:rsid w:val="20337402"/>
    <w:rsid w:val="20BFE1F9"/>
    <w:rsid w:val="20E721F8"/>
    <w:rsid w:val="21DC89A3"/>
    <w:rsid w:val="22A16179"/>
    <w:rsid w:val="239F020D"/>
    <w:rsid w:val="23BA4E15"/>
    <w:rsid w:val="23DA1943"/>
    <w:rsid w:val="24F7800B"/>
    <w:rsid w:val="25AF266D"/>
    <w:rsid w:val="25BF3165"/>
    <w:rsid w:val="26ED23F1"/>
    <w:rsid w:val="271138CD"/>
    <w:rsid w:val="27BED117"/>
    <w:rsid w:val="27BFAA36"/>
    <w:rsid w:val="27DB7B13"/>
    <w:rsid w:val="27DD591E"/>
    <w:rsid w:val="27F7B603"/>
    <w:rsid w:val="27FDCA8A"/>
    <w:rsid w:val="284321AC"/>
    <w:rsid w:val="28CF4E13"/>
    <w:rsid w:val="297A4D18"/>
    <w:rsid w:val="297F2A80"/>
    <w:rsid w:val="299F801F"/>
    <w:rsid w:val="29FD3534"/>
    <w:rsid w:val="2A2FBF40"/>
    <w:rsid w:val="2A506673"/>
    <w:rsid w:val="2AA33218"/>
    <w:rsid w:val="2ADFEF6B"/>
    <w:rsid w:val="2AF9E77A"/>
    <w:rsid w:val="2B5879A6"/>
    <w:rsid w:val="2B6D987F"/>
    <w:rsid w:val="2B99FCD3"/>
    <w:rsid w:val="2BB6CCE7"/>
    <w:rsid w:val="2BDB6BA0"/>
    <w:rsid w:val="2BDD29A7"/>
    <w:rsid w:val="2C817A09"/>
    <w:rsid w:val="2CF7131F"/>
    <w:rsid w:val="2D39CCC4"/>
    <w:rsid w:val="2EAE7922"/>
    <w:rsid w:val="2EB41DEA"/>
    <w:rsid w:val="2EBDD83B"/>
    <w:rsid w:val="2EBEC5F4"/>
    <w:rsid w:val="2EC36F3D"/>
    <w:rsid w:val="2ED678D9"/>
    <w:rsid w:val="2EF73093"/>
    <w:rsid w:val="2F2B1BEC"/>
    <w:rsid w:val="2F5F4976"/>
    <w:rsid w:val="2FA3C6CD"/>
    <w:rsid w:val="2FDB3FD9"/>
    <w:rsid w:val="2FDC89E4"/>
    <w:rsid w:val="2FDFA82A"/>
    <w:rsid w:val="2FE08E88"/>
    <w:rsid w:val="2FE5064B"/>
    <w:rsid w:val="2FEC0CD0"/>
    <w:rsid w:val="2FEDB019"/>
    <w:rsid w:val="2FF36357"/>
    <w:rsid w:val="2FFA55CA"/>
    <w:rsid w:val="2FFB2A8D"/>
    <w:rsid w:val="2FFC31C9"/>
    <w:rsid w:val="2FFE325A"/>
    <w:rsid w:val="30CE6CD3"/>
    <w:rsid w:val="312D39F9"/>
    <w:rsid w:val="313FC0CE"/>
    <w:rsid w:val="31FB58A6"/>
    <w:rsid w:val="31FFDA82"/>
    <w:rsid w:val="31FFDED5"/>
    <w:rsid w:val="321E1594"/>
    <w:rsid w:val="3278E520"/>
    <w:rsid w:val="32FE625D"/>
    <w:rsid w:val="333F5C66"/>
    <w:rsid w:val="337F1800"/>
    <w:rsid w:val="337F2627"/>
    <w:rsid w:val="33B788D3"/>
    <w:rsid w:val="33F736D8"/>
    <w:rsid w:val="345E5CA1"/>
    <w:rsid w:val="35BF1D8F"/>
    <w:rsid w:val="35D753A9"/>
    <w:rsid w:val="35FD5EB3"/>
    <w:rsid w:val="35FDF9B1"/>
    <w:rsid w:val="35FF8374"/>
    <w:rsid w:val="35FFEC5D"/>
    <w:rsid w:val="36FD43C1"/>
    <w:rsid w:val="36FF1680"/>
    <w:rsid w:val="37117919"/>
    <w:rsid w:val="378E3902"/>
    <w:rsid w:val="3795353A"/>
    <w:rsid w:val="37AD2523"/>
    <w:rsid w:val="37B74BDF"/>
    <w:rsid w:val="37DB32C2"/>
    <w:rsid w:val="37E775B8"/>
    <w:rsid w:val="37E79123"/>
    <w:rsid w:val="37EE56C7"/>
    <w:rsid w:val="37FB627A"/>
    <w:rsid w:val="37FD1556"/>
    <w:rsid w:val="37FFF642"/>
    <w:rsid w:val="396D6ECE"/>
    <w:rsid w:val="39B50A30"/>
    <w:rsid w:val="39C24EFB"/>
    <w:rsid w:val="39E7E4A9"/>
    <w:rsid w:val="3A6F8A9F"/>
    <w:rsid w:val="3A736993"/>
    <w:rsid w:val="3AA5FEC0"/>
    <w:rsid w:val="3AADCA21"/>
    <w:rsid w:val="3B3FAC54"/>
    <w:rsid w:val="3B59B187"/>
    <w:rsid w:val="3B697D24"/>
    <w:rsid w:val="3B7D74A3"/>
    <w:rsid w:val="3B855DC3"/>
    <w:rsid w:val="3B9DEA05"/>
    <w:rsid w:val="3BBF7A64"/>
    <w:rsid w:val="3BCF74E7"/>
    <w:rsid w:val="3BDD6480"/>
    <w:rsid w:val="3BE56F0E"/>
    <w:rsid w:val="3BFDD07A"/>
    <w:rsid w:val="3BFE458A"/>
    <w:rsid w:val="3BFF2A66"/>
    <w:rsid w:val="3BFFF840"/>
    <w:rsid w:val="3C4F6C2D"/>
    <w:rsid w:val="3C8F91DB"/>
    <w:rsid w:val="3CE70DC1"/>
    <w:rsid w:val="3D5A970D"/>
    <w:rsid w:val="3D7F421C"/>
    <w:rsid w:val="3D9DD21F"/>
    <w:rsid w:val="3DBE0546"/>
    <w:rsid w:val="3DBF3D6A"/>
    <w:rsid w:val="3DDF7086"/>
    <w:rsid w:val="3DF7ED3D"/>
    <w:rsid w:val="3DFB96F3"/>
    <w:rsid w:val="3E2F7C2A"/>
    <w:rsid w:val="3E8C3AE3"/>
    <w:rsid w:val="3E9961C1"/>
    <w:rsid w:val="3EB94B1E"/>
    <w:rsid w:val="3EBD5207"/>
    <w:rsid w:val="3EBE552D"/>
    <w:rsid w:val="3EBF10E8"/>
    <w:rsid w:val="3EE9108B"/>
    <w:rsid w:val="3EF50CB9"/>
    <w:rsid w:val="3EFEE457"/>
    <w:rsid w:val="3F1FCC82"/>
    <w:rsid w:val="3F2C3542"/>
    <w:rsid w:val="3F3BBEF0"/>
    <w:rsid w:val="3F3F0D66"/>
    <w:rsid w:val="3F3F14CA"/>
    <w:rsid w:val="3F3F6D6B"/>
    <w:rsid w:val="3F46D51D"/>
    <w:rsid w:val="3F57B168"/>
    <w:rsid w:val="3F5B6F25"/>
    <w:rsid w:val="3F5FBE3B"/>
    <w:rsid w:val="3F6759D2"/>
    <w:rsid w:val="3F6C067A"/>
    <w:rsid w:val="3F7F7672"/>
    <w:rsid w:val="3F8F325B"/>
    <w:rsid w:val="3FADDDE9"/>
    <w:rsid w:val="3FAF14D3"/>
    <w:rsid w:val="3FB377C0"/>
    <w:rsid w:val="3FB7AF73"/>
    <w:rsid w:val="3FBF8132"/>
    <w:rsid w:val="3FBFD253"/>
    <w:rsid w:val="3FD16F62"/>
    <w:rsid w:val="3FD90768"/>
    <w:rsid w:val="3FDB1817"/>
    <w:rsid w:val="3FE7ECA0"/>
    <w:rsid w:val="3FEB5CDE"/>
    <w:rsid w:val="3FECEDE6"/>
    <w:rsid w:val="3FED9DA8"/>
    <w:rsid w:val="3FEF66F9"/>
    <w:rsid w:val="3FEFB57D"/>
    <w:rsid w:val="3FF40D5F"/>
    <w:rsid w:val="3FFB241D"/>
    <w:rsid w:val="3FFB4CC3"/>
    <w:rsid w:val="3FFD3372"/>
    <w:rsid w:val="3FFF0860"/>
    <w:rsid w:val="3FFF1DED"/>
    <w:rsid w:val="3FFF8F90"/>
    <w:rsid w:val="3FFFE141"/>
    <w:rsid w:val="410D32A6"/>
    <w:rsid w:val="417D62D7"/>
    <w:rsid w:val="41961147"/>
    <w:rsid w:val="420E6F2F"/>
    <w:rsid w:val="43144A19"/>
    <w:rsid w:val="43FF3A2E"/>
    <w:rsid w:val="445552E9"/>
    <w:rsid w:val="44867251"/>
    <w:rsid w:val="44A96FDE"/>
    <w:rsid w:val="455ECA28"/>
    <w:rsid w:val="45765517"/>
    <w:rsid w:val="45B46040"/>
    <w:rsid w:val="45BFAF10"/>
    <w:rsid w:val="45EBA309"/>
    <w:rsid w:val="462D6C1B"/>
    <w:rsid w:val="4658764A"/>
    <w:rsid w:val="466A4950"/>
    <w:rsid w:val="46CD20B1"/>
    <w:rsid w:val="47082C94"/>
    <w:rsid w:val="47560ED4"/>
    <w:rsid w:val="47BBFDA1"/>
    <w:rsid w:val="47D7B304"/>
    <w:rsid w:val="47F6E94A"/>
    <w:rsid w:val="47FE553A"/>
    <w:rsid w:val="47FF2A19"/>
    <w:rsid w:val="47FFAA6B"/>
    <w:rsid w:val="49DF60DE"/>
    <w:rsid w:val="4AE7D4CB"/>
    <w:rsid w:val="4B3774F7"/>
    <w:rsid w:val="4BF7FF93"/>
    <w:rsid w:val="4BFF4083"/>
    <w:rsid w:val="4C9A8CCE"/>
    <w:rsid w:val="4D731B34"/>
    <w:rsid w:val="4D77E885"/>
    <w:rsid w:val="4D7A860D"/>
    <w:rsid w:val="4D7BEF91"/>
    <w:rsid w:val="4D9BECB0"/>
    <w:rsid w:val="4DB36BDD"/>
    <w:rsid w:val="4DB9D278"/>
    <w:rsid w:val="4DFA1092"/>
    <w:rsid w:val="4DFA639B"/>
    <w:rsid w:val="4DFD0E45"/>
    <w:rsid w:val="4E810A89"/>
    <w:rsid w:val="4EBBD229"/>
    <w:rsid w:val="4EE76C9A"/>
    <w:rsid w:val="4EECC26C"/>
    <w:rsid w:val="4EFFFFA1"/>
    <w:rsid w:val="4F5B3E5D"/>
    <w:rsid w:val="4F7C6175"/>
    <w:rsid w:val="4F91170B"/>
    <w:rsid w:val="4FAB0113"/>
    <w:rsid w:val="4FC00D26"/>
    <w:rsid w:val="4FCF5C16"/>
    <w:rsid w:val="4FDF169A"/>
    <w:rsid w:val="4FE5E460"/>
    <w:rsid w:val="4FE5F54B"/>
    <w:rsid w:val="4FED1B05"/>
    <w:rsid w:val="4FED9DA6"/>
    <w:rsid w:val="4FEFACE0"/>
    <w:rsid w:val="4FF5DBC4"/>
    <w:rsid w:val="4FF95262"/>
    <w:rsid w:val="4FFDFFB6"/>
    <w:rsid w:val="4FFFA6E8"/>
    <w:rsid w:val="509E1600"/>
    <w:rsid w:val="51AC0513"/>
    <w:rsid w:val="51FD3872"/>
    <w:rsid w:val="51FF6406"/>
    <w:rsid w:val="52036385"/>
    <w:rsid w:val="529F111B"/>
    <w:rsid w:val="53591FD4"/>
    <w:rsid w:val="53755060"/>
    <w:rsid w:val="53DEAC62"/>
    <w:rsid w:val="546D5D37"/>
    <w:rsid w:val="55F18FAB"/>
    <w:rsid w:val="55FA7415"/>
    <w:rsid w:val="55FF45F9"/>
    <w:rsid w:val="561A1EEF"/>
    <w:rsid w:val="56797ABD"/>
    <w:rsid w:val="567C521B"/>
    <w:rsid w:val="56811F6E"/>
    <w:rsid w:val="56AD555D"/>
    <w:rsid w:val="56D75A3E"/>
    <w:rsid w:val="573BEC38"/>
    <w:rsid w:val="577BE666"/>
    <w:rsid w:val="57B9DDB6"/>
    <w:rsid w:val="57CD3B82"/>
    <w:rsid w:val="57DA7427"/>
    <w:rsid w:val="57EBF938"/>
    <w:rsid w:val="57EFB6C8"/>
    <w:rsid w:val="57FE1A04"/>
    <w:rsid w:val="57FF019D"/>
    <w:rsid w:val="57FF2091"/>
    <w:rsid w:val="57FF38E0"/>
    <w:rsid w:val="57FF9FB7"/>
    <w:rsid w:val="59410596"/>
    <w:rsid w:val="594D2E23"/>
    <w:rsid w:val="59886344"/>
    <w:rsid w:val="5A9AC6B9"/>
    <w:rsid w:val="5A9FF17F"/>
    <w:rsid w:val="5ADF12C9"/>
    <w:rsid w:val="5AF77AD2"/>
    <w:rsid w:val="5AFC179E"/>
    <w:rsid w:val="5B3D807E"/>
    <w:rsid w:val="5B75620C"/>
    <w:rsid w:val="5BB5950F"/>
    <w:rsid w:val="5BBD5CE9"/>
    <w:rsid w:val="5BCC4746"/>
    <w:rsid w:val="5BCF552A"/>
    <w:rsid w:val="5BDD58A8"/>
    <w:rsid w:val="5BDFFC76"/>
    <w:rsid w:val="5BE72647"/>
    <w:rsid w:val="5BEF09E1"/>
    <w:rsid w:val="5BF50F56"/>
    <w:rsid w:val="5BF91EED"/>
    <w:rsid w:val="5BFBC178"/>
    <w:rsid w:val="5BFFD65E"/>
    <w:rsid w:val="5C2E2250"/>
    <w:rsid w:val="5C5C20DB"/>
    <w:rsid w:val="5C7966A8"/>
    <w:rsid w:val="5CBFB19A"/>
    <w:rsid w:val="5CDF2E3D"/>
    <w:rsid w:val="5D5DAF0F"/>
    <w:rsid w:val="5D9DFEE5"/>
    <w:rsid w:val="5DAC4D49"/>
    <w:rsid w:val="5DAF2A63"/>
    <w:rsid w:val="5DBF6D0D"/>
    <w:rsid w:val="5DCF6B94"/>
    <w:rsid w:val="5DED1C97"/>
    <w:rsid w:val="5DEDD54A"/>
    <w:rsid w:val="5DEF7EB3"/>
    <w:rsid w:val="5DEFC284"/>
    <w:rsid w:val="5DF54E96"/>
    <w:rsid w:val="5E3E518C"/>
    <w:rsid w:val="5E77B20D"/>
    <w:rsid w:val="5E7DB268"/>
    <w:rsid w:val="5E9A4B02"/>
    <w:rsid w:val="5EAC6BE4"/>
    <w:rsid w:val="5EAF5D9E"/>
    <w:rsid w:val="5EBFEB95"/>
    <w:rsid w:val="5EDF2BA6"/>
    <w:rsid w:val="5EEDAEE6"/>
    <w:rsid w:val="5EEEA728"/>
    <w:rsid w:val="5EEF032E"/>
    <w:rsid w:val="5EF7D85E"/>
    <w:rsid w:val="5F1EB6CC"/>
    <w:rsid w:val="5F51CEFC"/>
    <w:rsid w:val="5F5D3F8B"/>
    <w:rsid w:val="5F74D46E"/>
    <w:rsid w:val="5F7F25A6"/>
    <w:rsid w:val="5F7F654B"/>
    <w:rsid w:val="5F9760E6"/>
    <w:rsid w:val="5FA15FFE"/>
    <w:rsid w:val="5FAAAB8B"/>
    <w:rsid w:val="5FAC1849"/>
    <w:rsid w:val="5FB011CE"/>
    <w:rsid w:val="5FB16998"/>
    <w:rsid w:val="5FB6C1E4"/>
    <w:rsid w:val="5FB748C3"/>
    <w:rsid w:val="5FBD2578"/>
    <w:rsid w:val="5FBE9D45"/>
    <w:rsid w:val="5FBF1321"/>
    <w:rsid w:val="5FBF32E8"/>
    <w:rsid w:val="5FBF4E4C"/>
    <w:rsid w:val="5FBFACC5"/>
    <w:rsid w:val="5FCE85A1"/>
    <w:rsid w:val="5FD67D20"/>
    <w:rsid w:val="5FDAB28C"/>
    <w:rsid w:val="5FDE5F71"/>
    <w:rsid w:val="5FEF86A1"/>
    <w:rsid w:val="5FF51C2E"/>
    <w:rsid w:val="5FF9CEB3"/>
    <w:rsid w:val="5FFC0BAD"/>
    <w:rsid w:val="5FFD7404"/>
    <w:rsid w:val="5FFDC0D8"/>
    <w:rsid w:val="5FFF0E75"/>
    <w:rsid w:val="5FFF10D6"/>
    <w:rsid w:val="5FFFE95E"/>
    <w:rsid w:val="614D5EC2"/>
    <w:rsid w:val="61B01959"/>
    <w:rsid w:val="61C471B3"/>
    <w:rsid w:val="61D25D9B"/>
    <w:rsid w:val="627D921D"/>
    <w:rsid w:val="6283706E"/>
    <w:rsid w:val="631A352E"/>
    <w:rsid w:val="63FF35D1"/>
    <w:rsid w:val="647F9038"/>
    <w:rsid w:val="64A84B6A"/>
    <w:rsid w:val="64DFBCE1"/>
    <w:rsid w:val="64FF4238"/>
    <w:rsid w:val="64FFD998"/>
    <w:rsid w:val="652C0601"/>
    <w:rsid w:val="65EE5878"/>
    <w:rsid w:val="65F5E499"/>
    <w:rsid w:val="669E91DD"/>
    <w:rsid w:val="66C76C8B"/>
    <w:rsid w:val="66F73DD1"/>
    <w:rsid w:val="66FF14BB"/>
    <w:rsid w:val="679F1232"/>
    <w:rsid w:val="67BF2851"/>
    <w:rsid w:val="67DDC454"/>
    <w:rsid w:val="67DE67A4"/>
    <w:rsid w:val="67DF3986"/>
    <w:rsid w:val="67E330ED"/>
    <w:rsid w:val="67EF6936"/>
    <w:rsid w:val="67F314A6"/>
    <w:rsid w:val="67F4E3AB"/>
    <w:rsid w:val="67F540C7"/>
    <w:rsid w:val="67FDCD7E"/>
    <w:rsid w:val="6808604B"/>
    <w:rsid w:val="68AA0EB0"/>
    <w:rsid w:val="693370F8"/>
    <w:rsid w:val="699F8F4A"/>
    <w:rsid w:val="69F0323B"/>
    <w:rsid w:val="6AB7F11C"/>
    <w:rsid w:val="6AF5953F"/>
    <w:rsid w:val="6AFFC034"/>
    <w:rsid w:val="6B3F2D9E"/>
    <w:rsid w:val="6B5F2DF1"/>
    <w:rsid w:val="6B77F4BE"/>
    <w:rsid w:val="6B85B28E"/>
    <w:rsid w:val="6BBB9878"/>
    <w:rsid w:val="6BE50135"/>
    <w:rsid w:val="6BEBCA9E"/>
    <w:rsid w:val="6BF79620"/>
    <w:rsid w:val="6BFFB184"/>
    <w:rsid w:val="6C33740F"/>
    <w:rsid w:val="6C372E17"/>
    <w:rsid w:val="6C6880C8"/>
    <w:rsid w:val="6C7BFE88"/>
    <w:rsid w:val="6C885074"/>
    <w:rsid w:val="6CAFDF75"/>
    <w:rsid w:val="6CD17E6F"/>
    <w:rsid w:val="6CFE4E94"/>
    <w:rsid w:val="6D293A36"/>
    <w:rsid w:val="6D77FA34"/>
    <w:rsid w:val="6D7F7D34"/>
    <w:rsid w:val="6DA5FDE4"/>
    <w:rsid w:val="6DBF5B8A"/>
    <w:rsid w:val="6DDFC29C"/>
    <w:rsid w:val="6DF164B8"/>
    <w:rsid w:val="6DF2BB22"/>
    <w:rsid w:val="6DF743FC"/>
    <w:rsid w:val="6DFA8227"/>
    <w:rsid w:val="6DFB251D"/>
    <w:rsid w:val="6DFFD796"/>
    <w:rsid w:val="6E3F9DD0"/>
    <w:rsid w:val="6E6FCE02"/>
    <w:rsid w:val="6E7D6000"/>
    <w:rsid w:val="6E9E1C0B"/>
    <w:rsid w:val="6E9F6232"/>
    <w:rsid w:val="6EBF9462"/>
    <w:rsid w:val="6ED30C99"/>
    <w:rsid w:val="6EDF3D9C"/>
    <w:rsid w:val="6EF3F294"/>
    <w:rsid w:val="6EFE9052"/>
    <w:rsid w:val="6EFF3220"/>
    <w:rsid w:val="6F1D1CAE"/>
    <w:rsid w:val="6F3A01E7"/>
    <w:rsid w:val="6F3D027F"/>
    <w:rsid w:val="6F450B59"/>
    <w:rsid w:val="6F5412CA"/>
    <w:rsid w:val="6F572554"/>
    <w:rsid w:val="6F5D5481"/>
    <w:rsid w:val="6F5F34A6"/>
    <w:rsid w:val="6F739072"/>
    <w:rsid w:val="6F7D5715"/>
    <w:rsid w:val="6F7F366A"/>
    <w:rsid w:val="6FAD2413"/>
    <w:rsid w:val="6FBC05AF"/>
    <w:rsid w:val="6FBD803E"/>
    <w:rsid w:val="6FCCDC34"/>
    <w:rsid w:val="6FCD56AA"/>
    <w:rsid w:val="6FCE7B7A"/>
    <w:rsid w:val="6FD11B77"/>
    <w:rsid w:val="6FDD0890"/>
    <w:rsid w:val="6FDD0B58"/>
    <w:rsid w:val="6FFE3AC5"/>
    <w:rsid w:val="6FFEC2FF"/>
    <w:rsid w:val="6FFED73F"/>
    <w:rsid w:val="6FFF6A9D"/>
    <w:rsid w:val="6FFF85A3"/>
    <w:rsid w:val="70A628A5"/>
    <w:rsid w:val="70CFB2AF"/>
    <w:rsid w:val="70E07A28"/>
    <w:rsid w:val="70E64A50"/>
    <w:rsid w:val="70EED1B3"/>
    <w:rsid w:val="7103060E"/>
    <w:rsid w:val="717DB816"/>
    <w:rsid w:val="71EBAF7A"/>
    <w:rsid w:val="726D5581"/>
    <w:rsid w:val="72E55979"/>
    <w:rsid w:val="72F5A983"/>
    <w:rsid w:val="72FFA878"/>
    <w:rsid w:val="733FC005"/>
    <w:rsid w:val="735F90C5"/>
    <w:rsid w:val="73735343"/>
    <w:rsid w:val="737F3369"/>
    <w:rsid w:val="737F4A4A"/>
    <w:rsid w:val="73AF4F06"/>
    <w:rsid w:val="73BEE493"/>
    <w:rsid w:val="73BFEB60"/>
    <w:rsid w:val="73C7A718"/>
    <w:rsid w:val="73CF1F04"/>
    <w:rsid w:val="73F74FCC"/>
    <w:rsid w:val="73FC0797"/>
    <w:rsid w:val="73FF2970"/>
    <w:rsid w:val="7437EEFA"/>
    <w:rsid w:val="74B643B6"/>
    <w:rsid w:val="74F1B5AE"/>
    <w:rsid w:val="74FE138D"/>
    <w:rsid w:val="755723C0"/>
    <w:rsid w:val="756B396D"/>
    <w:rsid w:val="75766A5C"/>
    <w:rsid w:val="7579425E"/>
    <w:rsid w:val="75958629"/>
    <w:rsid w:val="75CFDDF4"/>
    <w:rsid w:val="75DED810"/>
    <w:rsid w:val="75DF3451"/>
    <w:rsid w:val="75EB8FEA"/>
    <w:rsid w:val="75ED185B"/>
    <w:rsid w:val="75F21652"/>
    <w:rsid w:val="75FE7A6C"/>
    <w:rsid w:val="76570DC5"/>
    <w:rsid w:val="765F1300"/>
    <w:rsid w:val="76974ABC"/>
    <w:rsid w:val="76AA4771"/>
    <w:rsid w:val="76BF368A"/>
    <w:rsid w:val="76ED35ED"/>
    <w:rsid w:val="76F9C8A6"/>
    <w:rsid w:val="76FC3B89"/>
    <w:rsid w:val="76FF1C25"/>
    <w:rsid w:val="76FF510D"/>
    <w:rsid w:val="775B6E2F"/>
    <w:rsid w:val="77735A2E"/>
    <w:rsid w:val="777777DF"/>
    <w:rsid w:val="777FEEEE"/>
    <w:rsid w:val="778D7998"/>
    <w:rsid w:val="778DC91E"/>
    <w:rsid w:val="779FF16B"/>
    <w:rsid w:val="77AFD7D7"/>
    <w:rsid w:val="77BB23D5"/>
    <w:rsid w:val="77BDB8D4"/>
    <w:rsid w:val="77BF5F1F"/>
    <w:rsid w:val="77BFC8BC"/>
    <w:rsid w:val="77CFA2C4"/>
    <w:rsid w:val="77D7214E"/>
    <w:rsid w:val="77DB7915"/>
    <w:rsid w:val="77E300E3"/>
    <w:rsid w:val="77E75568"/>
    <w:rsid w:val="77EF08EF"/>
    <w:rsid w:val="77EF8522"/>
    <w:rsid w:val="77F23DE3"/>
    <w:rsid w:val="77F33F24"/>
    <w:rsid w:val="77F63134"/>
    <w:rsid w:val="77F72F7A"/>
    <w:rsid w:val="77F74E30"/>
    <w:rsid w:val="77FA6BB6"/>
    <w:rsid w:val="77FBCA07"/>
    <w:rsid w:val="77FDBA10"/>
    <w:rsid w:val="77FDD444"/>
    <w:rsid w:val="77FF46BA"/>
    <w:rsid w:val="77FF5289"/>
    <w:rsid w:val="77FF9FA0"/>
    <w:rsid w:val="77FFA02A"/>
    <w:rsid w:val="77FFA70B"/>
    <w:rsid w:val="77FFC791"/>
    <w:rsid w:val="785F551B"/>
    <w:rsid w:val="787DB229"/>
    <w:rsid w:val="78973839"/>
    <w:rsid w:val="78BF2868"/>
    <w:rsid w:val="78DF86FF"/>
    <w:rsid w:val="78F7061A"/>
    <w:rsid w:val="7965459A"/>
    <w:rsid w:val="796F1045"/>
    <w:rsid w:val="79A99D6B"/>
    <w:rsid w:val="79AEB248"/>
    <w:rsid w:val="79B9558B"/>
    <w:rsid w:val="79E344CE"/>
    <w:rsid w:val="79EA4292"/>
    <w:rsid w:val="79F5C08D"/>
    <w:rsid w:val="79F996E5"/>
    <w:rsid w:val="79FD1670"/>
    <w:rsid w:val="79FF8AA5"/>
    <w:rsid w:val="7A5A114F"/>
    <w:rsid w:val="7A7F22C0"/>
    <w:rsid w:val="7AB74FBD"/>
    <w:rsid w:val="7AB8E66E"/>
    <w:rsid w:val="7AC99249"/>
    <w:rsid w:val="7AEF81D4"/>
    <w:rsid w:val="7AF22D59"/>
    <w:rsid w:val="7AFB5646"/>
    <w:rsid w:val="7AFD3765"/>
    <w:rsid w:val="7B17B492"/>
    <w:rsid w:val="7B29A089"/>
    <w:rsid w:val="7B3C91D2"/>
    <w:rsid w:val="7B6F8651"/>
    <w:rsid w:val="7B75AC04"/>
    <w:rsid w:val="7B77D090"/>
    <w:rsid w:val="7B7B6CA2"/>
    <w:rsid w:val="7B7E8209"/>
    <w:rsid w:val="7B7F187F"/>
    <w:rsid w:val="7B7F6E41"/>
    <w:rsid w:val="7B96333C"/>
    <w:rsid w:val="7B96E430"/>
    <w:rsid w:val="7B9F5900"/>
    <w:rsid w:val="7BBA589F"/>
    <w:rsid w:val="7BBBBA15"/>
    <w:rsid w:val="7BBBD87D"/>
    <w:rsid w:val="7BBC80A9"/>
    <w:rsid w:val="7BBFC324"/>
    <w:rsid w:val="7BC7C43B"/>
    <w:rsid w:val="7BD6CE72"/>
    <w:rsid w:val="7BDB1FCB"/>
    <w:rsid w:val="7BDBEE7E"/>
    <w:rsid w:val="7BDC337C"/>
    <w:rsid w:val="7BDF7C60"/>
    <w:rsid w:val="7BE3B3EB"/>
    <w:rsid w:val="7BEF23A0"/>
    <w:rsid w:val="7BEF8E31"/>
    <w:rsid w:val="7BEFBDA5"/>
    <w:rsid w:val="7BEFFC8B"/>
    <w:rsid w:val="7BF38DBE"/>
    <w:rsid w:val="7BF706B6"/>
    <w:rsid w:val="7BF75D2A"/>
    <w:rsid w:val="7BF7D3C7"/>
    <w:rsid w:val="7BF9D807"/>
    <w:rsid w:val="7BFB0E79"/>
    <w:rsid w:val="7BFB72C1"/>
    <w:rsid w:val="7BFBA914"/>
    <w:rsid w:val="7BFC4387"/>
    <w:rsid w:val="7BFD27B8"/>
    <w:rsid w:val="7BFD6700"/>
    <w:rsid w:val="7BFDE83C"/>
    <w:rsid w:val="7BFF9113"/>
    <w:rsid w:val="7BFF94AB"/>
    <w:rsid w:val="7BFFD338"/>
    <w:rsid w:val="7C37546A"/>
    <w:rsid w:val="7C5F8518"/>
    <w:rsid w:val="7C778C64"/>
    <w:rsid w:val="7C7D38E9"/>
    <w:rsid w:val="7C7FFE55"/>
    <w:rsid w:val="7CAE14B3"/>
    <w:rsid w:val="7CB5A254"/>
    <w:rsid w:val="7CBA6754"/>
    <w:rsid w:val="7CC3E680"/>
    <w:rsid w:val="7CD4437E"/>
    <w:rsid w:val="7CDAAEF9"/>
    <w:rsid w:val="7CEF6286"/>
    <w:rsid w:val="7CF88793"/>
    <w:rsid w:val="7CF9F948"/>
    <w:rsid w:val="7CFD07E4"/>
    <w:rsid w:val="7CFE351F"/>
    <w:rsid w:val="7CFF42E1"/>
    <w:rsid w:val="7CFF72CF"/>
    <w:rsid w:val="7D4704E7"/>
    <w:rsid w:val="7D6D1AA0"/>
    <w:rsid w:val="7D778D61"/>
    <w:rsid w:val="7D7F2724"/>
    <w:rsid w:val="7D8F5D1E"/>
    <w:rsid w:val="7D9EE352"/>
    <w:rsid w:val="7DBD1610"/>
    <w:rsid w:val="7DBD3860"/>
    <w:rsid w:val="7DBF1089"/>
    <w:rsid w:val="7DD1F3EB"/>
    <w:rsid w:val="7DE74988"/>
    <w:rsid w:val="7DEC7DB5"/>
    <w:rsid w:val="7DEEBCFA"/>
    <w:rsid w:val="7DEFAFA1"/>
    <w:rsid w:val="7DF5E7EA"/>
    <w:rsid w:val="7DF70079"/>
    <w:rsid w:val="7DF71B4A"/>
    <w:rsid w:val="7DF79BF8"/>
    <w:rsid w:val="7DF877DD"/>
    <w:rsid w:val="7DFCAE09"/>
    <w:rsid w:val="7DFCEC8C"/>
    <w:rsid w:val="7DFF36FB"/>
    <w:rsid w:val="7DFF4C62"/>
    <w:rsid w:val="7DFF6404"/>
    <w:rsid w:val="7DFF9252"/>
    <w:rsid w:val="7E2D4212"/>
    <w:rsid w:val="7E351BA7"/>
    <w:rsid w:val="7E464D80"/>
    <w:rsid w:val="7E5F02B6"/>
    <w:rsid w:val="7E6F9FB6"/>
    <w:rsid w:val="7E77B782"/>
    <w:rsid w:val="7E79D106"/>
    <w:rsid w:val="7E7FDDA6"/>
    <w:rsid w:val="7E99A368"/>
    <w:rsid w:val="7E9E86EE"/>
    <w:rsid w:val="7EAB96B5"/>
    <w:rsid w:val="7EB662C3"/>
    <w:rsid w:val="7EBF02B4"/>
    <w:rsid w:val="7EBF08B4"/>
    <w:rsid w:val="7EBFDAA3"/>
    <w:rsid w:val="7ECE669E"/>
    <w:rsid w:val="7ECFC7BF"/>
    <w:rsid w:val="7EDF5591"/>
    <w:rsid w:val="7EEE45F8"/>
    <w:rsid w:val="7EF7B697"/>
    <w:rsid w:val="7EFB0260"/>
    <w:rsid w:val="7EFB3F53"/>
    <w:rsid w:val="7EFBA8A3"/>
    <w:rsid w:val="7EFF40DB"/>
    <w:rsid w:val="7F151CA5"/>
    <w:rsid w:val="7F2FD262"/>
    <w:rsid w:val="7F373E88"/>
    <w:rsid w:val="7F3F7F55"/>
    <w:rsid w:val="7F440D71"/>
    <w:rsid w:val="7F4761F1"/>
    <w:rsid w:val="7F4CC8E0"/>
    <w:rsid w:val="7F4F755A"/>
    <w:rsid w:val="7F5CBB11"/>
    <w:rsid w:val="7F5E1D36"/>
    <w:rsid w:val="7F734DA5"/>
    <w:rsid w:val="7F76445D"/>
    <w:rsid w:val="7F76E2E9"/>
    <w:rsid w:val="7F772A10"/>
    <w:rsid w:val="7F792D26"/>
    <w:rsid w:val="7F79F3F4"/>
    <w:rsid w:val="7F7B3724"/>
    <w:rsid w:val="7F7C504E"/>
    <w:rsid w:val="7F7DFC16"/>
    <w:rsid w:val="7F7E3516"/>
    <w:rsid w:val="7F7E786D"/>
    <w:rsid w:val="7F7F572C"/>
    <w:rsid w:val="7F8D7934"/>
    <w:rsid w:val="7F8FCEA1"/>
    <w:rsid w:val="7F8FF939"/>
    <w:rsid w:val="7F9ABB77"/>
    <w:rsid w:val="7F9F721C"/>
    <w:rsid w:val="7F9FB1CE"/>
    <w:rsid w:val="7FB16FEF"/>
    <w:rsid w:val="7FB31CEB"/>
    <w:rsid w:val="7FB52C25"/>
    <w:rsid w:val="7FBA1DF8"/>
    <w:rsid w:val="7FBA4FB8"/>
    <w:rsid w:val="7FBBBC31"/>
    <w:rsid w:val="7FBCD303"/>
    <w:rsid w:val="7FBE9E0A"/>
    <w:rsid w:val="7FBF17EC"/>
    <w:rsid w:val="7FBF8CF6"/>
    <w:rsid w:val="7FBF9844"/>
    <w:rsid w:val="7FBFAD46"/>
    <w:rsid w:val="7FBFDEA6"/>
    <w:rsid w:val="7FCA3FDE"/>
    <w:rsid w:val="7FCBC7C2"/>
    <w:rsid w:val="7FCD4E9A"/>
    <w:rsid w:val="7FD5D111"/>
    <w:rsid w:val="7FD75723"/>
    <w:rsid w:val="7FD79A39"/>
    <w:rsid w:val="7FD7CAD6"/>
    <w:rsid w:val="7FDDE171"/>
    <w:rsid w:val="7FDE8B05"/>
    <w:rsid w:val="7FDFA1A9"/>
    <w:rsid w:val="7FE68411"/>
    <w:rsid w:val="7FE7049C"/>
    <w:rsid w:val="7FEB3C97"/>
    <w:rsid w:val="7FEBD535"/>
    <w:rsid w:val="7FEE2CEC"/>
    <w:rsid w:val="7FEEADF9"/>
    <w:rsid w:val="7FEFE1EE"/>
    <w:rsid w:val="7FF238DB"/>
    <w:rsid w:val="7FF3347D"/>
    <w:rsid w:val="7FF62D9E"/>
    <w:rsid w:val="7FF75EBB"/>
    <w:rsid w:val="7FF7AA02"/>
    <w:rsid w:val="7FF7C95E"/>
    <w:rsid w:val="7FF7CAC9"/>
    <w:rsid w:val="7FF7FF55"/>
    <w:rsid w:val="7FF7FFCC"/>
    <w:rsid w:val="7FF95D0B"/>
    <w:rsid w:val="7FF9844E"/>
    <w:rsid w:val="7FF98B00"/>
    <w:rsid w:val="7FF9DB8C"/>
    <w:rsid w:val="7FFA8372"/>
    <w:rsid w:val="7FFB0D8C"/>
    <w:rsid w:val="7FFB641C"/>
    <w:rsid w:val="7FFBC16B"/>
    <w:rsid w:val="7FFBEE0A"/>
    <w:rsid w:val="7FFD3680"/>
    <w:rsid w:val="7FFD6EBD"/>
    <w:rsid w:val="7FFD9B27"/>
    <w:rsid w:val="7FFDACE8"/>
    <w:rsid w:val="7FFDC60F"/>
    <w:rsid w:val="7FFDF948"/>
    <w:rsid w:val="7FFE6105"/>
    <w:rsid w:val="7FFE9648"/>
    <w:rsid w:val="7FFEB769"/>
    <w:rsid w:val="7FFF0A1C"/>
    <w:rsid w:val="7FFF289F"/>
    <w:rsid w:val="7FFF6AB0"/>
    <w:rsid w:val="7FFFCD66"/>
    <w:rsid w:val="7FFFCE83"/>
    <w:rsid w:val="7FFFDA3B"/>
    <w:rsid w:val="81EE75DE"/>
    <w:rsid w:val="85F7B9EF"/>
    <w:rsid w:val="87FF873C"/>
    <w:rsid w:val="8BFF5F0E"/>
    <w:rsid w:val="8C7F6CB3"/>
    <w:rsid w:val="8DF7D8D8"/>
    <w:rsid w:val="8EB62F47"/>
    <w:rsid w:val="8F3CDDBF"/>
    <w:rsid w:val="8F6BAEBE"/>
    <w:rsid w:val="8FE7627A"/>
    <w:rsid w:val="8FF1731B"/>
    <w:rsid w:val="8FFC3CD1"/>
    <w:rsid w:val="93F2246D"/>
    <w:rsid w:val="93F56298"/>
    <w:rsid w:val="96574CBF"/>
    <w:rsid w:val="96D74EE7"/>
    <w:rsid w:val="9796B456"/>
    <w:rsid w:val="97AD31E8"/>
    <w:rsid w:val="97CF38DA"/>
    <w:rsid w:val="97FD3C96"/>
    <w:rsid w:val="97FDCF1B"/>
    <w:rsid w:val="97FFB192"/>
    <w:rsid w:val="9931D39A"/>
    <w:rsid w:val="9AF7C31B"/>
    <w:rsid w:val="9B7D26D8"/>
    <w:rsid w:val="9B9DF56E"/>
    <w:rsid w:val="9BEDEFFC"/>
    <w:rsid w:val="9BFA354F"/>
    <w:rsid w:val="9BFD2827"/>
    <w:rsid w:val="9BFE2294"/>
    <w:rsid w:val="9EA22C90"/>
    <w:rsid w:val="9ED77BD1"/>
    <w:rsid w:val="9FA6F57E"/>
    <w:rsid w:val="9FBD311D"/>
    <w:rsid w:val="9FECD949"/>
    <w:rsid w:val="9FEF133F"/>
    <w:rsid w:val="9FFEAB27"/>
    <w:rsid w:val="9FFFC5BD"/>
    <w:rsid w:val="A0BF55E8"/>
    <w:rsid w:val="A1B71778"/>
    <w:rsid w:val="A5CF0C50"/>
    <w:rsid w:val="A5FF8800"/>
    <w:rsid w:val="A699500B"/>
    <w:rsid w:val="A6B3778F"/>
    <w:rsid w:val="A7375A7F"/>
    <w:rsid w:val="A73EA80C"/>
    <w:rsid w:val="A77D489D"/>
    <w:rsid w:val="A7A33167"/>
    <w:rsid w:val="A7E2807E"/>
    <w:rsid w:val="A7FC4D8E"/>
    <w:rsid w:val="A9FE49B2"/>
    <w:rsid w:val="A9FF482E"/>
    <w:rsid w:val="AB6E91B1"/>
    <w:rsid w:val="AB6FECC3"/>
    <w:rsid w:val="ABA1C7B5"/>
    <w:rsid w:val="ABBF3A10"/>
    <w:rsid w:val="ABDE233F"/>
    <w:rsid w:val="ABFF548E"/>
    <w:rsid w:val="ACD979FB"/>
    <w:rsid w:val="ACE30426"/>
    <w:rsid w:val="ACF7FEF3"/>
    <w:rsid w:val="AD3774E9"/>
    <w:rsid w:val="AD77BA68"/>
    <w:rsid w:val="AD7FED19"/>
    <w:rsid w:val="ADCF6A12"/>
    <w:rsid w:val="ADDF0B27"/>
    <w:rsid w:val="AEBFC7CC"/>
    <w:rsid w:val="AEE663CE"/>
    <w:rsid w:val="AF3B422E"/>
    <w:rsid w:val="AF7DCC30"/>
    <w:rsid w:val="AF7DD8F3"/>
    <w:rsid w:val="AF84EAC3"/>
    <w:rsid w:val="AF99C0FF"/>
    <w:rsid w:val="AF9E10F6"/>
    <w:rsid w:val="AFA5F015"/>
    <w:rsid w:val="AFCEA49B"/>
    <w:rsid w:val="AFDB2750"/>
    <w:rsid w:val="AFE728CE"/>
    <w:rsid w:val="AFF30532"/>
    <w:rsid w:val="AFFBCE2E"/>
    <w:rsid w:val="AFFC1F02"/>
    <w:rsid w:val="B13A256A"/>
    <w:rsid w:val="B1FFC6A8"/>
    <w:rsid w:val="B37F5754"/>
    <w:rsid w:val="B3E113FD"/>
    <w:rsid w:val="B3FC3491"/>
    <w:rsid w:val="B3FF67DC"/>
    <w:rsid w:val="B41F13F2"/>
    <w:rsid w:val="B57F6463"/>
    <w:rsid w:val="B5BAC2EA"/>
    <w:rsid w:val="B5BBF3E3"/>
    <w:rsid w:val="B5BF1BC4"/>
    <w:rsid w:val="B5FAEE7D"/>
    <w:rsid w:val="B65A2C24"/>
    <w:rsid w:val="B6BDEFD0"/>
    <w:rsid w:val="B6F2DD09"/>
    <w:rsid w:val="B72FD94B"/>
    <w:rsid w:val="B7531CE7"/>
    <w:rsid w:val="B75E3E31"/>
    <w:rsid w:val="B76E9B91"/>
    <w:rsid w:val="B76F3FC5"/>
    <w:rsid w:val="B7BAF04F"/>
    <w:rsid w:val="B7CF4020"/>
    <w:rsid w:val="B7DEFEDB"/>
    <w:rsid w:val="B7EED121"/>
    <w:rsid w:val="B7EFBC04"/>
    <w:rsid w:val="B7F7328C"/>
    <w:rsid w:val="B7FBDDD5"/>
    <w:rsid w:val="B947E89F"/>
    <w:rsid w:val="BABF312A"/>
    <w:rsid w:val="BABFC182"/>
    <w:rsid w:val="BACFB070"/>
    <w:rsid w:val="BAEFEBF8"/>
    <w:rsid w:val="BAF3D55C"/>
    <w:rsid w:val="BAF58913"/>
    <w:rsid w:val="BB1D34DC"/>
    <w:rsid w:val="BB6F3F34"/>
    <w:rsid w:val="BB7E5C56"/>
    <w:rsid w:val="BB9F4FF6"/>
    <w:rsid w:val="BBB7C383"/>
    <w:rsid w:val="BBBF8C0E"/>
    <w:rsid w:val="BBDB6EBF"/>
    <w:rsid w:val="BBEE1C53"/>
    <w:rsid w:val="BBEFE6C4"/>
    <w:rsid w:val="BBF6A053"/>
    <w:rsid w:val="BBF7423C"/>
    <w:rsid w:val="BBF93E2E"/>
    <w:rsid w:val="BBFBB5B0"/>
    <w:rsid w:val="BBFF28CC"/>
    <w:rsid w:val="BBFF5F19"/>
    <w:rsid w:val="BC3FE9CC"/>
    <w:rsid w:val="BC7D6C25"/>
    <w:rsid w:val="BC7FD966"/>
    <w:rsid w:val="BCAFA92B"/>
    <w:rsid w:val="BCFAC8C9"/>
    <w:rsid w:val="BCFDEADD"/>
    <w:rsid w:val="BD5E856F"/>
    <w:rsid w:val="BD6D25A6"/>
    <w:rsid w:val="BD7B8DEC"/>
    <w:rsid w:val="BDBA1405"/>
    <w:rsid w:val="BDBB3701"/>
    <w:rsid w:val="BDBD27A6"/>
    <w:rsid w:val="BDD663FE"/>
    <w:rsid w:val="BDD7A5A5"/>
    <w:rsid w:val="BDDDC906"/>
    <w:rsid w:val="BDFA6486"/>
    <w:rsid w:val="BDFDE50C"/>
    <w:rsid w:val="BE726F6A"/>
    <w:rsid w:val="BE7FE88A"/>
    <w:rsid w:val="BEB33944"/>
    <w:rsid w:val="BEBF9521"/>
    <w:rsid w:val="BEDCDC50"/>
    <w:rsid w:val="BEDD764F"/>
    <w:rsid w:val="BEE806B2"/>
    <w:rsid w:val="BEEAF313"/>
    <w:rsid w:val="BEEDAFC0"/>
    <w:rsid w:val="BEF433CB"/>
    <w:rsid w:val="BEF6D36D"/>
    <w:rsid w:val="BEF734A2"/>
    <w:rsid w:val="BEFAEFE1"/>
    <w:rsid w:val="BF13337D"/>
    <w:rsid w:val="BF1F1DAD"/>
    <w:rsid w:val="BF367F20"/>
    <w:rsid w:val="BF4F6A02"/>
    <w:rsid w:val="BF6AA7E0"/>
    <w:rsid w:val="BF78F169"/>
    <w:rsid w:val="BF7B1990"/>
    <w:rsid w:val="BF7E526C"/>
    <w:rsid w:val="BF7F2C83"/>
    <w:rsid w:val="BF861B0D"/>
    <w:rsid w:val="BFA32095"/>
    <w:rsid w:val="BFABCCB9"/>
    <w:rsid w:val="BFB5DAE1"/>
    <w:rsid w:val="BFB74AAD"/>
    <w:rsid w:val="BFBF0E25"/>
    <w:rsid w:val="BFBF51A9"/>
    <w:rsid w:val="BFBFF1F1"/>
    <w:rsid w:val="BFC80315"/>
    <w:rsid w:val="BFD79A01"/>
    <w:rsid w:val="BFDC0AE4"/>
    <w:rsid w:val="BFDF72BD"/>
    <w:rsid w:val="BFDFA647"/>
    <w:rsid w:val="BFED1953"/>
    <w:rsid w:val="BFF759B3"/>
    <w:rsid w:val="BFF769A8"/>
    <w:rsid w:val="BFF799CD"/>
    <w:rsid w:val="BFFA0306"/>
    <w:rsid w:val="BFFDF005"/>
    <w:rsid w:val="BFFE6DFA"/>
    <w:rsid w:val="BFFF4BB7"/>
    <w:rsid w:val="BFFFA610"/>
    <w:rsid w:val="BFFFC082"/>
    <w:rsid w:val="C2DE7198"/>
    <w:rsid w:val="C36B322C"/>
    <w:rsid w:val="C57F0DC5"/>
    <w:rsid w:val="C7576E9B"/>
    <w:rsid w:val="C7DB8354"/>
    <w:rsid w:val="C7EBF355"/>
    <w:rsid w:val="C7EF210E"/>
    <w:rsid w:val="C7FE9412"/>
    <w:rsid w:val="C9C5285E"/>
    <w:rsid w:val="CBFB31C9"/>
    <w:rsid w:val="CBFE845D"/>
    <w:rsid w:val="CCBF8D37"/>
    <w:rsid w:val="CCBFA1D8"/>
    <w:rsid w:val="CD7D4009"/>
    <w:rsid w:val="CDBEDF7C"/>
    <w:rsid w:val="CE1A1866"/>
    <w:rsid w:val="CE7FAF8E"/>
    <w:rsid w:val="CF4F790D"/>
    <w:rsid w:val="CF57C140"/>
    <w:rsid w:val="CF9FFB09"/>
    <w:rsid w:val="CFB530C3"/>
    <w:rsid w:val="CFB760D0"/>
    <w:rsid w:val="CFBB46DE"/>
    <w:rsid w:val="CFBBA6D6"/>
    <w:rsid w:val="CFDF63F5"/>
    <w:rsid w:val="CFE74E8C"/>
    <w:rsid w:val="CFF1D8B4"/>
    <w:rsid w:val="CFF256CD"/>
    <w:rsid w:val="CFF7CBC4"/>
    <w:rsid w:val="CFFB6968"/>
    <w:rsid w:val="CFFF33BF"/>
    <w:rsid w:val="CFFFD9C0"/>
    <w:rsid w:val="D1FF47F6"/>
    <w:rsid w:val="D23F039E"/>
    <w:rsid w:val="D33F9C6D"/>
    <w:rsid w:val="D374EF87"/>
    <w:rsid w:val="D57F9397"/>
    <w:rsid w:val="D5BFBE65"/>
    <w:rsid w:val="D5EF778C"/>
    <w:rsid w:val="D5F70011"/>
    <w:rsid w:val="D656C9AB"/>
    <w:rsid w:val="D6756CC7"/>
    <w:rsid w:val="D67FEF5D"/>
    <w:rsid w:val="D6CF07EA"/>
    <w:rsid w:val="D6F1CD58"/>
    <w:rsid w:val="D70D34CF"/>
    <w:rsid w:val="D77AB4CD"/>
    <w:rsid w:val="D79D7B50"/>
    <w:rsid w:val="D7E7817D"/>
    <w:rsid w:val="D7F7F04A"/>
    <w:rsid w:val="D7FBFF65"/>
    <w:rsid w:val="D7FEFF35"/>
    <w:rsid w:val="D8660486"/>
    <w:rsid w:val="D8DFE0D2"/>
    <w:rsid w:val="D8EB431A"/>
    <w:rsid w:val="D8F61D86"/>
    <w:rsid w:val="D96F9407"/>
    <w:rsid w:val="D97D7343"/>
    <w:rsid w:val="D97DC060"/>
    <w:rsid w:val="D9E3EC31"/>
    <w:rsid w:val="D9FF96F7"/>
    <w:rsid w:val="DA3A4DD1"/>
    <w:rsid w:val="DAF93F97"/>
    <w:rsid w:val="DB25BED5"/>
    <w:rsid w:val="DB3D1F7C"/>
    <w:rsid w:val="DB4D7DB2"/>
    <w:rsid w:val="DBB47394"/>
    <w:rsid w:val="DBBF5525"/>
    <w:rsid w:val="DBBFA657"/>
    <w:rsid w:val="DBBFCA8B"/>
    <w:rsid w:val="DBDDE46E"/>
    <w:rsid w:val="DBE7C3B5"/>
    <w:rsid w:val="DBEEEA7C"/>
    <w:rsid w:val="DBEFADC2"/>
    <w:rsid w:val="DBFB7D56"/>
    <w:rsid w:val="DBFEE87F"/>
    <w:rsid w:val="DBFF0C63"/>
    <w:rsid w:val="DCE9528D"/>
    <w:rsid w:val="DCFF0778"/>
    <w:rsid w:val="DCFF3121"/>
    <w:rsid w:val="DCFFC8D7"/>
    <w:rsid w:val="DD3FE60E"/>
    <w:rsid w:val="DD7F14DC"/>
    <w:rsid w:val="DDDE12FC"/>
    <w:rsid w:val="DDF3A2C4"/>
    <w:rsid w:val="DDF3B90A"/>
    <w:rsid w:val="DDFB593A"/>
    <w:rsid w:val="DDFBAF56"/>
    <w:rsid w:val="DE3F9E19"/>
    <w:rsid w:val="DE731439"/>
    <w:rsid w:val="DEBAE4B4"/>
    <w:rsid w:val="DEDFD774"/>
    <w:rsid w:val="DEFFDB01"/>
    <w:rsid w:val="DF36E45D"/>
    <w:rsid w:val="DF3F37C3"/>
    <w:rsid w:val="DF5E3E01"/>
    <w:rsid w:val="DF6F5D62"/>
    <w:rsid w:val="DF6FB7C0"/>
    <w:rsid w:val="DF707CE9"/>
    <w:rsid w:val="DF7CCF17"/>
    <w:rsid w:val="DF7EE272"/>
    <w:rsid w:val="DF97D910"/>
    <w:rsid w:val="DF9F7CA3"/>
    <w:rsid w:val="DF9FA100"/>
    <w:rsid w:val="DFAF73D9"/>
    <w:rsid w:val="DFB743C7"/>
    <w:rsid w:val="DFB7D49D"/>
    <w:rsid w:val="DFBB2C20"/>
    <w:rsid w:val="DFBDF79E"/>
    <w:rsid w:val="DFCBACDC"/>
    <w:rsid w:val="DFDB576F"/>
    <w:rsid w:val="DFEBB0A3"/>
    <w:rsid w:val="DFEBCDE7"/>
    <w:rsid w:val="DFEE0F38"/>
    <w:rsid w:val="DFEF6531"/>
    <w:rsid w:val="DFEF884A"/>
    <w:rsid w:val="DFF20105"/>
    <w:rsid w:val="DFF6B38A"/>
    <w:rsid w:val="DFFA7CED"/>
    <w:rsid w:val="DFFD3951"/>
    <w:rsid w:val="DFFD54D3"/>
    <w:rsid w:val="DFFE3479"/>
    <w:rsid w:val="DFFEE7C6"/>
    <w:rsid w:val="DFFF970A"/>
    <w:rsid w:val="DFFFD93E"/>
    <w:rsid w:val="E1B3A154"/>
    <w:rsid w:val="E1FDB4A1"/>
    <w:rsid w:val="E2AF959B"/>
    <w:rsid w:val="E2BF84BC"/>
    <w:rsid w:val="E3576BE6"/>
    <w:rsid w:val="E3DBCB09"/>
    <w:rsid w:val="E3F4BD78"/>
    <w:rsid w:val="E3FEAEC8"/>
    <w:rsid w:val="E3FF181B"/>
    <w:rsid w:val="E3FF69A8"/>
    <w:rsid w:val="E3FFD29A"/>
    <w:rsid w:val="E47413B9"/>
    <w:rsid w:val="E4CFD5FE"/>
    <w:rsid w:val="E53FC09A"/>
    <w:rsid w:val="E559570F"/>
    <w:rsid w:val="E5AF30CE"/>
    <w:rsid w:val="E5F93AE4"/>
    <w:rsid w:val="E611F5F4"/>
    <w:rsid w:val="E68E1199"/>
    <w:rsid w:val="E6B9274A"/>
    <w:rsid w:val="E6DEE613"/>
    <w:rsid w:val="E785B0EC"/>
    <w:rsid w:val="E7AFABC1"/>
    <w:rsid w:val="E7B101DD"/>
    <w:rsid w:val="E7D98CF7"/>
    <w:rsid w:val="E7DE9F14"/>
    <w:rsid w:val="E7E60031"/>
    <w:rsid w:val="E7F388A2"/>
    <w:rsid w:val="E7F6FB63"/>
    <w:rsid w:val="E7F85512"/>
    <w:rsid w:val="E7FE2F99"/>
    <w:rsid w:val="E7FFC0A3"/>
    <w:rsid w:val="E7FFC1B6"/>
    <w:rsid w:val="E7FFDB6C"/>
    <w:rsid w:val="E8B7CBE2"/>
    <w:rsid w:val="E8FBF3EB"/>
    <w:rsid w:val="E8FF2BCC"/>
    <w:rsid w:val="E936E05E"/>
    <w:rsid w:val="E95DF6D3"/>
    <w:rsid w:val="E96F6AB6"/>
    <w:rsid w:val="E9756024"/>
    <w:rsid w:val="EAD35EA9"/>
    <w:rsid w:val="EAFE25D4"/>
    <w:rsid w:val="EAFFF850"/>
    <w:rsid w:val="EB390713"/>
    <w:rsid w:val="EB3C5F66"/>
    <w:rsid w:val="EB7B7000"/>
    <w:rsid w:val="EB9A5612"/>
    <w:rsid w:val="EBDF90D4"/>
    <w:rsid w:val="ECDEFCE2"/>
    <w:rsid w:val="ECEF51E9"/>
    <w:rsid w:val="ED4F1F6D"/>
    <w:rsid w:val="ED5E7D85"/>
    <w:rsid w:val="ED76D0FB"/>
    <w:rsid w:val="ED7FEF32"/>
    <w:rsid w:val="ED87DA41"/>
    <w:rsid w:val="EDBD0EBA"/>
    <w:rsid w:val="EDF52C6D"/>
    <w:rsid w:val="EDF6778E"/>
    <w:rsid w:val="EDFD4AF8"/>
    <w:rsid w:val="EE2FAF8E"/>
    <w:rsid w:val="EE659F30"/>
    <w:rsid w:val="EEBB1F0F"/>
    <w:rsid w:val="EECF07FD"/>
    <w:rsid w:val="EED504AB"/>
    <w:rsid w:val="EED76E02"/>
    <w:rsid w:val="EEEF3AB8"/>
    <w:rsid w:val="EEEFEB05"/>
    <w:rsid w:val="EEFA6E44"/>
    <w:rsid w:val="EEFC17C3"/>
    <w:rsid w:val="EEFF2B2E"/>
    <w:rsid w:val="EEFF7A19"/>
    <w:rsid w:val="EF3ECA10"/>
    <w:rsid w:val="EF578DBC"/>
    <w:rsid w:val="EF5DB971"/>
    <w:rsid w:val="EF6D17D2"/>
    <w:rsid w:val="EF6F4661"/>
    <w:rsid w:val="EF77EB61"/>
    <w:rsid w:val="EF7DC6BC"/>
    <w:rsid w:val="EF7E84CC"/>
    <w:rsid w:val="EF7F21C3"/>
    <w:rsid w:val="EF8DC82B"/>
    <w:rsid w:val="EF9BAEED"/>
    <w:rsid w:val="EF9F27CB"/>
    <w:rsid w:val="EFB72E48"/>
    <w:rsid w:val="EFBB5BA8"/>
    <w:rsid w:val="EFBFFCBB"/>
    <w:rsid w:val="EFDB0820"/>
    <w:rsid w:val="EFDB45A1"/>
    <w:rsid w:val="EFDD0EEA"/>
    <w:rsid w:val="EFDFAEE8"/>
    <w:rsid w:val="EFDFD628"/>
    <w:rsid w:val="EFEB8137"/>
    <w:rsid w:val="EFF68B9A"/>
    <w:rsid w:val="EFF86CAB"/>
    <w:rsid w:val="EFFBC796"/>
    <w:rsid w:val="EFFDAE75"/>
    <w:rsid w:val="EFFE416B"/>
    <w:rsid w:val="EFFF3014"/>
    <w:rsid w:val="EFFF4D7A"/>
    <w:rsid w:val="EFFF8734"/>
    <w:rsid w:val="EFFFBD71"/>
    <w:rsid w:val="EFFFC9AE"/>
    <w:rsid w:val="EFFFF87C"/>
    <w:rsid w:val="F0EF23CB"/>
    <w:rsid w:val="F17B5CA8"/>
    <w:rsid w:val="F1BA3D44"/>
    <w:rsid w:val="F1DCFADD"/>
    <w:rsid w:val="F1FF82D9"/>
    <w:rsid w:val="F2BF8DD3"/>
    <w:rsid w:val="F2ED5A32"/>
    <w:rsid w:val="F2EF142F"/>
    <w:rsid w:val="F2FA9AD6"/>
    <w:rsid w:val="F2FF2784"/>
    <w:rsid w:val="F33C9C70"/>
    <w:rsid w:val="F37AE2BE"/>
    <w:rsid w:val="F37F5046"/>
    <w:rsid w:val="F38B9705"/>
    <w:rsid w:val="F3BD4FBC"/>
    <w:rsid w:val="F3DEAB71"/>
    <w:rsid w:val="F3EFED8A"/>
    <w:rsid w:val="F3FF697D"/>
    <w:rsid w:val="F44E05FC"/>
    <w:rsid w:val="F4D6C8DB"/>
    <w:rsid w:val="F4D90497"/>
    <w:rsid w:val="F4F7F21F"/>
    <w:rsid w:val="F4F9FDCF"/>
    <w:rsid w:val="F4FB3A4B"/>
    <w:rsid w:val="F4FDC8F1"/>
    <w:rsid w:val="F4FF5478"/>
    <w:rsid w:val="F53794EB"/>
    <w:rsid w:val="F5833DA8"/>
    <w:rsid w:val="F5BFFD99"/>
    <w:rsid w:val="F5CA10FF"/>
    <w:rsid w:val="F5E7C3C9"/>
    <w:rsid w:val="F5EB0477"/>
    <w:rsid w:val="F5EEB9B9"/>
    <w:rsid w:val="F5EFF0C2"/>
    <w:rsid w:val="F5FD3F52"/>
    <w:rsid w:val="F5FF5B4B"/>
    <w:rsid w:val="F637121B"/>
    <w:rsid w:val="F667BD9C"/>
    <w:rsid w:val="F677A29A"/>
    <w:rsid w:val="F6BAF431"/>
    <w:rsid w:val="F6D7E838"/>
    <w:rsid w:val="F6DF7FAC"/>
    <w:rsid w:val="F6E77EDA"/>
    <w:rsid w:val="F6F70430"/>
    <w:rsid w:val="F6F99145"/>
    <w:rsid w:val="F6FD1BC4"/>
    <w:rsid w:val="F71B9964"/>
    <w:rsid w:val="F74FC2D2"/>
    <w:rsid w:val="F75F9461"/>
    <w:rsid w:val="F75FF77B"/>
    <w:rsid w:val="F767CDBA"/>
    <w:rsid w:val="F76D27F2"/>
    <w:rsid w:val="F7778B8E"/>
    <w:rsid w:val="F77B5B04"/>
    <w:rsid w:val="F77D8A71"/>
    <w:rsid w:val="F77FF41C"/>
    <w:rsid w:val="F79B1D84"/>
    <w:rsid w:val="F79F288E"/>
    <w:rsid w:val="F7AE64A6"/>
    <w:rsid w:val="F7AFB837"/>
    <w:rsid w:val="F7B2F440"/>
    <w:rsid w:val="F7BEA56F"/>
    <w:rsid w:val="F7BF3747"/>
    <w:rsid w:val="F7BF5AFF"/>
    <w:rsid w:val="F7BFEDB7"/>
    <w:rsid w:val="F7CF1422"/>
    <w:rsid w:val="F7DDDF04"/>
    <w:rsid w:val="F7DFF665"/>
    <w:rsid w:val="F7E7D0B6"/>
    <w:rsid w:val="F7EEC4E1"/>
    <w:rsid w:val="F7EF9959"/>
    <w:rsid w:val="F7F76BCC"/>
    <w:rsid w:val="F7FBA2CB"/>
    <w:rsid w:val="F7FC8C5D"/>
    <w:rsid w:val="F7FD954B"/>
    <w:rsid w:val="F7FF27B4"/>
    <w:rsid w:val="F7FF28B6"/>
    <w:rsid w:val="F805C9A9"/>
    <w:rsid w:val="F89F2F7C"/>
    <w:rsid w:val="F8BD7F89"/>
    <w:rsid w:val="F8DFFD3A"/>
    <w:rsid w:val="F93FCA66"/>
    <w:rsid w:val="F95B8BD4"/>
    <w:rsid w:val="F9AF175F"/>
    <w:rsid w:val="F9BFBB68"/>
    <w:rsid w:val="F9CFDA20"/>
    <w:rsid w:val="F9D57599"/>
    <w:rsid w:val="F9E753DC"/>
    <w:rsid w:val="F9EE500F"/>
    <w:rsid w:val="F9F775E9"/>
    <w:rsid w:val="F9FFD582"/>
    <w:rsid w:val="FA1ABEEB"/>
    <w:rsid w:val="FA371FB2"/>
    <w:rsid w:val="FA3FFEA3"/>
    <w:rsid w:val="FA5AEFF8"/>
    <w:rsid w:val="FA85F7DE"/>
    <w:rsid w:val="FAD1D7DC"/>
    <w:rsid w:val="FAF918E2"/>
    <w:rsid w:val="FAFF0093"/>
    <w:rsid w:val="FAFF3EF9"/>
    <w:rsid w:val="FAFF7E02"/>
    <w:rsid w:val="FB19095E"/>
    <w:rsid w:val="FB1F9E2E"/>
    <w:rsid w:val="FB351E23"/>
    <w:rsid w:val="FB5F4610"/>
    <w:rsid w:val="FB63C62B"/>
    <w:rsid w:val="FB73E248"/>
    <w:rsid w:val="FB7A390F"/>
    <w:rsid w:val="FB7CC8C1"/>
    <w:rsid w:val="FB7F189C"/>
    <w:rsid w:val="FB9E0E51"/>
    <w:rsid w:val="FB9FCA56"/>
    <w:rsid w:val="FB9FFDC6"/>
    <w:rsid w:val="FBA7EF5D"/>
    <w:rsid w:val="FBBB515D"/>
    <w:rsid w:val="FBBE9635"/>
    <w:rsid w:val="FBBF2FB0"/>
    <w:rsid w:val="FBBF87C7"/>
    <w:rsid w:val="FBCB53E3"/>
    <w:rsid w:val="FBCFFA3E"/>
    <w:rsid w:val="FBDA17AF"/>
    <w:rsid w:val="FBEFB78F"/>
    <w:rsid w:val="FBF49AC8"/>
    <w:rsid w:val="FBFBE360"/>
    <w:rsid w:val="FBFE4085"/>
    <w:rsid w:val="FBFE53E9"/>
    <w:rsid w:val="FBFED47C"/>
    <w:rsid w:val="FBFF2360"/>
    <w:rsid w:val="FBFF46A1"/>
    <w:rsid w:val="FBFF72AA"/>
    <w:rsid w:val="FBFF7F19"/>
    <w:rsid w:val="FC35415F"/>
    <w:rsid w:val="FC3A1CB4"/>
    <w:rsid w:val="FC7D0F77"/>
    <w:rsid w:val="FC7F1794"/>
    <w:rsid w:val="FC9F0533"/>
    <w:rsid w:val="FCBE41D3"/>
    <w:rsid w:val="FCDD26C6"/>
    <w:rsid w:val="FCDE0ADE"/>
    <w:rsid w:val="FCDFFF65"/>
    <w:rsid w:val="FCE703D0"/>
    <w:rsid w:val="FCE7E07B"/>
    <w:rsid w:val="FCF7F0F7"/>
    <w:rsid w:val="FCFC67FA"/>
    <w:rsid w:val="FCFF830D"/>
    <w:rsid w:val="FD0F058B"/>
    <w:rsid w:val="FD0F24E2"/>
    <w:rsid w:val="FD380C99"/>
    <w:rsid w:val="FD564F59"/>
    <w:rsid w:val="FD5F891E"/>
    <w:rsid w:val="FD664A0B"/>
    <w:rsid w:val="FD7FA9BA"/>
    <w:rsid w:val="FD9E5604"/>
    <w:rsid w:val="FD9F63EA"/>
    <w:rsid w:val="FDA7F9DD"/>
    <w:rsid w:val="FDAEE130"/>
    <w:rsid w:val="FDAFE357"/>
    <w:rsid w:val="FDB4A354"/>
    <w:rsid w:val="FDBF8B32"/>
    <w:rsid w:val="FDC6CF64"/>
    <w:rsid w:val="FDDA34CF"/>
    <w:rsid w:val="FDDFA87A"/>
    <w:rsid w:val="FDDFCC5F"/>
    <w:rsid w:val="FDDFFBD1"/>
    <w:rsid w:val="FDE5B9BF"/>
    <w:rsid w:val="FDF72CF6"/>
    <w:rsid w:val="FDF78FFC"/>
    <w:rsid w:val="FDF94AC3"/>
    <w:rsid w:val="FDFB4CBF"/>
    <w:rsid w:val="FDFD9302"/>
    <w:rsid w:val="FDFE25E1"/>
    <w:rsid w:val="FDFE8117"/>
    <w:rsid w:val="FDFF10BE"/>
    <w:rsid w:val="FDFFA0A4"/>
    <w:rsid w:val="FDFFC5CB"/>
    <w:rsid w:val="FDFFDB07"/>
    <w:rsid w:val="FE57FFBB"/>
    <w:rsid w:val="FE5F5F01"/>
    <w:rsid w:val="FE6B7E77"/>
    <w:rsid w:val="FE7788F0"/>
    <w:rsid w:val="FE7EEDEB"/>
    <w:rsid w:val="FE7FD76A"/>
    <w:rsid w:val="FE9D01AD"/>
    <w:rsid w:val="FEAFE9B8"/>
    <w:rsid w:val="FEBF2BF4"/>
    <w:rsid w:val="FEBF92A5"/>
    <w:rsid w:val="FEBFC5E4"/>
    <w:rsid w:val="FEC7894D"/>
    <w:rsid w:val="FECE8413"/>
    <w:rsid w:val="FECF310D"/>
    <w:rsid w:val="FED7E423"/>
    <w:rsid w:val="FEDBBEF8"/>
    <w:rsid w:val="FEE5B710"/>
    <w:rsid w:val="FEE76977"/>
    <w:rsid w:val="FEECADBA"/>
    <w:rsid w:val="FEED1C2E"/>
    <w:rsid w:val="FEED529E"/>
    <w:rsid w:val="FEED55CC"/>
    <w:rsid w:val="FEEE8DD2"/>
    <w:rsid w:val="FEEF8D9A"/>
    <w:rsid w:val="FEEFE7D8"/>
    <w:rsid w:val="FEEFFB01"/>
    <w:rsid w:val="FEF31DBA"/>
    <w:rsid w:val="FEF540BE"/>
    <w:rsid w:val="FEF8E992"/>
    <w:rsid w:val="FEFE07DD"/>
    <w:rsid w:val="FEFE3CB2"/>
    <w:rsid w:val="FEFF0DEF"/>
    <w:rsid w:val="FEFF1BB4"/>
    <w:rsid w:val="FEFF1CE4"/>
    <w:rsid w:val="FEFFB936"/>
    <w:rsid w:val="FEFFBA8F"/>
    <w:rsid w:val="FF0DB69E"/>
    <w:rsid w:val="FF150FD7"/>
    <w:rsid w:val="FF393E9E"/>
    <w:rsid w:val="FF3D88B3"/>
    <w:rsid w:val="FF3EC061"/>
    <w:rsid w:val="FF3F0446"/>
    <w:rsid w:val="FF3FE98E"/>
    <w:rsid w:val="FF5A1041"/>
    <w:rsid w:val="FF5C2927"/>
    <w:rsid w:val="FF5D6490"/>
    <w:rsid w:val="FF5F1EC0"/>
    <w:rsid w:val="FF5FA417"/>
    <w:rsid w:val="FF6FA926"/>
    <w:rsid w:val="FF6FC824"/>
    <w:rsid w:val="FF6FEA9B"/>
    <w:rsid w:val="FF772417"/>
    <w:rsid w:val="FF7BA374"/>
    <w:rsid w:val="FF7C94A1"/>
    <w:rsid w:val="FF7FA19D"/>
    <w:rsid w:val="FF8C7B65"/>
    <w:rsid w:val="FFACC661"/>
    <w:rsid w:val="FFAE1CE1"/>
    <w:rsid w:val="FFAF5C09"/>
    <w:rsid w:val="FFAFCC56"/>
    <w:rsid w:val="FFAFDCDD"/>
    <w:rsid w:val="FFB587C3"/>
    <w:rsid w:val="FFB906DD"/>
    <w:rsid w:val="FFBAA7E3"/>
    <w:rsid w:val="FFBBA30F"/>
    <w:rsid w:val="FFBBF9A1"/>
    <w:rsid w:val="FFBDEFD0"/>
    <w:rsid w:val="FFBE788B"/>
    <w:rsid w:val="FFBF1CB3"/>
    <w:rsid w:val="FFBF308D"/>
    <w:rsid w:val="FFBF64F9"/>
    <w:rsid w:val="FFBFA292"/>
    <w:rsid w:val="FFBFA3B7"/>
    <w:rsid w:val="FFBFF1C1"/>
    <w:rsid w:val="FFC76D48"/>
    <w:rsid w:val="FFCB7B7E"/>
    <w:rsid w:val="FFCD119A"/>
    <w:rsid w:val="FFCE5F70"/>
    <w:rsid w:val="FFDB682B"/>
    <w:rsid w:val="FFDD4943"/>
    <w:rsid w:val="FFDEE9F5"/>
    <w:rsid w:val="FFDF1B08"/>
    <w:rsid w:val="FFDF5430"/>
    <w:rsid w:val="FFDF8315"/>
    <w:rsid w:val="FFDFB4A0"/>
    <w:rsid w:val="FFDFC95B"/>
    <w:rsid w:val="FFE30743"/>
    <w:rsid w:val="FFE7081F"/>
    <w:rsid w:val="FFE75BA2"/>
    <w:rsid w:val="FFE7A0F3"/>
    <w:rsid w:val="FFE7BCB7"/>
    <w:rsid w:val="FFEB3C89"/>
    <w:rsid w:val="FFEF23D1"/>
    <w:rsid w:val="FFEFF434"/>
    <w:rsid w:val="FFF33D4F"/>
    <w:rsid w:val="FFF57297"/>
    <w:rsid w:val="FFF7F019"/>
    <w:rsid w:val="FFF956A4"/>
    <w:rsid w:val="FFFA76C2"/>
    <w:rsid w:val="FFFB1774"/>
    <w:rsid w:val="FFFB29D9"/>
    <w:rsid w:val="FFFB5764"/>
    <w:rsid w:val="FFFC424A"/>
    <w:rsid w:val="FFFC9502"/>
    <w:rsid w:val="FFFD2059"/>
    <w:rsid w:val="FFFD95FC"/>
    <w:rsid w:val="FFFDAFB5"/>
    <w:rsid w:val="FFFE079E"/>
    <w:rsid w:val="FFFE2279"/>
    <w:rsid w:val="FFFE56CF"/>
    <w:rsid w:val="FFFE763E"/>
    <w:rsid w:val="FFFE9741"/>
    <w:rsid w:val="FFFEA3F1"/>
    <w:rsid w:val="FFFF0A18"/>
    <w:rsid w:val="FFFF3B69"/>
    <w:rsid w:val="FFFF50C3"/>
    <w:rsid w:val="FFFF71F3"/>
    <w:rsid w:val="FFFF9D5A"/>
    <w:rsid w:val="FFFFC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link w:val="12"/>
    <w:qFormat/>
    <w:uiPriority w:val="0"/>
    <w:rPr>
      <w:rFonts w:ascii="仿宋" w:hAnsi="仿宋" w:eastAsia="仿宋" w:cs="仿宋"/>
      <w:sz w:val="31"/>
      <w:szCs w:val="31"/>
      <w:lang w:val="en-US" w:eastAsia="en-US" w:bidi="ar-SA"/>
    </w:rPr>
  </w:style>
  <w:style w:type="paragraph" w:styleId="3">
    <w:name w:val="toc 5"/>
    <w:basedOn w:val="1"/>
    <w:next w:val="1"/>
    <w:qFormat/>
    <w:uiPriority w:val="0"/>
    <w:pPr>
      <w:ind w:left="1680" w:leftChars="800"/>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列出段落1"/>
    <w:basedOn w:val="1"/>
    <w:qFormat/>
    <w:uiPriority w:val="34"/>
    <w:pPr>
      <w:ind w:firstLine="420" w:firstLineChars="200"/>
    </w:pPr>
  </w:style>
  <w:style w:type="paragraph" w:styleId="11">
    <w:name w:val="List Paragraph"/>
    <w:basedOn w:val="1"/>
    <w:qFormat/>
    <w:uiPriority w:val="99"/>
    <w:pPr>
      <w:ind w:firstLine="420" w:firstLineChars="200"/>
    </w:pPr>
    <w:rPr>
      <w:rFonts w:ascii="Calibri" w:hAnsi="Calibri"/>
      <w:szCs w:val="22"/>
    </w:rPr>
  </w:style>
  <w:style w:type="character" w:customStyle="1" w:styleId="12">
    <w:name w:val="正文文本 Char"/>
    <w:link w:val="2"/>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108</Words>
  <Characters>118</Characters>
  <Lines>0</Lines>
  <Paragraphs>0</Paragraphs>
  <TotalTime>43</TotalTime>
  <ScaleCrop>false</ScaleCrop>
  <LinksUpToDate>false</LinksUpToDate>
  <CharactersWithSpaces>118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2024-03-31T08:36:00Z</dcterms:created>
  <dc:creator>Administrator</dc:creator>
  <cp:lastModifiedBy>TCB003</cp:lastModifiedBy>
  <cp:lastPrinted>2026-05-24T09:13:00Z</cp:lastPrinted>
  <dcterms:modified xsi:type="dcterms:W3CDTF">2026-06-02T14:41:14Z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6182D3A10D564617983F46DEE354AEAF</vt:lpwstr>
  </property>
  <property fmtid="{D5CDD505-2E9C-101B-9397-08002B2CF9AE}" pid="4" name="KSOTemplateDocerSaveRecord">
    <vt:lpwstr>eyJoZGlkIjoiMTQ5OTBlMjkxOGJkZTY2YWVjYTkxNWZjODEzNjkwZDciLCJ1c2VySWQiOiI3MzkwMTIwMjYifQ==</vt:lpwstr>
  </property>
</Properties>
</file>