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C1DC50">
      <w:pPr>
        <w:jc w:val="center"/>
        <w:rPr>
          <w:rFonts w:hint="eastAsia" w:ascii="方正小标宋简体" w:hAnsi="方正小标宋简体" w:eastAsia="方正小标宋简体" w:cs="方正小标宋简体"/>
          <w:sz w:val="44"/>
          <w:szCs w:val="44"/>
        </w:rPr>
      </w:pPr>
    </w:p>
    <w:p w14:paraId="1102AD96">
      <w:pPr>
        <w:jc w:val="center"/>
        <w:rPr>
          <w:rFonts w:hint="eastAsia" w:ascii="方正小标宋简体" w:hAnsi="方正小标宋简体" w:eastAsia="方正小标宋简体" w:cs="方正小标宋简体"/>
          <w:sz w:val="44"/>
          <w:szCs w:val="44"/>
        </w:rPr>
      </w:pPr>
    </w:p>
    <w:p w14:paraId="0BE090CE">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5</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color w:val="000000"/>
          <w:sz w:val="44"/>
          <w:szCs w:val="44"/>
        </w:rPr>
        <w:t>岳阳市城市管理和综合执法局湖南城陵矶新港区分局</w:t>
      </w:r>
      <w:r>
        <w:rPr>
          <w:rFonts w:hint="eastAsia" w:ascii="方正小标宋简体" w:hAnsi="方正小标宋简体" w:eastAsia="方正小标宋简体" w:cs="方正小标宋简体"/>
          <w:sz w:val="44"/>
          <w:szCs w:val="44"/>
        </w:rPr>
        <w:t>整体支出绩效自评</w:t>
      </w:r>
    </w:p>
    <w:p w14:paraId="4889B2F4">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报</w:t>
      </w:r>
      <w:r>
        <w:rPr>
          <w:rFonts w:hint="eastAsia" w:ascii="方正小标宋简体" w:hAnsi="方正小标宋简体" w:eastAsia="方正小标宋简体" w:cs="方正小标宋简体"/>
          <w:sz w:val="44"/>
          <w:szCs w:val="44"/>
          <w:lang w:val="en-US" w:eastAsia="zh-CN"/>
        </w:rPr>
        <w:t xml:space="preserve">  </w:t>
      </w:r>
      <w:r>
        <w:rPr>
          <w:rFonts w:hint="eastAsia" w:ascii="方正小标宋简体" w:hAnsi="方正小标宋简体" w:eastAsia="方正小标宋简体" w:cs="方正小标宋简体"/>
          <w:sz w:val="44"/>
          <w:szCs w:val="44"/>
        </w:rPr>
        <w:t>告</w:t>
      </w:r>
    </w:p>
    <w:p w14:paraId="42927CBA">
      <w:pPr>
        <w:jc w:val="center"/>
        <w:rPr>
          <w:rFonts w:hint="default" w:ascii="Times New Roman" w:hAnsi="Times New Roman" w:eastAsia="方正小标宋_GBK" w:cs="Times New Roman"/>
          <w:b/>
          <w:sz w:val="52"/>
          <w:szCs w:val="52"/>
        </w:rPr>
      </w:pPr>
    </w:p>
    <w:p w14:paraId="24CC351B">
      <w:pPr>
        <w:jc w:val="center"/>
        <w:rPr>
          <w:rFonts w:hint="default" w:ascii="Times New Roman" w:hAnsi="Times New Roman" w:eastAsia="楷体_GB2312" w:cs="Times New Roman"/>
          <w:b/>
          <w:sz w:val="32"/>
          <w:szCs w:val="32"/>
        </w:rPr>
      </w:pPr>
    </w:p>
    <w:p w14:paraId="0FD818B7">
      <w:pPr>
        <w:jc w:val="center"/>
        <w:rPr>
          <w:rFonts w:hint="default" w:ascii="Times New Roman" w:hAnsi="Times New Roman" w:eastAsia="楷体_GB2312" w:cs="Times New Roman"/>
          <w:b/>
          <w:sz w:val="32"/>
          <w:szCs w:val="32"/>
        </w:rPr>
      </w:pPr>
    </w:p>
    <w:p w14:paraId="52C96068">
      <w:pPr>
        <w:jc w:val="center"/>
        <w:rPr>
          <w:rFonts w:hint="default" w:ascii="Times New Roman" w:hAnsi="Times New Roman" w:eastAsia="楷体_GB2312" w:cs="Times New Roman"/>
          <w:b/>
          <w:sz w:val="32"/>
          <w:szCs w:val="32"/>
        </w:rPr>
      </w:pPr>
    </w:p>
    <w:p w14:paraId="7F231966">
      <w:pPr>
        <w:jc w:val="center"/>
        <w:rPr>
          <w:rFonts w:hint="default" w:ascii="Times New Roman" w:hAnsi="Times New Roman" w:eastAsia="楷体_GB2312" w:cs="Times New Roman"/>
          <w:b/>
          <w:sz w:val="32"/>
          <w:szCs w:val="32"/>
        </w:rPr>
      </w:pPr>
    </w:p>
    <w:p w14:paraId="563890AC">
      <w:pPr>
        <w:jc w:val="center"/>
        <w:rPr>
          <w:rFonts w:hint="default" w:ascii="Times New Roman" w:hAnsi="Times New Roman" w:eastAsia="楷体_GB2312" w:cs="Times New Roman"/>
          <w:b/>
          <w:sz w:val="32"/>
          <w:szCs w:val="32"/>
        </w:rPr>
      </w:pPr>
    </w:p>
    <w:p w14:paraId="3191A214">
      <w:pPr>
        <w:jc w:val="center"/>
        <w:rPr>
          <w:rFonts w:hint="default" w:ascii="Times New Roman" w:hAnsi="Times New Roman" w:eastAsia="楷体_GB2312" w:cs="Times New Roman"/>
          <w:b/>
          <w:sz w:val="32"/>
          <w:szCs w:val="32"/>
        </w:rPr>
      </w:pPr>
    </w:p>
    <w:p w14:paraId="06FBF587">
      <w:pPr>
        <w:jc w:val="both"/>
        <w:rPr>
          <w:rFonts w:hint="default" w:ascii="Times New Roman" w:hAnsi="Times New Roman" w:eastAsia="黑体" w:cs="Times New Roman"/>
          <w:sz w:val="32"/>
          <w:szCs w:val="32"/>
        </w:rPr>
      </w:pPr>
    </w:p>
    <w:p w14:paraId="268712A7">
      <w:pPr>
        <w:jc w:val="both"/>
        <w:rPr>
          <w:rFonts w:hint="default" w:ascii="Times New Roman" w:hAnsi="Times New Roman" w:eastAsia="黑体" w:cs="Times New Roman"/>
          <w:sz w:val="32"/>
          <w:szCs w:val="32"/>
        </w:rPr>
      </w:pPr>
    </w:p>
    <w:p w14:paraId="2E80FF2C">
      <w:pPr>
        <w:jc w:val="center"/>
        <w:rPr>
          <w:rFonts w:hint="default" w:ascii="Times New Roman" w:hAnsi="Times New Roman" w:eastAsia="黑体" w:cs="Times New Roman"/>
          <w:sz w:val="32"/>
          <w:szCs w:val="32"/>
        </w:rPr>
      </w:pPr>
    </w:p>
    <w:p w14:paraId="4A095095">
      <w:pPr>
        <w:spacing w:line="600" w:lineRule="exact"/>
        <w:jc w:val="center"/>
        <w:rPr>
          <w:rFonts w:hint="eastAsia" w:ascii="方正小标宋简体" w:hAnsi="方正小标宋简体" w:eastAsia="方正小标宋简体" w:cs="方正小标宋简体"/>
          <w:color w:val="000000"/>
          <w:sz w:val="32"/>
          <w:szCs w:val="32"/>
          <w:u w:val="single"/>
        </w:rPr>
      </w:pPr>
      <w:r>
        <w:rPr>
          <w:rFonts w:hint="eastAsia" w:ascii="方正小标宋简体" w:hAnsi="方正小标宋简体" w:eastAsia="方正小标宋简体" w:cs="方正小标宋简体"/>
          <w:sz w:val="32"/>
          <w:szCs w:val="32"/>
        </w:rPr>
        <w:t>单位名称：</w:t>
      </w:r>
      <w:r>
        <w:rPr>
          <w:rFonts w:hint="eastAsia" w:ascii="方正小标宋简体" w:hAnsi="方正小标宋简体" w:eastAsia="方正小标宋简体" w:cs="方正小标宋简体"/>
          <w:color w:val="000000"/>
          <w:sz w:val="32"/>
          <w:szCs w:val="32"/>
          <w:u w:val="single"/>
        </w:rPr>
        <w:t>岳阳市城市管理和综合执法局</w:t>
      </w:r>
    </w:p>
    <w:p w14:paraId="730C4FA9">
      <w:pPr>
        <w:spacing w:line="600" w:lineRule="exact"/>
        <w:jc w:val="left"/>
        <w:rPr>
          <w:rFonts w:hint="default" w:ascii="方正小标宋简体" w:hAnsi="方正小标宋简体" w:eastAsia="方正小标宋简体" w:cs="方正小标宋简体"/>
          <w:sz w:val="32"/>
          <w:szCs w:val="32"/>
          <w:u w:val="single"/>
          <w:lang w:val="en-US" w:eastAsia="zh-CN"/>
        </w:rPr>
      </w:pPr>
      <w:r>
        <w:rPr>
          <w:rFonts w:hint="eastAsia" w:ascii="方正小标宋简体" w:hAnsi="方正小标宋简体" w:eastAsia="方正小标宋简体" w:cs="方正小标宋简体"/>
          <w:color w:val="000000"/>
          <w:sz w:val="32"/>
          <w:szCs w:val="32"/>
          <w:u w:val="none"/>
          <w:lang w:val="en-US" w:eastAsia="zh-CN"/>
        </w:rPr>
        <w:t xml:space="preserve">                 </w:t>
      </w:r>
      <w:r>
        <w:rPr>
          <w:rFonts w:hint="eastAsia" w:ascii="方正小标宋简体" w:hAnsi="方正小标宋简体" w:eastAsia="方正小标宋简体" w:cs="方正小标宋简体"/>
          <w:color w:val="000000"/>
          <w:sz w:val="32"/>
          <w:szCs w:val="32"/>
          <w:u w:val="single"/>
        </w:rPr>
        <w:t>湖南城陵矶新港区分局</w:t>
      </w:r>
      <w:r>
        <w:rPr>
          <w:rFonts w:hint="eastAsia" w:ascii="方正小标宋简体" w:hAnsi="方正小标宋简体" w:eastAsia="方正小标宋简体" w:cs="方正小标宋简体"/>
          <w:color w:val="000000"/>
          <w:sz w:val="32"/>
          <w:szCs w:val="32"/>
          <w:u w:val="single"/>
          <w:lang w:val="en-US" w:eastAsia="zh-CN"/>
        </w:rPr>
        <w:t xml:space="preserve">       </w:t>
      </w:r>
    </w:p>
    <w:p w14:paraId="76DB390B">
      <w:pPr>
        <w:pStyle w:val="3"/>
        <w:jc w:val="left"/>
        <w:rPr>
          <w:rFonts w:hint="eastAsia" w:ascii="方正小标宋简体" w:hAnsi="方正小标宋简体" w:eastAsia="方正小标宋简体" w:cs="方正小标宋简体"/>
        </w:rPr>
      </w:pPr>
    </w:p>
    <w:p w14:paraId="6A6EF293">
      <w:pPr>
        <w:spacing w:line="600" w:lineRule="exact"/>
        <w:jc w:val="center"/>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lang w:val="en-US" w:eastAsia="zh-CN"/>
        </w:rPr>
        <w:t>2026</w:t>
      </w:r>
      <w:r>
        <w:rPr>
          <w:rFonts w:hint="eastAsia" w:ascii="方正小标宋简体" w:hAnsi="方正小标宋简体" w:eastAsia="方正小标宋简体" w:cs="方正小标宋简体"/>
          <w:sz w:val="32"/>
          <w:szCs w:val="32"/>
        </w:rPr>
        <w:t>年</w:t>
      </w:r>
      <w:r>
        <w:rPr>
          <w:rFonts w:hint="eastAsia" w:ascii="方正小标宋简体" w:hAnsi="方正小标宋简体" w:eastAsia="方正小标宋简体" w:cs="方正小标宋简体"/>
          <w:sz w:val="32"/>
          <w:szCs w:val="32"/>
          <w:lang w:val="en-US" w:eastAsia="zh-CN"/>
        </w:rPr>
        <w:t>6</w:t>
      </w:r>
      <w:r>
        <w:rPr>
          <w:rFonts w:hint="eastAsia" w:ascii="方正小标宋简体" w:hAnsi="方正小标宋简体" w:eastAsia="方正小标宋简体" w:cs="方正小标宋简体"/>
          <w:sz w:val="32"/>
          <w:szCs w:val="32"/>
        </w:rPr>
        <w:t>月</w:t>
      </w:r>
      <w:r>
        <w:rPr>
          <w:rFonts w:hint="eastAsia" w:ascii="方正小标宋简体" w:hAnsi="方正小标宋简体" w:eastAsia="方正小标宋简体" w:cs="方正小标宋简体"/>
          <w:sz w:val="32"/>
          <w:szCs w:val="32"/>
          <w:lang w:val="en-US" w:eastAsia="zh-CN"/>
        </w:rPr>
        <w:t>2</w:t>
      </w:r>
      <w:r>
        <w:rPr>
          <w:rFonts w:hint="default" w:ascii="方正小标宋简体" w:hAnsi="方正小标宋简体" w:eastAsia="方正小标宋简体" w:cs="方正小标宋简体"/>
          <w:sz w:val="32"/>
          <w:szCs w:val="32"/>
          <w:lang w:val="en" w:eastAsia="zh-CN"/>
        </w:rPr>
        <w:t>3</w:t>
      </w:r>
      <w:r>
        <w:rPr>
          <w:rFonts w:hint="eastAsia" w:ascii="方正小标宋简体" w:hAnsi="方正小标宋简体" w:eastAsia="方正小标宋简体" w:cs="方正小标宋简体"/>
          <w:sz w:val="32"/>
          <w:szCs w:val="32"/>
        </w:rPr>
        <w:t>日</w:t>
      </w:r>
    </w:p>
    <w:p w14:paraId="3450C016">
      <w:pPr>
        <w:jc w:val="center"/>
        <w:rPr>
          <w:rFonts w:hint="default" w:ascii="Times New Roman" w:hAnsi="Times New Roman" w:eastAsia="仿宋_GB2312" w:cs="Times New Roman"/>
          <w:sz w:val="32"/>
          <w:szCs w:val="32"/>
        </w:rPr>
      </w:pPr>
    </w:p>
    <w:p w14:paraId="5685C290">
      <w:pPr>
        <w:keepNext w:val="0"/>
        <w:keepLines w:val="0"/>
        <w:pageBreakBefore w:val="0"/>
        <w:widowControl w:val="0"/>
        <w:kinsoku/>
        <w:wordWrap/>
        <w:overflowPunct/>
        <w:topLinePunct w:val="0"/>
        <w:autoSpaceDE/>
        <w:autoSpaceDN/>
        <w:bidi w:val="0"/>
        <w:adjustRightInd/>
        <w:snapToGrid/>
        <w:spacing w:afterLines="0" w:line="360" w:lineRule="auto"/>
        <w:jc w:val="both"/>
        <w:textAlignment w:val="auto"/>
        <w:rPr>
          <w:rFonts w:hint="eastAsia"/>
          <w:lang w:eastAsia="zh-CN"/>
        </w:rPr>
        <w:sectPr>
          <w:pgSz w:w="11906" w:h="16838"/>
          <w:pgMar w:top="1440" w:right="1800" w:bottom="1440" w:left="1800" w:header="851" w:footer="992" w:gutter="0"/>
          <w:cols w:space="425" w:num="1"/>
          <w:docGrid w:type="lines" w:linePitch="312" w:charSpace="0"/>
        </w:sectPr>
      </w:pPr>
    </w:p>
    <w:p w14:paraId="2FE7D9AD">
      <w:pPr>
        <w:jc w:val="center"/>
        <w:rPr>
          <w:rFonts w:hint="eastAsia" w:asciiTheme="majorEastAsia" w:hAnsiTheme="majorEastAsia" w:eastAsiaTheme="majorEastAsia" w:cstheme="majorEastAsia"/>
          <w:b/>
          <w:bCs/>
          <w:sz w:val="36"/>
          <w:szCs w:val="36"/>
        </w:rPr>
      </w:pPr>
      <w:r>
        <w:rPr>
          <w:rFonts w:hint="eastAsia" w:asciiTheme="majorEastAsia" w:hAnsiTheme="majorEastAsia" w:eastAsiaTheme="majorEastAsia" w:cstheme="majorEastAsia"/>
          <w:b/>
          <w:bCs/>
          <w:sz w:val="36"/>
          <w:szCs w:val="36"/>
        </w:rPr>
        <w:t>202</w:t>
      </w:r>
      <w:r>
        <w:rPr>
          <w:rFonts w:hint="eastAsia" w:asciiTheme="majorEastAsia" w:hAnsiTheme="majorEastAsia" w:eastAsiaTheme="majorEastAsia" w:cstheme="majorEastAsia"/>
          <w:b/>
          <w:bCs/>
          <w:sz w:val="36"/>
          <w:szCs w:val="36"/>
          <w:lang w:val="en-US" w:eastAsia="zh-CN"/>
        </w:rPr>
        <w:t>5</w:t>
      </w:r>
      <w:r>
        <w:rPr>
          <w:rFonts w:hint="eastAsia" w:asciiTheme="majorEastAsia" w:hAnsiTheme="majorEastAsia" w:eastAsiaTheme="majorEastAsia" w:cstheme="majorEastAsia"/>
          <w:b/>
          <w:bCs/>
          <w:sz w:val="36"/>
          <w:szCs w:val="36"/>
        </w:rPr>
        <w:t>年度</w:t>
      </w:r>
      <w:r>
        <w:rPr>
          <w:rFonts w:hint="eastAsia" w:asciiTheme="majorEastAsia" w:hAnsiTheme="majorEastAsia" w:eastAsiaTheme="majorEastAsia" w:cstheme="majorEastAsia"/>
          <w:b/>
          <w:bCs/>
          <w:color w:val="000000"/>
          <w:sz w:val="36"/>
          <w:szCs w:val="36"/>
        </w:rPr>
        <w:t>岳阳市城市管理和综合执法局湖南城陵矶新港区分局</w:t>
      </w:r>
      <w:r>
        <w:rPr>
          <w:rFonts w:hint="eastAsia" w:asciiTheme="majorEastAsia" w:hAnsiTheme="majorEastAsia" w:eastAsiaTheme="majorEastAsia" w:cstheme="majorEastAsia"/>
          <w:b/>
          <w:bCs/>
          <w:sz w:val="36"/>
          <w:szCs w:val="36"/>
        </w:rPr>
        <w:t>整体支出绩效自评报告</w:t>
      </w:r>
    </w:p>
    <w:p w14:paraId="3D5D680F">
      <w:pPr>
        <w:keepNext w:val="0"/>
        <w:keepLines w:val="0"/>
        <w:pageBreakBefore w:val="0"/>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仿宋_GB2312" w:cs="Times New Roman"/>
          <w:sz w:val="32"/>
          <w:szCs w:val="32"/>
        </w:rPr>
      </w:pPr>
    </w:p>
    <w:p w14:paraId="70A0C69B">
      <w:pPr>
        <w:keepNext w:val="0"/>
        <w:keepLines w:val="0"/>
        <w:pageBreakBefore w:val="0"/>
        <w:numPr>
          <w:ilvl w:val="0"/>
          <w:numId w:val="1"/>
        </w:numPr>
        <w:kinsoku/>
        <w:wordWrap/>
        <w:overflowPunct/>
        <w:topLinePunct w:val="0"/>
        <w:autoSpaceDE/>
        <w:autoSpaceDN/>
        <w:bidi w:val="0"/>
        <w:adjustRightInd/>
        <w:snapToGrid/>
        <w:spacing w:line="620" w:lineRule="exact"/>
        <w:ind w:firstLine="643" w:firstLineChars="200"/>
        <w:jc w:val="both"/>
        <w:textAlignment w:val="auto"/>
        <w:rPr>
          <w:rFonts w:hint="default" w:ascii="Times New Roman" w:hAnsi="Times New Roman" w:eastAsia="黑体" w:cs="Times New Roman"/>
          <w:b/>
          <w:bCs/>
          <w:sz w:val="32"/>
          <w:szCs w:val="32"/>
        </w:rPr>
      </w:pPr>
      <w:r>
        <w:rPr>
          <w:rFonts w:hint="default" w:ascii="Times New Roman" w:hAnsi="Times New Roman" w:eastAsia="黑体" w:cs="Times New Roman"/>
          <w:b/>
          <w:bCs/>
          <w:sz w:val="32"/>
          <w:szCs w:val="32"/>
        </w:rPr>
        <w:t>单位基本情况</w:t>
      </w:r>
    </w:p>
    <w:p w14:paraId="41EC69FD">
      <w:pPr>
        <w:keepNext w:val="0"/>
        <w:keepLines w:val="0"/>
        <w:pageBreakBefore w:val="0"/>
        <w:widowControl/>
        <w:kinsoku/>
        <w:wordWrap/>
        <w:overflowPunct/>
        <w:topLinePunct w:val="0"/>
        <w:bidi w:val="0"/>
        <w:adjustRightInd/>
        <w:snapToGrid/>
        <w:spacing w:line="620" w:lineRule="exact"/>
        <w:ind w:firstLine="643" w:firstLineChars="200"/>
        <w:jc w:val="left"/>
        <w:textAlignment w:val="auto"/>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（一）职能职责</w:t>
      </w:r>
    </w:p>
    <w:p w14:paraId="7A8488C8">
      <w:pPr>
        <w:keepNext w:val="0"/>
        <w:keepLines w:val="0"/>
        <w:pageBreakBefore w:val="0"/>
        <w:widowControl/>
        <w:kinsoku/>
        <w:wordWrap/>
        <w:overflowPunct/>
        <w:topLinePunct w:val="0"/>
        <w:bidi w:val="0"/>
        <w:adjustRightInd/>
        <w:snapToGrid/>
        <w:spacing w:line="620" w:lineRule="exact"/>
        <w:ind w:firstLine="640" w:firstLineChars="200"/>
        <w:jc w:val="left"/>
        <w:textAlignment w:val="auto"/>
        <w:rPr>
          <w:rFonts w:hint="eastAsia" w:ascii="仿宋_GB2312" w:hAnsi="仿宋_GB2312" w:eastAsia="仿宋_GB2312" w:cs="仿宋_GB2312"/>
          <w:kern w:val="0"/>
          <w:sz w:val="32"/>
          <w:szCs w:val="32"/>
          <w:lang w:val="zh-CN" w:eastAsia="zh-CN"/>
        </w:rPr>
      </w:pPr>
      <w:r>
        <w:rPr>
          <w:rFonts w:hint="eastAsia" w:ascii="仿宋_GB2312" w:hAnsi="仿宋_GB2312" w:eastAsia="仿宋_GB2312" w:cs="仿宋_GB2312"/>
          <w:kern w:val="0"/>
          <w:sz w:val="32"/>
          <w:szCs w:val="32"/>
          <w:lang w:val="zh-CN" w:eastAsia="zh-CN"/>
        </w:rPr>
        <w:t>岳阳市城市管理和综合执法局湖南城陵矶新港区分局承担城陵矶新港区辖区内市容环境卫生、园林绿化、城管执法、市政公共设施维护、路灯亮化、渣土运输（道路破占道）、户外广告、城镇燃气、停车管理等职能。</w:t>
      </w:r>
    </w:p>
    <w:p w14:paraId="4D8761AA">
      <w:pPr>
        <w:keepNext w:val="0"/>
        <w:keepLines w:val="0"/>
        <w:pageBreakBefore w:val="0"/>
        <w:widowControl/>
        <w:kinsoku/>
        <w:wordWrap/>
        <w:overflowPunct/>
        <w:topLinePunct w:val="0"/>
        <w:bidi w:val="0"/>
        <w:adjustRightInd/>
        <w:snapToGrid/>
        <w:spacing w:line="620" w:lineRule="exact"/>
        <w:ind w:firstLine="643" w:firstLineChars="200"/>
        <w:jc w:val="left"/>
        <w:textAlignment w:val="auto"/>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（二）机构设置</w:t>
      </w:r>
    </w:p>
    <w:p w14:paraId="6818A0B5">
      <w:pPr>
        <w:keepNext w:val="0"/>
        <w:keepLines w:val="0"/>
        <w:pageBreakBefore w:val="0"/>
        <w:widowControl/>
        <w:kinsoku/>
        <w:wordWrap/>
        <w:overflowPunct/>
        <w:topLinePunct w:val="0"/>
        <w:bidi w:val="0"/>
        <w:adjustRightInd/>
        <w:snapToGrid/>
        <w:spacing w:line="620" w:lineRule="exact"/>
        <w:ind w:firstLine="640" w:firstLineChars="200"/>
        <w:jc w:val="left"/>
        <w:textAlignment w:val="auto"/>
        <w:rPr>
          <w:rFonts w:hint="default"/>
          <w:sz w:val="32"/>
          <w:szCs w:val="32"/>
        </w:rPr>
      </w:pPr>
      <w:r>
        <w:rPr>
          <w:rFonts w:hint="eastAsia" w:ascii="仿宋_GB2312" w:hAnsi="仿宋_GB2312" w:eastAsia="仿宋_GB2312" w:cs="仿宋_GB2312"/>
          <w:kern w:val="0"/>
          <w:sz w:val="32"/>
          <w:szCs w:val="32"/>
          <w:lang w:val="en-US" w:eastAsia="zh-CN"/>
        </w:rPr>
        <w:t>本单位为岳阳市城市管理和综合执法局直属</w:t>
      </w:r>
      <w:r>
        <w:rPr>
          <w:rFonts w:hint="eastAsia" w:ascii="仿宋_GB2312" w:hAnsi="仿宋_GB2312" w:eastAsia="仿宋_GB2312" w:cs="仿宋_GB2312"/>
          <w:kern w:val="0"/>
          <w:sz w:val="32"/>
          <w:szCs w:val="32"/>
          <w:lang w:val="zh-CN" w:eastAsia="zh-CN"/>
        </w:rPr>
        <w:t>公益一类事业单位，核定人员编制2</w:t>
      </w: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lang w:val="zh-CN" w:eastAsia="zh-CN"/>
        </w:rPr>
        <w:t>人，内设科室分别是综合股、财务股、行政审批股、维护考评股、燃气安全股、执法一中队、执法二中队。</w:t>
      </w:r>
    </w:p>
    <w:p w14:paraId="3643494A">
      <w:pPr>
        <w:pStyle w:val="11"/>
        <w:keepNext w:val="0"/>
        <w:keepLines w:val="0"/>
        <w:pageBreakBefore w:val="0"/>
        <w:widowControl/>
        <w:kinsoku/>
        <w:wordWrap/>
        <w:overflowPunct/>
        <w:topLinePunct w:val="0"/>
        <w:autoSpaceDE/>
        <w:autoSpaceDN/>
        <w:bidi w:val="0"/>
        <w:adjustRightInd/>
        <w:snapToGrid/>
        <w:spacing w:line="620" w:lineRule="exact"/>
        <w:ind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二、一般公共预算支出情况</w:t>
      </w:r>
    </w:p>
    <w:p w14:paraId="5A29DC10">
      <w:pPr>
        <w:pStyle w:val="11"/>
        <w:keepNext w:val="0"/>
        <w:keepLines w:val="0"/>
        <w:pageBreakBefore w:val="0"/>
        <w:widowControl/>
        <w:kinsoku/>
        <w:wordWrap/>
        <w:overflowPunct/>
        <w:topLinePunct w:val="0"/>
        <w:autoSpaceDE/>
        <w:autoSpaceDN/>
        <w:bidi w:val="0"/>
        <w:adjustRightInd/>
        <w:snapToGrid/>
        <w:spacing w:line="620" w:lineRule="exact"/>
        <w:ind w:firstLine="643" w:firstLineChars="200"/>
        <w:jc w:val="both"/>
        <w:textAlignment w:val="auto"/>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（一）基本支出情况</w:t>
      </w:r>
    </w:p>
    <w:p w14:paraId="44EB2006">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jc w:val="left"/>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20</w:t>
      </w:r>
      <w:r>
        <w:rPr>
          <w:rFonts w:hint="eastAsia" w:ascii="仿宋_GB2312" w:hAnsi="仿宋_GB2312" w:eastAsia="仿宋_GB2312" w:cs="仿宋_GB2312"/>
          <w:bCs/>
          <w:sz w:val="32"/>
          <w:szCs w:val="32"/>
          <w:lang w:val="en-US" w:eastAsia="zh-CN"/>
        </w:rPr>
        <w:t>25</w:t>
      </w:r>
      <w:r>
        <w:rPr>
          <w:rFonts w:hint="eastAsia" w:ascii="仿宋_GB2312" w:hAnsi="仿宋_GB2312" w:eastAsia="仿宋_GB2312" w:cs="仿宋_GB2312"/>
          <w:bCs/>
          <w:sz w:val="32"/>
          <w:szCs w:val="32"/>
        </w:rPr>
        <w:t>年</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lang w:val="en-US" w:eastAsia="zh-CN"/>
        </w:rPr>
        <w:t>单位</w:t>
      </w:r>
      <w:r>
        <w:rPr>
          <w:rFonts w:hint="eastAsia" w:ascii="仿宋_GB2312" w:hAnsi="仿宋_GB2312" w:eastAsia="仿宋_GB2312" w:cs="仿宋_GB2312"/>
          <w:bCs/>
          <w:sz w:val="32"/>
          <w:szCs w:val="32"/>
        </w:rPr>
        <w:t>基本支出</w:t>
      </w:r>
      <w:r>
        <w:rPr>
          <w:rFonts w:hint="eastAsia" w:ascii="仿宋_GB2312" w:hAnsi="仿宋_GB2312" w:eastAsia="仿宋_GB2312" w:cs="仿宋_GB2312"/>
          <w:bCs/>
          <w:sz w:val="32"/>
          <w:szCs w:val="32"/>
          <w:lang w:val="en-US" w:eastAsia="zh-CN"/>
        </w:rPr>
        <w:t xml:space="preserve">总额为517.40 </w:t>
      </w:r>
      <w:r>
        <w:rPr>
          <w:rFonts w:hint="eastAsia" w:ascii="仿宋_GB2312" w:hAnsi="仿宋_GB2312" w:eastAsia="仿宋_GB2312" w:cs="仿宋_GB2312"/>
          <w:bCs/>
          <w:sz w:val="32"/>
          <w:szCs w:val="32"/>
        </w:rPr>
        <w:t>万元，</w:t>
      </w:r>
      <w:r>
        <w:rPr>
          <w:rFonts w:hint="eastAsia" w:ascii="仿宋_GB2312" w:hAnsi="仿宋_GB2312" w:eastAsia="仿宋_GB2312" w:cs="仿宋_GB2312"/>
          <w:bCs/>
          <w:sz w:val="32"/>
          <w:szCs w:val="32"/>
          <w:lang w:val="en-US" w:eastAsia="zh-CN"/>
        </w:rPr>
        <w:t>其中人员经费支出总额为367.63万元，主要用于</w:t>
      </w:r>
      <w:r>
        <w:rPr>
          <w:rFonts w:hint="eastAsia" w:ascii="仿宋_GB2312" w:hAnsi="仿宋_GB2312" w:eastAsia="仿宋_GB2312" w:cs="仿宋_GB2312"/>
          <w:bCs/>
          <w:sz w:val="32"/>
          <w:szCs w:val="32"/>
          <w:highlight w:val="none"/>
          <w:lang w:val="en-US" w:eastAsia="zh-CN"/>
        </w:rPr>
        <w:t>职工基本工资、津补贴、绩效工资及社会保障缴费等，日常公用经费支出总额为149.77万元，</w:t>
      </w:r>
      <w:r>
        <w:rPr>
          <w:rFonts w:hint="eastAsia" w:ascii="仿宋_GB2312" w:hAnsi="仿宋_GB2312" w:eastAsia="仿宋_GB2312" w:cs="仿宋_GB2312"/>
          <w:bCs/>
          <w:sz w:val="32"/>
          <w:szCs w:val="32"/>
          <w:lang w:val="en-US" w:eastAsia="zh-CN"/>
        </w:rPr>
        <w:t>主要用于办公费、印刷费、水电费、邮电费、物业费、差旅费、维修（护）费、租赁费、劳务费、委托业务费、工会经费、公务用车运行费、其他交通费用、其他商品和服务支出等</w:t>
      </w:r>
      <w:r>
        <w:rPr>
          <w:rFonts w:hint="eastAsia" w:ascii="仿宋_GB2312" w:hAnsi="仿宋_GB2312" w:eastAsia="仿宋_GB2312" w:cs="仿宋_GB2312"/>
          <w:bCs/>
          <w:sz w:val="32"/>
          <w:szCs w:val="32"/>
          <w:highlight w:val="none"/>
          <w:lang w:val="en-US" w:eastAsia="zh-CN"/>
        </w:rPr>
        <w:t>保障单位</w:t>
      </w:r>
      <w:r>
        <w:rPr>
          <w:rFonts w:hint="eastAsia" w:ascii="仿宋_GB2312" w:hAnsi="仿宋_GB2312" w:eastAsia="仿宋_GB2312" w:cs="仿宋_GB2312"/>
          <w:bCs/>
          <w:sz w:val="32"/>
          <w:szCs w:val="32"/>
          <w:lang w:val="en-US" w:eastAsia="zh-CN"/>
        </w:rPr>
        <w:t>运转</w:t>
      </w:r>
      <w:r>
        <w:rPr>
          <w:rFonts w:hint="eastAsia" w:ascii="仿宋_GB2312" w:hAnsi="仿宋_GB2312" w:eastAsia="仿宋_GB2312" w:cs="仿宋_GB2312"/>
          <w:bCs/>
          <w:sz w:val="32"/>
          <w:szCs w:val="32"/>
          <w:highlight w:val="none"/>
          <w:lang w:val="en-US" w:eastAsia="zh-CN"/>
        </w:rPr>
        <w:t>的</w:t>
      </w:r>
      <w:r>
        <w:rPr>
          <w:rFonts w:hint="eastAsia" w:ascii="仿宋_GB2312" w:hAnsi="仿宋_GB2312" w:eastAsia="仿宋_GB2312" w:cs="仿宋_GB2312"/>
          <w:bCs/>
          <w:sz w:val="32"/>
          <w:szCs w:val="32"/>
          <w:lang w:val="en-US" w:eastAsia="zh-CN"/>
        </w:rPr>
        <w:t>支出。</w:t>
      </w:r>
    </w:p>
    <w:p w14:paraId="1719859A">
      <w:pPr>
        <w:keepNext w:val="0"/>
        <w:keepLines w:val="0"/>
        <w:pageBreakBefore w:val="0"/>
        <w:widowControl w:val="0"/>
        <w:kinsoku/>
        <w:wordWrap/>
        <w:overflowPunct/>
        <w:topLinePunct w:val="0"/>
        <w:autoSpaceDE/>
        <w:autoSpaceDN/>
        <w:bidi w:val="0"/>
        <w:spacing w:line="620" w:lineRule="exact"/>
        <w:ind w:firstLine="640" w:firstLineChars="200"/>
        <w:jc w:val="left"/>
        <w:textAlignment w:val="auto"/>
        <w:rPr>
          <w:rFonts w:hint="default" w:ascii="Times New Roman" w:hAnsi="Times New Roman" w:eastAsia="楷体_GB2312" w:cs="Times New Roman"/>
          <w:b/>
          <w:sz w:val="32"/>
          <w:szCs w:val="32"/>
        </w:rPr>
      </w:pPr>
      <w:r>
        <w:rPr>
          <w:rFonts w:hint="eastAsia" w:ascii="仿宋_GB2312" w:hAnsi="仿宋_GB2312" w:eastAsia="仿宋_GB2312" w:cs="仿宋_GB2312"/>
          <w:bCs/>
          <w:sz w:val="32"/>
          <w:szCs w:val="32"/>
        </w:rPr>
        <w:t>本年度公务接待费</w:t>
      </w:r>
      <w:r>
        <w:rPr>
          <w:rFonts w:hint="eastAsia" w:ascii="仿宋_GB2312" w:hAnsi="仿宋_GB2312" w:eastAsia="仿宋_GB2312" w:cs="仿宋_GB2312"/>
          <w:bCs/>
          <w:sz w:val="32"/>
          <w:szCs w:val="32"/>
          <w:lang w:eastAsia="zh-CN"/>
        </w:rPr>
        <w:t>预算</w:t>
      </w:r>
      <w:r>
        <w:rPr>
          <w:rFonts w:hint="eastAsia" w:ascii="仿宋_GB2312" w:hAnsi="仿宋_GB2312" w:eastAsia="仿宋_GB2312" w:cs="仿宋_GB2312"/>
          <w:bCs/>
          <w:sz w:val="32"/>
          <w:szCs w:val="32"/>
          <w:lang w:val="en-US" w:eastAsia="zh-CN"/>
        </w:rPr>
        <w:t>0万元，实际支出为</w:t>
      </w:r>
      <w:r>
        <w:rPr>
          <w:rFonts w:hint="eastAsia" w:ascii="仿宋_GB2312" w:hAnsi="仿宋_GB2312" w:eastAsia="仿宋_GB2312" w:cs="仿宋_GB2312"/>
          <w:bCs/>
          <w:sz w:val="32"/>
          <w:szCs w:val="32"/>
        </w:rPr>
        <w:t>0万元，</w:t>
      </w:r>
      <w:r>
        <w:rPr>
          <w:rFonts w:hint="eastAsia" w:ascii="仿宋_GB2312" w:hAnsi="仿宋_GB2312" w:eastAsia="仿宋_GB2312" w:cs="仿宋_GB2312"/>
          <w:bCs/>
          <w:color w:val="auto"/>
          <w:sz w:val="32"/>
          <w:szCs w:val="32"/>
          <w:lang w:val="en-US" w:eastAsia="zh-CN"/>
        </w:rPr>
        <w:t>公务用车购置及</w:t>
      </w:r>
      <w:r>
        <w:rPr>
          <w:rFonts w:hint="eastAsia" w:ascii="仿宋_GB2312" w:hAnsi="仿宋_GB2312" w:eastAsia="仿宋_GB2312" w:cs="仿宋_GB2312"/>
          <w:bCs/>
          <w:color w:val="auto"/>
          <w:sz w:val="32"/>
          <w:szCs w:val="32"/>
        </w:rPr>
        <w:t>公务用车运行维护费支出</w:t>
      </w:r>
      <w:r>
        <w:rPr>
          <w:rFonts w:hint="eastAsia" w:ascii="仿宋_GB2312" w:hAnsi="仿宋_GB2312" w:eastAsia="仿宋_GB2312" w:cs="仿宋_GB2312"/>
          <w:bCs/>
          <w:color w:val="auto"/>
          <w:sz w:val="32"/>
          <w:szCs w:val="32"/>
          <w:lang w:eastAsia="zh-CN"/>
        </w:rPr>
        <w:t>预算</w:t>
      </w:r>
      <w:r>
        <w:rPr>
          <w:rFonts w:hint="eastAsia" w:ascii="仿宋_GB2312" w:hAnsi="仿宋_GB2312" w:eastAsia="仿宋_GB2312" w:cs="仿宋_GB2312"/>
          <w:bCs/>
          <w:color w:val="auto"/>
          <w:sz w:val="32"/>
          <w:szCs w:val="32"/>
          <w:lang w:val="en-US" w:eastAsia="zh-CN"/>
        </w:rPr>
        <w:t>和决算均为0</w:t>
      </w:r>
      <w:r>
        <w:rPr>
          <w:rFonts w:hint="eastAsia" w:ascii="仿宋_GB2312" w:hAnsi="仿宋_GB2312" w:eastAsia="仿宋_GB2312" w:cs="仿宋_GB2312"/>
          <w:bCs/>
          <w:color w:val="auto"/>
          <w:sz w:val="32"/>
          <w:szCs w:val="32"/>
        </w:rPr>
        <w:t>万元</w:t>
      </w:r>
      <w:r>
        <w:rPr>
          <w:rFonts w:hint="eastAsia" w:ascii="仿宋_GB2312" w:hAnsi="仿宋_GB2312" w:eastAsia="仿宋_GB2312" w:cs="仿宋_GB2312"/>
          <w:bCs/>
          <w:color w:val="auto"/>
          <w:sz w:val="32"/>
          <w:szCs w:val="32"/>
          <w:lang w:eastAsia="zh-CN"/>
        </w:rPr>
        <w:t>，因</w:t>
      </w:r>
      <w:r>
        <w:rPr>
          <w:rFonts w:hint="eastAsia" w:ascii="仿宋_GB2312" w:hAnsi="仿宋_GB2312" w:eastAsia="仿宋_GB2312" w:cs="仿宋_GB2312"/>
          <w:bCs/>
          <w:color w:val="auto"/>
          <w:sz w:val="32"/>
          <w:szCs w:val="32"/>
        </w:rPr>
        <w:t>公出国</w:t>
      </w:r>
      <w:r>
        <w:rPr>
          <w:rFonts w:hint="eastAsia" w:ascii="仿宋_GB2312" w:hAnsi="仿宋_GB2312" w:eastAsia="仿宋_GB2312" w:cs="仿宋_GB2312"/>
          <w:bCs/>
          <w:color w:val="auto"/>
          <w:sz w:val="32"/>
          <w:szCs w:val="32"/>
          <w:lang w:eastAsia="zh-CN"/>
        </w:rPr>
        <w:t>费用</w:t>
      </w:r>
      <w:r>
        <w:rPr>
          <w:rFonts w:hint="eastAsia" w:ascii="仿宋_GB2312" w:hAnsi="仿宋_GB2312" w:eastAsia="仿宋_GB2312" w:cs="仿宋_GB2312"/>
          <w:bCs/>
          <w:color w:val="auto"/>
          <w:sz w:val="32"/>
          <w:szCs w:val="32"/>
          <w:lang w:val="en-US" w:eastAsia="zh-CN"/>
        </w:rPr>
        <w:t>预算和决算均为</w:t>
      </w:r>
      <w:r>
        <w:rPr>
          <w:rFonts w:hint="eastAsia" w:ascii="仿宋_GB2312" w:hAnsi="仿宋_GB2312" w:eastAsia="仿宋_GB2312" w:cs="仿宋_GB2312"/>
          <w:bCs/>
          <w:color w:val="auto"/>
          <w:sz w:val="32"/>
          <w:szCs w:val="32"/>
        </w:rPr>
        <w:t>0万元</w:t>
      </w:r>
      <w:r>
        <w:rPr>
          <w:rFonts w:hint="eastAsia" w:ascii="仿宋_GB2312" w:hAnsi="仿宋_GB2312" w:eastAsia="仿宋_GB2312" w:cs="仿宋_GB2312"/>
          <w:bCs/>
          <w:color w:val="auto"/>
          <w:sz w:val="32"/>
          <w:szCs w:val="32"/>
          <w:lang w:eastAsia="zh-CN"/>
        </w:rPr>
        <w:t>，“三公”经费支出</w:t>
      </w:r>
      <w:r>
        <w:rPr>
          <w:rFonts w:hint="eastAsia" w:ascii="仿宋_GB2312" w:hAnsi="仿宋_GB2312" w:eastAsia="仿宋_GB2312" w:cs="仿宋_GB2312"/>
          <w:bCs/>
          <w:color w:val="auto"/>
          <w:sz w:val="32"/>
          <w:szCs w:val="32"/>
          <w:lang w:val="en-US" w:eastAsia="zh-CN"/>
        </w:rPr>
        <w:t>总额0万元</w:t>
      </w:r>
      <w:r>
        <w:rPr>
          <w:rFonts w:hint="eastAsia" w:ascii="仿宋_GB2312" w:hAnsi="仿宋_GB2312" w:eastAsia="仿宋_GB2312" w:cs="仿宋_GB2312"/>
          <w:bCs/>
          <w:sz w:val="32"/>
          <w:szCs w:val="32"/>
          <w:lang w:val="en-US" w:eastAsia="zh-CN"/>
        </w:rPr>
        <w:t>，</w:t>
      </w:r>
      <w:r>
        <w:rPr>
          <w:rFonts w:hint="eastAsia" w:ascii="仿宋_GB2312" w:hAnsi="仿宋_GB2312" w:eastAsia="仿宋_GB2312" w:cs="仿宋_GB2312"/>
          <w:bCs/>
          <w:sz w:val="32"/>
          <w:szCs w:val="32"/>
          <w:lang w:eastAsia="zh-CN"/>
        </w:rPr>
        <w:t>控制在年初预算</w:t>
      </w:r>
      <w:r>
        <w:rPr>
          <w:rFonts w:hint="eastAsia" w:ascii="仿宋_GB2312" w:hAnsi="仿宋_GB2312" w:eastAsia="仿宋_GB2312" w:cs="仿宋_GB2312"/>
          <w:bCs/>
          <w:sz w:val="32"/>
          <w:szCs w:val="32"/>
          <w:lang w:val="en-US" w:eastAsia="zh-CN"/>
        </w:rPr>
        <w:t>金额</w:t>
      </w:r>
      <w:r>
        <w:rPr>
          <w:rFonts w:hint="eastAsia" w:ascii="仿宋_GB2312" w:hAnsi="仿宋_GB2312" w:eastAsia="仿宋_GB2312" w:cs="仿宋_GB2312"/>
          <w:bCs/>
          <w:sz w:val="32"/>
          <w:szCs w:val="32"/>
          <w:lang w:eastAsia="zh-CN"/>
        </w:rPr>
        <w:t>之内</w:t>
      </w:r>
      <w:r>
        <w:rPr>
          <w:rFonts w:hint="eastAsia" w:ascii="仿宋_GB2312" w:hAnsi="仿宋_GB2312" w:eastAsia="仿宋_GB2312" w:cs="仿宋_GB2312"/>
          <w:bCs/>
          <w:sz w:val="32"/>
          <w:szCs w:val="32"/>
        </w:rPr>
        <w:t>。</w:t>
      </w:r>
    </w:p>
    <w:p w14:paraId="76948645">
      <w:pPr>
        <w:pStyle w:val="11"/>
        <w:keepNext w:val="0"/>
        <w:keepLines w:val="0"/>
        <w:pageBreakBefore w:val="0"/>
        <w:widowControl/>
        <w:numPr>
          <w:ilvl w:val="0"/>
          <w:numId w:val="2"/>
        </w:numPr>
        <w:kinsoku/>
        <w:wordWrap/>
        <w:overflowPunct/>
        <w:topLinePunct w:val="0"/>
        <w:autoSpaceDE/>
        <w:autoSpaceDN/>
        <w:bidi w:val="0"/>
        <w:adjustRightInd/>
        <w:snapToGrid/>
        <w:spacing w:line="620" w:lineRule="exact"/>
        <w:ind w:left="-83" w:leftChars="0" w:firstLine="643" w:firstLineChars="0"/>
        <w:jc w:val="both"/>
        <w:textAlignment w:val="auto"/>
        <w:rPr>
          <w:rFonts w:hint="default" w:ascii="Times New Roman" w:hAnsi="Times New Roman" w:eastAsia="楷体_GB2312" w:cs="Times New Roman"/>
          <w:b/>
          <w:color w:val="auto"/>
          <w:sz w:val="32"/>
          <w:szCs w:val="32"/>
        </w:rPr>
      </w:pPr>
      <w:r>
        <w:rPr>
          <w:rFonts w:hint="default" w:ascii="Times New Roman" w:hAnsi="Times New Roman" w:eastAsia="楷体_GB2312" w:cs="Times New Roman"/>
          <w:b/>
          <w:color w:val="auto"/>
          <w:sz w:val="32"/>
          <w:szCs w:val="32"/>
        </w:rPr>
        <w:t>项目支出情况</w:t>
      </w:r>
    </w:p>
    <w:p w14:paraId="6F05D259">
      <w:pPr>
        <w:pStyle w:val="11"/>
        <w:keepNext w:val="0"/>
        <w:keepLines w:val="0"/>
        <w:pageBreakBefore w:val="0"/>
        <w:widowControl/>
        <w:kinsoku/>
        <w:wordWrap/>
        <w:overflowPunct/>
        <w:topLinePunct w:val="0"/>
        <w:autoSpaceDE/>
        <w:autoSpaceDN/>
        <w:bidi w:val="0"/>
        <w:adjustRightInd/>
        <w:snapToGrid/>
        <w:spacing w:line="620" w:lineRule="exact"/>
        <w:ind w:firstLine="640" w:firstLineChars="200"/>
        <w:jc w:val="left"/>
        <w:textAlignment w:val="auto"/>
        <w:rPr>
          <w:rFonts w:hint="default"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rPr>
        <w:t>20</w:t>
      </w:r>
      <w:r>
        <w:rPr>
          <w:rFonts w:hint="eastAsia" w:ascii="仿宋_GB2312" w:hAnsi="仿宋_GB2312" w:eastAsia="仿宋_GB2312" w:cs="仿宋_GB2312"/>
          <w:bCs/>
          <w:sz w:val="32"/>
          <w:szCs w:val="32"/>
          <w:lang w:val="en-US" w:eastAsia="zh-CN"/>
        </w:rPr>
        <w:t>25</w:t>
      </w:r>
      <w:r>
        <w:rPr>
          <w:rFonts w:hint="eastAsia" w:ascii="仿宋_GB2312" w:hAnsi="仿宋_GB2312" w:eastAsia="仿宋_GB2312" w:cs="仿宋_GB2312"/>
          <w:bCs/>
          <w:sz w:val="32"/>
          <w:szCs w:val="32"/>
        </w:rPr>
        <w:t>年</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sz w:val="32"/>
          <w:szCs w:val="32"/>
          <w:lang w:eastAsia="zh-CN"/>
        </w:rPr>
        <w:t>我单位项目支出</w:t>
      </w:r>
      <w:r>
        <w:rPr>
          <w:rFonts w:hint="eastAsia" w:ascii="仿宋_GB2312" w:hAnsi="仿宋_GB2312" w:eastAsia="仿宋_GB2312" w:cs="仿宋_GB2312"/>
          <w:sz w:val="32"/>
          <w:szCs w:val="32"/>
          <w:lang w:val="en-US" w:eastAsia="zh-CN"/>
        </w:rPr>
        <w:t>14.25万元</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kern w:val="0"/>
          <w:sz w:val="32"/>
          <w:szCs w:val="32"/>
          <w:lang w:val="en-US" w:eastAsia="zh-CN"/>
        </w:rPr>
        <w:t>保障机关运行和日常管理的相关费用。</w:t>
      </w:r>
    </w:p>
    <w:p w14:paraId="026251CA">
      <w:pPr>
        <w:pStyle w:val="11"/>
        <w:keepNext w:val="0"/>
        <w:keepLines w:val="0"/>
        <w:pageBreakBefore w:val="0"/>
        <w:widowControl/>
        <w:numPr>
          <w:ilvl w:val="0"/>
          <w:numId w:val="0"/>
        </w:numPr>
        <w:kinsoku/>
        <w:wordWrap/>
        <w:overflowPunct/>
        <w:topLinePunct w:val="0"/>
        <w:autoSpaceDE/>
        <w:autoSpaceDN/>
        <w:bidi w:val="0"/>
        <w:adjustRightInd/>
        <w:snapToGrid/>
        <w:spacing w:line="620" w:lineRule="exact"/>
        <w:ind w:firstLine="640" w:firstLineChars="200"/>
        <w:jc w:val="both"/>
        <w:textAlignment w:val="auto"/>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val="en-US" w:eastAsia="zh-CN"/>
        </w:rPr>
        <w:t>三、</w:t>
      </w:r>
      <w:r>
        <w:rPr>
          <w:rFonts w:hint="default" w:ascii="Times New Roman" w:hAnsi="Times New Roman" w:eastAsia="黑体" w:cs="Times New Roman"/>
          <w:sz w:val="32"/>
          <w:szCs w:val="32"/>
        </w:rPr>
        <w:t>政府性基金预算</w:t>
      </w:r>
      <w:r>
        <w:rPr>
          <w:rFonts w:hint="eastAsia" w:ascii="Times New Roman" w:hAnsi="Times New Roman" w:eastAsia="黑体" w:cs="Times New Roman"/>
          <w:sz w:val="32"/>
          <w:szCs w:val="32"/>
          <w:lang w:eastAsia="zh-CN"/>
        </w:rPr>
        <w:t>、</w:t>
      </w:r>
      <w:r>
        <w:rPr>
          <w:rFonts w:hint="default" w:ascii="Times New Roman" w:hAnsi="Times New Roman" w:eastAsia="黑体" w:cs="Times New Roman"/>
          <w:sz w:val="32"/>
          <w:szCs w:val="32"/>
        </w:rPr>
        <w:t>国有资本经营预算</w:t>
      </w:r>
      <w:r>
        <w:rPr>
          <w:rFonts w:hint="eastAsia" w:ascii="Times New Roman" w:hAnsi="Times New Roman" w:eastAsia="黑体" w:cs="Times New Roman"/>
          <w:sz w:val="32"/>
          <w:szCs w:val="32"/>
          <w:lang w:eastAsia="zh-CN"/>
        </w:rPr>
        <w:t>、</w:t>
      </w:r>
      <w:r>
        <w:rPr>
          <w:rFonts w:hint="default" w:ascii="Times New Roman" w:hAnsi="Times New Roman" w:eastAsia="黑体" w:cs="Times New Roman"/>
          <w:sz w:val="32"/>
          <w:szCs w:val="32"/>
        </w:rPr>
        <w:t>社会保险基金预算支出情况</w:t>
      </w:r>
    </w:p>
    <w:p w14:paraId="3BE57959">
      <w:pPr>
        <w:pStyle w:val="11"/>
        <w:keepNext w:val="0"/>
        <w:keepLines w:val="0"/>
        <w:pageBreakBefore w:val="0"/>
        <w:widowControl/>
        <w:numPr>
          <w:ilvl w:val="0"/>
          <w:numId w:val="0"/>
        </w:numPr>
        <w:kinsoku/>
        <w:wordWrap/>
        <w:overflowPunct/>
        <w:topLinePunct w:val="0"/>
        <w:autoSpaceDE/>
        <w:autoSpaceDN/>
        <w:bidi w:val="0"/>
        <w:adjustRightInd/>
        <w:snapToGrid/>
        <w:spacing w:line="620" w:lineRule="exact"/>
        <w:ind w:firstLine="640" w:firstLineChars="200"/>
        <w:jc w:val="both"/>
        <w:textAlignment w:val="auto"/>
        <w:rPr>
          <w:rFonts w:hint="default" w:ascii="Times New Roman" w:hAnsi="Times New Roman" w:eastAsia="黑体" w:cs="Times New Roman"/>
          <w:sz w:val="32"/>
          <w:szCs w:val="32"/>
        </w:rPr>
      </w:pPr>
      <w:r>
        <w:rPr>
          <w:rFonts w:hint="eastAsia" w:ascii="仿宋_GB2312" w:hAnsi="仿宋_GB2312" w:eastAsia="仿宋_GB2312" w:cs="仿宋_GB2312"/>
          <w:sz w:val="32"/>
          <w:szCs w:val="32"/>
          <w:lang w:val="en-US" w:eastAsia="zh-CN"/>
        </w:rPr>
        <w:t>我单位无</w:t>
      </w:r>
      <w:r>
        <w:rPr>
          <w:rFonts w:hint="eastAsia" w:ascii="仿宋_GB2312" w:hAnsi="仿宋_GB2312" w:eastAsia="仿宋_GB2312" w:cs="仿宋_GB2312"/>
          <w:sz w:val="32"/>
          <w:szCs w:val="32"/>
        </w:rPr>
        <w:t>政府性基金预算</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国有资本经营预算</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社会保险基金预算支出</w:t>
      </w:r>
      <w:r>
        <w:rPr>
          <w:rFonts w:hint="eastAsia" w:ascii="仿宋_GB2312" w:hAnsi="仿宋_GB2312" w:eastAsia="仿宋_GB2312" w:cs="仿宋_GB2312"/>
          <w:sz w:val="32"/>
          <w:szCs w:val="32"/>
          <w:lang w:val="en-US" w:eastAsia="zh-CN"/>
        </w:rPr>
        <w:t>预算。</w:t>
      </w:r>
    </w:p>
    <w:p w14:paraId="606A290B">
      <w:pPr>
        <w:keepNext w:val="0"/>
        <w:keepLines w:val="0"/>
        <w:pageBreakBefore w:val="0"/>
        <w:widowControl/>
        <w:numPr>
          <w:ilvl w:val="0"/>
          <w:numId w:val="3"/>
        </w:numPr>
        <w:kinsoku/>
        <w:wordWrap/>
        <w:overflowPunct/>
        <w:topLinePunct w:val="0"/>
        <w:autoSpaceDE/>
        <w:autoSpaceDN/>
        <w:bidi w:val="0"/>
        <w:adjustRightInd/>
        <w:snapToGrid/>
        <w:spacing w:line="620" w:lineRule="exact"/>
        <w:ind w:firstLine="640" w:firstLineChars="200"/>
        <w:jc w:val="both"/>
        <w:textAlignment w:val="auto"/>
        <w:rPr>
          <w:rFonts w:hint="default"/>
          <w:sz w:val="32"/>
          <w:szCs w:val="32"/>
        </w:rPr>
      </w:pPr>
      <w:r>
        <w:rPr>
          <w:rFonts w:hint="default" w:ascii="Times New Roman" w:hAnsi="Times New Roman" w:eastAsia="黑体" w:cs="Times New Roman"/>
          <w:sz w:val="32"/>
          <w:szCs w:val="32"/>
        </w:rPr>
        <w:t>部门整体支出绩效情</w:t>
      </w:r>
      <w:r>
        <w:rPr>
          <w:rFonts w:hint="eastAsia" w:ascii="Times New Roman" w:hAnsi="Times New Roman" w:eastAsia="黑体" w:cs="Times New Roman"/>
          <w:sz w:val="32"/>
          <w:szCs w:val="32"/>
          <w:lang w:val="en-US" w:eastAsia="zh-CN"/>
        </w:rPr>
        <w:t>况</w:t>
      </w:r>
    </w:p>
    <w:p w14:paraId="5B9BB38D">
      <w:pPr>
        <w:pStyle w:val="4"/>
        <w:keepNext w:val="0"/>
        <w:keepLines w:val="0"/>
        <w:pageBreakBefore w:val="0"/>
        <w:widowControl w:val="0"/>
        <w:kinsoku/>
        <w:wordWrap/>
        <w:overflowPunct/>
        <w:topLinePunct w:val="0"/>
        <w:autoSpaceDE/>
        <w:autoSpaceDN/>
        <w:bidi w:val="0"/>
        <w:adjustRightInd/>
        <w:snapToGrid/>
        <w:spacing w:line="620" w:lineRule="exact"/>
        <w:ind w:left="0" w:leftChars="0" w:firstLine="643" w:firstLineChars="200"/>
        <w:jc w:val="both"/>
        <w:textAlignment w:val="auto"/>
        <w:rPr>
          <w:rFonts w:hint="eastAsia" w:ascii="楷体_GB2312" w:hAnsi="楷体_GB2312" w:eastAsia="楷体_GB2312" w:cs="楷体_GB2312"/>
          <w:b/>
          <w:bCs w:val="0"/>
          <w:color w:val="auto"/>
          <w:kern w:val="2"/>
          <w:sz w:val="32"/>
          <w:szCs w:val="32"/>
          <w:highlight w:val="none"/>
          <w:lang w:val="en-US" w:eastAsia="zh-CN" w:bidi="ar-SA"/>
        </w:rPr>
      </w:pPr>
      <w:r>
        <w:rPr>
          <w:rFonts w:hint="eastAsia" w:ascii="楷体_GB2312" w:hAnsi="楷体_GB2312" w:eastAsia="楷体_GB2312" w:cs="楷体_GB2312"/>
          <w:b/>
          <w:bCs w:val="0"/>
          <w:color w:val="auto"/>
          <w:kern w:val="2"/>
          <w:sz w:val="32"/>
          <w:szCs w:val="32"/>
          <w:highlight w:val="none"/>
          <w:lang w:val="en-US" w:eastAsia="zh-CN" w:bidi="ar-SA"/>
        </w:rPr>
        <w:t>（一）年度绩效目标</w:t>
      </w:r>
    </w:p>
    <w:p w14:paraId="3ACC617D">
      <w:pPr>
        <w:keepNext w:val="0"/>
        <w:keepLines w:val="0"/>
        <w:pageBreakBefore w:val="0"/>
        <w:widowControl/>
        <w:numPr>
          <w:ilvl w:val="0"/>
          <w:numId w:val="0"/>
        </w:numPr>
        <w:kinsoku/>
        <w:wordWrap/>
        <w:overflowPunct/>
        <w:topLinePunct w:val="0"/>
        <w:autoSpaceDE/>
        <w:autoSpaceDN/>
        <w:bidi w:val="0"/>
        <w:adjustRightInd/>
        <w:snapToGrid/>
        <w:spacing w:line="620" w:lineRule="exact"/>
        <w:ind w:firstLine="640" w:firstLineChars="200"/>
        <w:jc w:val="left"/>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lang w:val="en-US" w:eastAsia="zh-CN"/>
        </w:rPr>
        <w:t>目标1：</w:t>
      </w:r>
      <w:r>
        <w:rPr>
          <w:rFonts w:hint="eastAsia" w:ascii="仿宋_GB2312" w:hAnsi="仿宋_GB2312" w:eastAsia="仿宋_GB2312" w:cs="仿宋_GB2312"/>
          <w:color w:val="000000"/>
          <w:sz w:val="32"/>
          <w:szCs w:val="32"/>
          <w:highlight w:val="none"/>
        </w:rPr>
        <w:t>提升维护管理工作，加大考评力度、提升维护质量、创新工作机制</w:t>
      </w:r>
      <w:r>
        <w:rPr>
          <w:rFonts w:hint="eastAsia" w:ascii="仿宋_GB2312" w:hAnsi="仿宋_GB2312" w:eastAsia="仿宋_GB2312" w:cs="仿宋_GB2312"/>
          <w:color w:val="000000"/>
          <w:sz w:val="32"/>
          <w:szCs w:val="32"/>
          <w:highlight w:val="none"/>
          <w:lang w:eastAsia="zh-CN"/>
        </w:rPr>
        <w:t>；</w:t>
      </w:r>
    </w:p>
    <w:p w14:paraId="04AE7275">
      <w:pPr>
        <w:keepNext w:val="0"/>
        <w:keepLines w:val="0"/>
        <w:pageBreakBefore w:val="0"/>
        <w:widowControl/>
        <w:numPr>
          <w:ilvl w:val="0"/>
          <w:numId w:val="0"/>
        </w:numPr>
        <w:kinsoku/>
        <w:wordWrap/>
        <w:overflowPunct/>
        <w:topLinePunct w:val="0"/>
        <w:autoSpaceDE/>
        <w:autoSpaceDN/>
        <w:bidi w:val="0"/>
        <w:adjustRightInd/>
        <w:snapToGrid/>
        <w:spacing w:line="620" w:lineRule="exact"/>
        <w:ind w:firstLine="640" w:firstLineChars="200"/>
        <w:jc w:val="left"/>
        <w:textAlignment w:val="auto"/>
        <w:rPr>
          <w:rFonts w:hint="eastAsia" w:ascii="仿宋_GB2312" w:hAnsi="仿宋_GB2312" w:eastAsia="仿宋_GB2312" w:cs="仿宋_GB2312"/>
          <w:color w:val="000000"/>
          <w:sz w:val="32"/>
          <w:szCs w:val="32"/>
          <w:highlight w:val="none"/>
          <w:lang w:eastAsia="zh-CN"/>
        </w:rPr>
      </w:pPr>
      <w:r>
        <w:rPr>
          <w:rFonts w:hint="eastAsia" w:ascii="仿宋_GB2312" w:hAnsi="仿宋_GB2312" w:eastAsia="仿宋_GB2312" w:cs="仿宋_GB2312"/>
          <w:color w:val="000000"/>
          <w:sz w:val="32"/>
          <w:szCs w:val="32"/>
          <w:highlight w:val="none"/>
          <w:lang w:val="en-US" w:eastAsia="zh-CN"/>
        </w:rPr>
        <w:t>目标2：</w:t>
      </w:r>
      <w:r>
        <w:rPr>
          <w:rFonts w:hint="eastAsia" w:ascii="仿宋_GB2312" w:hAnsi="仿宋_GB2312" w:eastAsia="仿宋_GB2312" w:cs="仿宋_GB2312"/>
          <w:color w:val="000000"/>
          <w:sz w:val="32"/>
          <w:szCs w:val="32"/>
          <w:highlight w:val="none"/>
        </w:rPr>
        <w:t>单位负责的行政审批工作提效</w:t>
      </w:r>
      <w:r>
        <w:rPr>
          <w:rFonts w:hint="eastAsia" w:ascii="仿宋_GB2312" w:hAnsi="仿宋_GB2312" w:eastAsia="仿宋_GB2312" w:cs="仿宋_GB2312"/>
          <w:color w:val="000000"/>
          <w:sz w:val="32"/>
          <w:szCs w:val="32"/>
          <w:highlight w:val="none"/>
          <w:lang w:eastAsia="zh-CN"/>
        </w:rPr>
        <w:t>；</w:t>
      </w:r>
    </w:p>
    <w:p w14:paraId="10B664DE">
      <w:pPr>
        <w:keepNext w:val="0"/>
        <w:keepLines w:val="0"/>
        <w:pageBreakBefore w:val="0"/>
        <w:widowControl/>
        <w:numPr>
          <w:ilvl w:val="0"/>
          <w:numId w:val="0"/>
        </w:numPr>
        <w:kinsoku/>
        <w:wordWrap/>
        <w:overflowPunct/>
        <w:topLinePunct w:val="0"/>
        <w:autoSpaceDE/>
        <w:autoSpaceDN/>
        <w:bidi w:val="0"/>
        <w:adjustRightInd/>
        <w:snapToGrid/>
        <w:spacing w:line="620" w:lineRule="exact"/>
        <w:ind w:firstLine="640" w:firstLineChars="200"/>
        <w:jc w:val="left"/>
        <w:textAlignment w:val="auto"/>
        <w:rPr>
          <w:rFonts w:hint="eastAsia" w:ascii="仿宋_GB2312" w:hAnsi="仿宋_GB2312" w:eastAsia="仿宋_GB2312" w:cs="仿宋_GB2312"/>
          <w:color w:val="000000"/>
          <w:sz w:val="32"/>
          <w:szCs w:val="32"/>
          <w:highlight w:val="none"/>
          <w:lang w:eastAsia="zh-CN"/>
        </w:rPr>
      </w:pPr>
      <w:r>
        <w:rPr>
          <w:rFonts w:hint="eastAsia" w:ascii="仿宋_GB2312" w:hAnsi="仿宋_GB2312" w:eastAsia="仿宋_GB2312" w:cs="仿宋_GB2312"/>
          <w:color w:val="000000"/>
          <w:sz w:val="32"/>
          <w:szCs w:val="32"/>
          <w:highlight w:val="none"/>
          <w:lang w:val="en-US" w:eastAsia="zh-CN"/>
        </w:rPr>
        <w:t>目标3：</w:t>
      </w:r>
      <w:r>
        <w:rPr>
          <w:rFonts w:hint="eastAsia" w:ascii="仿宋_GB2312" w:hAnsi="仿宋_GB2312" w:eastAsia="仿宋_GB2312" w:cs="仿宋_GB2312"/>
          <w:color w:val="000000"/>
          <w:sz w:val="32"/>
          <w:szCs w:val="32"/>
          <w:highlight w:val="none"/>
        </w:rPr>
        <w:t>大力推进环保和垃圾分类工作</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rPr>
        <w:t>高效完成接待任务</w:t>
      </w:r>
      <w:r>
        <w:rPr>
          <w:rFonts w:hint="eastAsia" w:ascii="仿宋_GB2312" w:hAnsi="仿宋_GB2312" w:eastAsia="仿宋_GB2312" w:cs="仿宋_GB2312"/>
          <w:color w:val="000000"/>
          <w:sz w:val="32"/>
          <w:szCs w:val="32"/>
          <w:highlight w:val="none"/>
          <w:lang w:eastAsia="zh-CN"/>
        </w:rPr>
        <w:t>；</w:t>
      </w:r>
    </w:p>
    <w:p w14:paraId="50B0D60B">
      <w:pPr>
        <w:keepNext w:val="0"/>
        <w:keepLines w:val="0"/>
        <w:pageBreakBefore w:val="0"/>
        <w:widowControl/>
        <w:numPr>
          <w:ilvl w:val="0"/>
          <w:numId w:val="0"/>
        </w:numPr>
        <w:kinsoku/>
        <w:wordWrap/>
        <w:overflowPunct/>
        <w:topLinePunct w:val="0"/>
        <w:autoSpaceDE/>
        <w:autoSpaceDN/>
        <w:bidi w:val="0"/>
        <w:adjustRightInd/>
        <w:snapToGrid/>
        <w:spacing w:line="620" w:lineRule="exact"/>
        <w:ind w:firstLine="640" w:firstLineChars="200"/>
        <w:jc w:val="left"/>
        <w:textAlignment w:val="auto"/>
        <w:rPr>
          <w:rFonts w:hint="eastAsia" w:ascii="仿宋_GB2312" w:hAnsi="仿宋_GB2312" w:eastAsia="仿宋_GB2312" w:cs="仿宋_GB2312"/>
          <w:color w:val="000000"/>
          <w:sz w:val="32"/>
          <w:szCs w:val="32"/>
          <w:highlight w:val="none"/>
          <w:lang w:eastAsia="zh-CN"/>
        </w:rPr>
      </w:pPr>
      <w:r>
        <w:rPr>
          <w:rFonts w:hint="eastAsia" w:ascii="仿宋_GB2312" w:hAnsi="仿宋_GB2312" w:eastAsia="仿宋_GB2312" w:cs="仿宋_GB2312"/>
          <w:color w:val="000000"/>
          <w:sz w:val="32"/>
          <w:szCs w:val="32"/>
          <w:highlight w:val="none"/>
          <w:lang w:val="en-US" w:eastAsia="zh-CN"/>
        </w:rPr>
        <w:t>目标4：</w:t>
      </w:r>
      <w:r>
        <w:rPr>
          <w:rFonts w:hint="eastAsia" w:ascii="仿宋_GB2312" w:hAnsi="仿宋_GB2312" w:eastAsia="仿宋_GB2312" w:cs="仿宋_GB2312"/>
          <w:color w:val="000000"/>
          <w:sz w:val="32"/>
          <w:szCs w:val="32"/>
          <w:highlight w:val="none"/>
        </w:rPr>
        <w:t>不断完善执法程序，持续开展综合整治，坚决抓好扬尘管控和禁燃禁放工作</w:t>
      </w:r>
      <w:r>
        <w:rPr>
          <w:rFonts w:hint="eastAsia" w:ascii="仿宋_GB2312" w:hAnsi="仿宋_GB2312" w:eastAsia="仿宋_GB2312" w:cs="仿宋_GB2312"/>
          <w:color w:val="000000"/>
          <w:sz w:val="32"/>
          <w:szCs w:val="32"/>
          <w:highlight w:val="none"/>
          <w:lang w:eastAsia="zh-CN"/>
        </w:rPr>
        <w:t>；</w:t>
      </w:r>
    </w:p>
    <w:p w14:paraId="50326960">
      <w:pPr>
        <w:keepNext w:val="0"/>
        <w:keepLines w:val="0"/>
        <w:pageBreakBefore w:val="0"/>
        <w:widowControl w:val="0"/>
        <w:kinsoku/>
        <w:wordWrap/>
        <w:overflowPunct/>
        <w:topLinePunct w:val="0"/>
        <w:autoSpaceDE/>
        <w:autoSpaceDN/>
        <w:bidi w:val="0"/>
        <w:adjustRightInd/>
        <w:snapToGrid/>
        <w:spacing w:afterLines="0" w:line="620" w:lineRule="exact"/>
        <w:ind w:firstLine="640" w:firstLineChars="200"/>
        <w:jc w:val="both"/>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32"/>
          <w:szCs w:val="32"/>
          <w:highlight w:val="none"/>
          <w:lang w:eastAsia="zh-CN"/>
        </w:rPr>
        <w:t>目标</w:t>
      </w:r>
      <w:r>
        <w:rPr>
          <w:rFonts w:hint="eastAsia" w:ascii="仿宋_GB2312" w:hAnsi="仿宋_GB2312" w:eastAsia="仿宋_GB2312" w:cs="仿宋_GB2312"/>
          <w:color w:val="000000"/>
          <w:sz w:val="32"/>
          <w:szCs w:val="32"/>
          <w:highlight w:val="none"/>
        </w:rPr>
        <w:t>5</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rPr>
        <w:t>及时受理信访投诉</w:t>
      </w:r>
      <w:r>
        <w:rPr>
          <w:rFonts w:hint="eastAsia" w:ascii="仿宋_GB2312" w:hAnsi="仿宋_GB2312" w:eastAsia="仿宋_GB2312" w:cs="仿宋_GB2312"/>
          <w:color w:val="000000"/>
          <w:sz w:val="32"/>
          <w:szCs w:val="32"/>
          <w:highlight w:val="none"/>
          <w:lang w:eastAsia="zh-CN"/>
        </w:rPr>
        <w:t>；</w:t>
      </w:r>
    </w:p>
    <w:p w14:paraId="0817BE54">
      <w:pPr>
        <w:pStyle w:val="3"/>
        <w:keepNext w:val="0"/>
        <w:keepLines w:val="0"/>
        <w:pageBreakBefore w:val="0"/>
        <w:kinsoku/>
        <w:wordWrap/>
        <w:overflowPunct/>
        <w:topLinePunct w:val="0"/>
        <w:autoSpaceDE/>
        <w:autoSpaceDN/>
        <w:bidi w:val="0"/>
        <w:adjustRightInd/>
        <w:snapToGrid/>
        <w:spacing w:line="620" w:lineRule="exact"/>
        <w:ind w:firstLine="643" w:firstLineChars="200"/>
        <w:textAlignment w:val="auto"/>
        <w:rPr>
          <w:rFonts w:hint="eastAsia" w:ascii="楷体_GB2312" w:hAnsi="楷体_GB2312" w:eastAsia="楷体_GB2312" w:cs="楷体_GB2312"/>
          <w:b/>
          <w:bCs/>
          <w:color w:val="333333"/>
          <w:sz w:val="32"/>
          <w:szCs w:val="32"/>
          <w:shd w:val="clear" w:color="auto" w:fill="FFFFFF"/>
        </w:rPr>
      </w:pPr>
      <w:r>
        <w:rPr>
          <w:rFonts w:hint="eastAsia" w:ascii="楷体_GB2312" w:hAnsi="楷体_GB2312" w:eastAsia="楷体_GB2312" w:cs="楷体_GB2312"/>
          <w:b/>
          <w:bCs/>
          <w:color w:val="000000"/>
          <w:sz w:val="32"/>
          <w:szCs w:val="32"/>
          <w:lang w:val="en-US" w:eastAsia="zh-CN"/>
        </w:rPr>
        <w:t>（二）</w:t>
      </w:r>
      <w:r>
        <w:rPr>
          <w:rFonts w:hint="eastAsia" w:ascii="楷体_GB2312" w:hAnsi="楷体_GB2312" w:eastAsia="楷体_GB2312" w:cs="楷体_GB2312"/>
          <w:b/>
          <w:bCs/>
          <w:color w:val="333333"/>
          <w:sz w:val="32"/>
          <w:szCs w:val="32"/>
          <w:shd w:val="clear" w:color="auto" w:fill="FFFFFF"/>
        </w:rPr>
        <w:t>目标完成情况</w:t>
      </w:r>
    </w:p>
    <w:p w14:paraId="4B798179">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000000"/>
          <w:sz w:val="32"/>
          <w:szCs w:val="32"/>
          <w:highlight w:val="none"/>
          <w:lang w:val="en-US" w:eastAsia="zh-CN"/>
        </w:rPr>
        <w:t>目标</w:t>
      </w:r>
      <w:r>
        <w:rPr>
          <w:rFonts w:hint="eastAsia" w:ascii="仿宋_GB2312" w:hAnsi="仿宋_GB2312" w:eastAsia="仿宋_GB2312" w:cs="仿宋_GB2312"/>
          <w:sz w:val="32"/>
          <w:szCs w:val="32"/>
          <w:lang w:val="en-US" w:eastAsia="zh-CN"/>
        </w:rPr>
        <w:t>1完成情况：</w:t>
      </w:r>
      <w:r>
        <w:rPr>
          <w:rFonts w:hint="eastAsia" w:ascii="仿宋_GB2312" w:hAnsi="仿宋_GB2312" w:eastAsia="仿宋_GB2312" w:cs="仿宋_GB2312"/>
          <w:sz w:val="32"/>
          <w:szCs w:val="32"/>
        </w:rPr>
        <w:t>提升</w:t>
      </w:r>
      <w:r>
        <w:rPr>
          <w:rFonts w:hint="eastAsia" w:ascii="仿宋_GB2312" w:hAnsi="仿宋_GB2312" w:eastAsia="仿宋_GB2312" w:cs="仿宋_GB2312"/>
          <w:sz w:val="32"/>
          <w:szCs w:val="32"/>
          <w:lang w:eastAsia="zh-CN"/>
        </w:rPr>
        <w:t>了</w:t>
      </w:r>
      <w:r>
        <w:rPr>
          <w:rFonts w:hint="eastAsia" w:ascii="仿宋_GB2312" w:hAnsi="仿宋_GB2312" w:eastAsia="仿宋_GB2312" w:cs="仿宋_GB2312"/>
          <w:sz w:val="32"/>
          <w:szCs w:val="32"/>
        </w:rPr>
        <w:t>维护管理工作</w:t>
      </w:r>
      <w:r>
        <w:rPr>
          <w:rFonts w:hint="eastAsia" w:ascii="仿宋_GB2312" w:hAnsi="仿宋_GB2312" w:eastAsia="仿宋_GB2312" w:cs="仿宋_GB2312"/>
          <w:sz w:val="32"/>
          <w:szCs w:val="32"/>
          <w:lang w:eastAsia="zh-CN"/>
        </w:rPr>
        <w:t>标准</w:t>
      </w:r>
      <w:r>
        <w:rPr>
          <w:rFonts w:hint="eastAsia" w:ascii="仿宋_GB2312" w:hAnsi="仿宋_GB2312" w:eastAsia="仿宋_GB2312" w:cs="仿宋_GB2312"/>
          <w:sz w:val="32"/>
          <w:szCs w:val="32"/>
        </w:rPr>
        <w:t>，加大</w:t>
      </w:r>
      <w:r>
        <w:rPr>
          <w:rFonts w:hint="eastAsia" w:ascii="仿宋_GB2312" w:hAnsi="仿宋_GB2312" w:eastAsia="仿宋_GB2312" w:cs="仿宋_GB2312"/>
          <w:sz w:val="32"/>
          <w:szCs w:val="32"/>
          <w:lang w:eastAsia="zh-CN"/>
        </w:rPr>
        <w:t>了</w:t>
      </w:r>
      <w:r>
        <w:rPr>
          <w:rFonts w:hint="eastAsia" w:ascii="仿宋_GB2312" w:hAnsi="仿宋_GB2312" w:eastAsia="仿宋_GB2312" w:cs="仿宋_GB2312"/>
          <w:sz w:val="32"/>
          <w:szCs w:val="32"/>
        </w:rPr>
        <w:t>考评力</w:t>
      </w:r>
      <w:r>
        <w:rPr>
          <w:rFonts w:hint="eastAsia" w:ascii="仿宋_GB2312" w:hAnsi="仿宋_GB2312" w:eastAsia="仿宋_GB2312" w:cs="仿宋_GB2312"/>
          <w:sz w:val="32"/>
          <w:szCs w:val="32"/>
          <w:lang w:eastAsia="zh-CN"/>
        </w:rPr>
        <w:t>度，并</w:t>
      </w:r>
      <w:r>
        <w:rPr>
          <w:rFonts w:hint="eastAsia" w:ascii="仿宋_GB2312" w:hAnsi="仿宋_GB2312" w:eastAsia="仿宋_GB2312" w:cs="仿宋_GB2312"/>
          <w:sz w:val="32"/>
          <w:szCs w:val="32"/>
        </w:rPr>
        <w:t>创新</w:t>
      </w:r>
      <w:r>
        <w:rPr>
          <w:rFonts w:hint="eastAsia" w:ascii="仿宋_GB2312" w:hAnsi="仿宋_GB2312" w:eastAsia="仿宋_GB2312" w:cs="仿宋_GB2312"/>
          <w:sz w:val="32"/>
          <w:szCs w:val="32"/>
          <w:lang w:eastAsia="zh-CN"/>
        </w:rPr>
        <w:t>了</w:t>
      </w:r>
      <w:r>
        <w:rPr>
          <w:rFonts w:hint="eastAsia" w:ascii="仿宋_GB2312" w:hAnsi="仿宋_GB2312" w:eastAsia="仿宋_GB2312" w:cs="仿宋_GB2312"/>
          <w:sz w:val="32"/>
          <w:szCs w:val="32"/>
        </w:rPr>
        <w:t>工作机制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维护质量</w:t>
      </w:r>
      <w:r>
        <w:rPr>
          <w:rFonts w:hint="eastAsia" w:ascii="仿宋_GB2312" w:hAnsi="仿宋_GB2312" w:eastAsia="仿宋_GB2312" w:cs="仿宋_GB2312"/>
          <w:sz w:val="32"/>
          <w:szCs w:val="32"/>
          <w:lang w:eastAsia="zh-CN"/>
        </w:rPr>
        <w:t>得到明显提升；</w:t>
      </w:r>
      <w:r>
        <w:rPr>
          <w:rFonts w:hint="eastAsia" w:ascii="仿宋_GB2312" w:hAnsi="仿宋_GB2312" w:eastAsia="仿宋_GB2312" w:cs="仿宋_GB2312"/>
          <w:sz w:val="32"/>
          <w:szCs w:val="32"/>
          <w:lang w:val="en-US" w:eastAsia="zh-CN"/>
        </w:rPr>
        <w:t xml:space="preserve"> </w:t>
      </w:r>
    </w:p>
    <w:p w14:paraId="7F1BE58C">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000000"/>
          <w:sz w:val="32"/>
          <w:szCs w:val="32"/>
          <w:highlight w:val="none"/>
          <w:lang w:val="en-US" w:eastAsia="zh-CN"/>
        </w:rPr>
        <w:t>目标</w:t>
      </w:r>
      <w:r>
        <w:rPr>
          <w:rFonts w:hint="eastAsia" w:ascii="仿宋_GB2312" w:hAnsi="仿宋_GB2312" w:eastAsia="仿宋_GB2312" w:cs="仿宋_GB2312"/>
          <w:sz w:val="32"/>
          <w:szCs w:val="32"/>
          <w:lang w:eastAsia="zh-CN"/>
        </w:rPr>
        <w:t>2</w:t>
      </w:r>
      <w:r>
        <w:rPr>
          <w:rFonts w:hint="eastAsia" w:ascii="仿宋_GB2312" w:hAnsi="仿宋_GB2312" w:eastAsia="仿宋_GB2312" w:cs="仿宋_GB2312"/>
          <w:sz w:val="32"/>
          <w:szCs w:val="32"/>
          <w:lang w:val="en-US" w:eastAsia="zh-CN"/>
        </w:rPr>
        <w:t>完成情况</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进一步优化了单位负责的</w:t>
      </w:r>
      <w:r>
        <w:rPr>
          <w:rFonts w:hint="eastAsia" w:ascii="仿宋_GB2312" w:hAnsi="仿宋_GB2312" w:eastAsia="仿宋_GB2312" w:cs="仿宋_GB2312"/>
          <w:sz w:val="32"/>
          <w:szCs w:val="32"/>
          <w:lang w:eastAsia="zh-CN"/>
        </w:rPr>
        <w:t>行政审批工作</w:t>
      </w:r>
      <w:r>
        <w:rPr>
          <w:rFonts w:hint="eastAsia" w:ascii="仿宋_GB2312" w:hAnsi="仿宋_GB2312" w:eastAsia="仿宋_GB2312" w:cs="仿宋_GB2312"/>
          <w:sz w:val="32"/>
          <w:szCs w:val="32"/>
          <w:lang w:val="en-US" w:eastAsia="zh-CN"/>
        </w:rPr>
        <w:t>办理流程，办理效率</w:t>
      </w:r>
      <w:r>
        <w:rPr>
          <w:rFonts w:hint="eastAsia" w:ascii="仿宋_GB2312" w:hAnsi="仿宋_GB2312" w:eastAsia="仿宋_GB2312" w:cs="仿宋_GB2312"/>
          <w:sz w:val="32"/>
          <w:szCs w:val="32"/>
          <w:lang w:eastAsia="zh-CN"/>
        </w:rPr>
        <w:t>明显提升</w:t>
      </w:r>
      <w:r>
        <w:rPr>
          <w:rFonts w:hint="eastAsia" w:ascii="仿宋_GB2312" w:hAnsi="仿宋_GB2312" w:eastAsia="仿宋_GB2312" w:cs="仿宋_GB2312"/>
          <w:sz w:val="32"/>
          <w:szCs w:val="32"/>
          <w:lang w:val="en-US" w:eastAsia="zh-CN"/>
        </w:rPr>
        <w:t>；</w:t>
      </w:r>
    </w:p>
    <w:p w14:paraId="31D20A53">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color w:val="000000"/>
          <w:sz w:val="32"/>
          <w:szCs w:val="32"/>
          <w:highlight w:val="none"/>
          <w:lang w:val="en-US" w:eastAsia="zh-CN"/>
        </w:rPr>
        <w:t>目标</w:t>
      </w:r>
      <w:r>
        <w:rPr>
          <w:rFonts w:hint="eastAsia" w:ascii="仿宋_GB2312" w:hAnsi="仿宋_GB2312" w:eastAsia="仿宋_GB2312" w:cs="仿宋_GB2312"/>
          <w:sz w:val="32"/>
          <w:szCs w:val="32"/>
          <w:lang w:val="en-US" w:eastAsia="zh-CN"/>
        </w:rPr>
        <w:t>3完成情况：</w:t>
      </w:r>
      <w:r>
        <w:rPr>
          <w:rFonts w:hint="eastAsia" w:ascii="仿宋_GB2312" w:hAnsi="仿宋_GB2312" w:eastAsia="仿宋_GB2312" w:cs="仿宋_GB2312"/>
          <w:sz w:val="32"/>
          <w:szCs w:val="32"/>
        </w:rPr>
        <w:t>大力推进</w:t>
      </w:r>
      <w:r>
        <w:rPr>
          <w:rFonts w:hint="eastAsia" w:ascii="仿宋_GB2312" w:hAnsi="仿宋_GB2312" w:eastAsia="仿宋_GB2312" w:cs="仿宋_GB2312"/>
          <w:sz w:val="32"/>
          <w:szCs w:val="32"/>
          <w:lang w:eastAsia="zh-CN"/>
        </w:rPr>
        <w:t>了</w:t>
      </w:r>
      <w:r>
        <w:rPr>
          <w:rFonts w:hint="eastAsia" w:ascii="仿宋_GB2312" w:hAnsi="仿宋_GB2312" w:eastAsia="仿宋_GB2312" w:cs="仿宋_GB2312"/>
          <w:sz w:val="32"/>
          <w:szCs w:val="32"/>
        </w:rPr>
        <w:t>环保和垃圾分类工作</w:t>
      </w:r>
      <w:r>
        <w:rPr>
          <w:rFonts w:hint="eastAsia" w:ascii="仿宋_GB2312" w:hAnsi="仿宋_GB2312" w:eastAsia="仿宋_GB2312" w:cs="仿宋_GB2312"/>
          <w:sz w:val="32"/>
          <w:szCs w:val="32"/>
          <w:lang w:eastAsia="zh-CN"/>
        </w:rPr>
        <w:t>，港区城市环境明显改善，</w:t>
      </w:r>
      <w:r>
        <w:rPr>
          <w:rFonts w:hint="eastAsia" w:ascii="仿宋_GB2312" w:hAnsi="仿宋_GB2312" w:eastAsia="仿宋_GB2312" w:cs="仿宋_GB2312"/>
          <w:sz w:val="32"/>
          <w:szCs w:val="32"/>
        </w:rPr>
        <w:t>高效完成</w:t>
      </w:r>
      <w:r>
        <w:rPr>
          <w:rFonts w:hint="eastAsia" w:ascii="仿宋_GB2312" w:hAnsi="仿宋_GB2312" w:eastAsia="仿宋_GB2312" w:cs="仿宋_GB2312"/>
          <w:sz w:val="32"/>
          <w:szCs w:val="32"/>
          <w:lang w:eastAsia="zh-CN"/>
        </w:rPr>
        <w:t>了各项</w:t>
      </w:r>
      <w:r>
        <w:rPr>
          <w:rFonts w:hint="eastAsia" w:ascii="仿宋_GB2312" w:hAnsi="仿宋_GB2312" w:eastAsia="仿宋_GB2312" w:cs="仿宋_GB2312"/>
          <w:sz w:val="32"/>
          <w:szCs w:val="32"/>
        </w:rPr>
        <w:t>接待任务</w:t>
      </w:r>
      <w:r>
        <w:rPr>
          <w:rFonts w:hint="eastAsia" w:ascii="仿宋_GB2312" w:hAnsi="仿宋_GB2312" w:eastAsia="仿宋_GB2312" w:cs="仿宋_GB2312"/>
          <w:sz w:val="32"/>
          <w:szCs w:val="32"/>
          <w:lang w:eastAsia="zh-CN"/>
        </w:rPr>
        <w:t>；</w:t>
      </w:r>
    </w:p>
    <w:p w14:paraId="324E7FC8">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color w:val="000000"/>
          <w:sz w:val="32"/>
          <w:szCs w:val="32"/>
          <w:highlight w:val="none"/>
          <w:lang w:val="en-US" w:eastAsia="zh-CN"/>
        </w:rPr>
        <w:t>目标</w:t>
      </w:r>
      <w:r>
        <w:rPr>
          <w:rFonts w:hint="eastAsia" w:ascii="仿宋_GB2312" w:hAnsi="仿宋_GB2312" w:eastAsia="仿宋_GB2312" w:cs="仿宋_GB2312"/>
          <w:sz w:val="32"/>
          <w:szCs w:val="32"/>
          <w:lang w:eastAsia="zh-CN"/>
        </w:rPr>
        <w:t>4</w:t>
      </w:r>
      <w:r>
        <w:rPr>
          <w:rFonts w:hint="eastAsia" w:ascii="仿宋_GB2312" w:hAnsi="仿宋_GB2312" w:eastAsia="仿宋_GB2312" w:cs="仿宋_GB2312"/>
          <w:sz w:val="32"/>
          <w:szCs w:val="32"/>
          <w:lang w:val="en-US" w:eastAsia="zh-CN"/>
        </w:rPr>
        <w:t>完成情况</w:t>
      </w:r>
      <w:r>
        <w:rPr>
          <w:rFonts w:hint="eastAsia" w:ascii="仿宋_GB2312" w:hAnsi="仿宋_GB2312" w:eastAsia="仿宋_GB2312" w:cs="仿宋_GB2312"/>
          <w:sz w:val="32"/>
          <w:szCs w:val="32"/>
          <w:lang w:eastAsia="zh-CN"/>
        </w:rPr>
        <w:t>：临港新区城市管理</w:t>
      </w:r>
      <w:r>
        <w:rPr>
          <w:rFonts w:hint="eastAsia" w:ascii="仿宋_GB2312" w:hAnsi="仿宋_GB2312" w:eastAsia="仿宋_GB2312" w:cs="仿宋_GB2312"/>
          <w:sz w:val="32"/>
          <w:szCs w:val="32"/>
        </w:rPr>
        <w:t>执法程序</w:t>
      </w:r>
      <w:r>
        <w:rPr>
          <w:rFonts w:hint="eastAsia" w:ascii="仿宋_GB2312" w:hAnsi="仿宋_GB2312" w:eastAsia="仿宋_GB2312" w:cs="仿宋_GB2312"/>
          <w:sz w:val="32"/>
          <w:szCs w:val="32"/>
          <w:lang w:eastAsia="zh-CN"/>
        </w:rPr>
        <w:t>得到了</w:t>
      </w:r>
      <w:r>
        <w:rPr>
          <w:rFonts w:hint="eastAsia" w:ascii="仿宋_GB2312" w:hAnsi="仿宋_GB2312" w:eastAsia="仿宋_GB2312" w:cs="仿宋_GB2312"/>
          <w:sz w:val="32"/>
          <w:szCs w:val="32"/>
          <w:lang w:val="en-US" w:eastAsia="zh-CN"/>
        </w:rPr>
        <w:t>进一步</w:t>
      </w:r>
      <w:r>
        <w:rPr>
          <w:rFonts w:hint="eastAsia" w:ascii="仿宋_GB2312" w:hAnsi="仿宋_GB2312" w:eastAsia="仿宋_GB2312" w:cs="仿宋_GB2312"/>
          <w:sz w:val="32"/>
          <w:szCs w:val="32"/>
          <w:lang w:eastAsia="zh-CN"/>
        </w:rPr>
        <w:t>优化</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在临港新区</w:t>
      </w:r>
      <w:r>
        <w:rPr>
          <w:rFonts w:hint="eastAsia" w:ascii="仿宋_GB2312" w:hAnsi="仿宋_GB2312" w:eastAsia="仿宋_GB2312" w:cs="仿宋_GB2312"/>
          <w:sz w:val="32"/>
          <w:szCs w:val="32"/>
        </w:rPr>
        <w:t>持续开展综合整治</w:t>
      </w:r>
      <w:r>
        <w:rPr>
          <w:rFonts w:hint="eastAsia" w:ascii="仿宋_GB2312" w:hAnsi="仿宋_GB2312" w:eastAsia="仿宋_GB2312" w:cs="仿宋_GB2312"/>
          <w:sz w:val="32"/>
          <w:szCs w:val="32"/>
          <w:lang w:eastAsia="zh-CN"/>
        </w:rPr>
        <w:t>工作</w:t>
      </w:r>
      <w:r>
        <w:rPr>
          <w:rFonts w:hint="eastAsia" w:ascii="仿宋_GB2312" w:hAnsi="仿宋_GB2312" w:eastAsia="仿宋_GB2312" w:cs="仿宋_GB2312"/>
          <w:sz w:val="32"/>
          <w:szCs w:val="32"/>
        </w:rPr>
        <w:t>，扬尘管控和禁燃禁放工作</w:t>
      </w:r>
      <w:r>
        <w:rPr>
          <w:rFonts w:hint="eastAsia" w:ascii="仿宋_GB2312" w:hAnsi="仿宋_GB2312" w:eastAsia="仿宋_GB2312" w:cs="仿宋_GB2312"/>
          <w:sz w:val="32"/>
          <w:szCs w:val="32"/>
          <w:lang w:eastAsia="zh-CN"/>
        </w:rPr>
        <w:t>成效明显；</w:t>
      </w:r>
    </w:p>
    <w:p w14:paraId="5C9D4A1D">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color w:val="000000"/>
          <w:sz w:val="32"/>
          <w:szCs w:val="32"/>
          <w:highlight w:val="none"/>
          <w:lang w:val="en-US" w:eastAsia="zh-CN"/>
        </w:rPr>
        <w:t>目标</w:t>
      </w:r>
      <w:r>
        <w:rPr>
          <w:rFonts w:hint="eastAsia" w:ascii="仿宋_GB2312" w:hAnsi="仿宋_GB2312" w:eastAsia="仿宋_GB2312" w:cs="仿宋_GB2312"/>
          <w:sz w:val="32"/>
          <w:szCs w:val="32"/>
          <w:lang w:eastAsia="zh-CN"/>
        </w:rPr>
        <w:t>5</w:t>
      </w:r>
      <w:r>
        <w:rPr>
          <w:rFonts w:hint="eastAsia" w:ascii="仿宋_GB2312" w:hAnsi="仿宋_GB2312" w:eastAsia="仿宋_GB2312" w:cs="仿宋_GB2312"/>
          <w:sz w:val="32"/>
          <w:szCs w:val="32"/>
          <w:lang w:val="en-US" w:eastAsia="zh-CN"/>
        </w:rPr>
        <w:t>完成情况</w:t>
      </w:r>
      <w:r>
        <w:rPr>
          <w:rFonts w:hint="eastAsia" w:ascii="仿宋_GB2312" w:hAnsi="仿宋_GB2312" w:eastAsia="仿宋_GB2312" w:cs="仿宋_GB2312"/>
          <w:sz w:val="32"/>
          <w:szCs w:val="32"/>
          <w:lang w:eastAsia="zh-CN"/>
        </w:rPr>
        <w:t>：及时受理了信访投诉，并妥善处置了</w:t>
      </w:r>
      <w:r>
        <w:rPr>
          <w:rFonts w:hint="eastAsia" w:ascii="仿宋_GB2312" w:hAnsi="仿宋_GB2312" w:eastAsia="仿宋_GB2312" w:cs="仿宋_GB2312"/>
          <w:sz w:val="32"/>
          <w:szCs w:val="32"/>
        </w:rPr>
        <w:t>信访投诉</w:t>
      </w:r>
      <w:r>
        <w:rPr>
          <w:rFonts w:hint="eastAsia" w:ascii="仿宋_GB2312" w:hAnsi="仿宋_GB2312" w:eastAsia="仿宋_GB2312" w:cs="仿宋_GB2312"/>
          <w:sz w:val="32"/>
          <w:szCs w:val="32"/>
          <w:lang w:eastAsia="zh-CN"/>
        </w:rPr>
        <w:t>事件</w:t>
      </w:r>
      <w:r>
        <w:rPr>
          <w:rFonts w:hint="eastAsia" w:ascii="仿宋_GB2312" w:hAnsi="仿宋_GB2312" w:eastAsia="仿宋_GB2312" w:cs="仿宋_GB2312"/>
          <w:sz w:val="32"/>
          <w:szCs w:val="32"/>
        </w:rPr>
        <w:t>。</w:t>
      </w:r>
    </w:p>
    <w:p w14:paraId="6A4D9937">
      <w:pPr>
        <w:pStyle w:val="4"/>
        <w:keepNext w:val="0"/>
        <w:keepLines w:val="0"/>
        <w:pageBreakBefore w:val="0"/>
        <w:wordWrap/>
        <w:overflowPunct/>
        <w:topLinePunct w:val="0"/>
        <w:bidi w:val="0"/>
        <w:spacing w:line="620" w:lineRule="exact"/>
        <w:ind w:left="0" w:leftChars="0" w:firstLine="643" w:firstLineChars="200"/>
        <w:jc w:val="left"/>
        <w:rPr>
          <w:rFonts w:hint="eastAsia" w:ascii="黑体" w:hAnsi="黑体" w:eastAsia="仿宋_GB2312" w:cs="黑体"/>
          <w:color w:val="auto"/>
          <w:sz w:val="32"/>
          <w:szCs w:val="32"/>
          <w:highlight w:val="none"/>
          <w:lang w:eastAsia="zh-CN"/>
        </w:rPr>
      </w:pPr>
      <w:r>
        <w:rPr>
          <w:rFonts w:hint="eastAsia" w:ascii="仿宋_GB2312" w:hAnsi="仿宋_GB2312" w:eastAsia="仿宋_GB2312" w:cs="仿宋_GB2312"/>
          <w:b/>
          <w:bCs/>
          <w:color w:val="auto"/>
          <w:sz w:val="32"/>
          <w:szCs w:val="32"/>
          <w:u w:val="none"/>
          <w:shd w:val="clear" w:color="auto" w:fill="FFFFFF"/>
          <w:lang w:eastAsia="zh-CN"/>
        </w:rPr>
        <w:t>（</w:t>
      </w:r>
      <w:r>
        <w:rPr>
          <w:rFonts w:hint="eastAsia" w:ascii="仿宋_GB2312" w:hAnsi="仿宋_GB2312" w:eastAsia="仿宋_GB2312" w:cs="仿宋_GB2312"/>
          <w:b/>
          <w:bCs/>
          <w:color w:val="auto"/>
          <w:sz w:val="32"/>
          <w:szCs w:val="32"/>
          <w:u w:val="none"/>
          <w:shd w:val="clear" w:color="auto" w:fill="FFFFFF"/>
          <w:lang w:val="en-US" w:eastAsia="zh-CN"/>
        </w:rPr>
        <w:t>三）</w:t>
      </w:r>
      <w:r>
        <w:rPr>
          <w:rFonts w:hint="eastAsia" w:ascii="仿宋_GB2312" w:hAnsi="仿宋_GB2312" w:eastAsia="仿宋_GB2312" w:cs="仿宋_GB2312"/>
          <w:b/>
          <w:bCs/>
          <w:color w:val="auto"/>
          <w:sz w:val="32"/>
          <w:szCs w:val="32"/>
          <w:u w:val="none"/>
          <w:shd w:val="clear" w:color="auto" w:fill="FFFFFF"/>
        </w:rPr>
        <w:t>主要</w:t>
      </w:r>
      <w:r>
        <w:rPr>
          <w:rFonts w:hint="eastAsia" w:ascii="仿宋_GB2312" w:hAnsi="仿宋_GB2312" w:eastAsia="仿宋_GB2312" w:cs="仿宋_GB2312"/>
          <w:b/>
          <w:bCs/>
          <w:color w:val="auto"/>
          <w:sz w:val="32"/>
          <w:szCs w:val="32"/>
          <w:u w:val="none"/>
          <w:shd w:val="clear" w:color="auto" w:fill="FFFFFF"/>
          <w:lang w:eastAsia="zh-CN"/>
        </w:rPr>
        <w:t>工作</w:t>
      </w:r>
      <w:r>
        <w:rPr>
          <w:rFonts w:hint="eastAsia" w:ascii="仿宋_GB2312" w:hAnsi="仿宋_GB2312" w:eastAsia="仿宋_GB2312" w:cs="仿宋_GB2312"/>
          <w:b/>
          <w:bCs/>
          <w:color w:val="auto"/>
          <w:sz w:val="32"/>
          <w:szCs w:val="32"/>
          <w:u w:val="none"/>
          <w:shd w:val="clear" w:color="auto" w:fill="FFFFFF"/>
        </w:rPr>
        <w:t>绩效</w:t>
      </w:r>
    </w:p>
    <w:p w14:paraId="403B1983">
      <w:pPr>
        <w:keepNext w:val="0"/>
        <w:keepLines w:val="0"/>
        <w:pageBreakBefore w:val="0"/>
        <w:widowControl w:val="0"/>
        <w:kinsoku/>
        <w:wordWrap/>
        <w:overflowPunct/>
        <w:topLinePunct w:val="0"/>
        <w:autoSpaceDE/>
        <w:autoSpaceDN/>
        <w:bidi w:val="0"/>
        <w:adjustRightInd w:val="0"/>
        <w:snapToGrid/>
        <w:spacing w:beforeLines="0" w:afterLines="0" w:line="620" w:lineRule="exact"/>
        <w:ind w:firstLine="640" w:firstLineChars="200"/>
        <w:jc w:val="both"/>
        <w:textAlignment w:val="auto"/>
        <w:rPr>
          <w:rFonts w:hint="eastAsia" w:ascii="黑体" w:hAnsi="黑体" w:eastAsia="黑体" w:cs="黑体"/>
          <w:sz w:val="32"/>
          <w:szCs w:val="32"/>
        </w:rPr>
      </w:pPr>
      <w:r>
        <w:rPr>
          <w:rFonts w:hint="eastAsia" w:ascii="仿宋_GB2312" w:hAnsi="仿宋_GB2312" w:eastAsia="仿宋_GB2312" w:cs="仿宋_GB2312"/>
          <w:sz w:val="32"/>
          <w:szCs w:val="32"/>
        </w:rPr>
        <w:t>2025年，在市城管局党组和临港高新区党工委的坚强领导下，中心认真落实市委、市政府“三高四新”战略升级部署以及“1376”工作思路深化要求，紧扣“六大城管”工作理念，精准对标上级部署要求，聚焦民生领域急难愁盼问题，全力以赴抓实抓细各项工作，用心用情办好惠民利民实事，以精细化管理举措持续优化城市环境，全力</w:t>
      </w:r>
      <w:r>
        <w:rPr>
          <w:rFonts w:hint="eastAsia" w:ascii="仿宋_GB2312" w:hAnsi="仿宋_GB2312" w:eastAsia="仿宋_GB2312" w:cs="仿宋_GB2312"/>
          <w:sz w:val="32"/>
          <w:szCs w:val="32"/>
          <w:lang w:eastAsia="zh-CN"/>
        </w:rPr>
        <w:t>打造</w:t>
      </w:r>
      <w:r>
        <w:rPr>
          <w:rFonts w:hint="eastAsia" w:ascii="仿宋_GB2312" w:hAnsi="仿宋_GB2312" w:eastAsia="仿宋_GB2312" w:cs="仿宋_GB2312"/>
          <w:sz w:val="32"/>
          <w:szCs w:val="32"/>
        </w:rPr>
        <w:t>整洁有序、舒适宜居的区容区貌。</w:t>
      </w:r>
      <w:r>
        <w:rPr>
          <w:rFonts w:hint="eastAsia" w:ascii="仿宋_GB2312" w:hAnsi="仿宋_GB2312" w:eastAsia="仿宋_GB2312" w:cs="仿宋_GB2312"/>
          <w:kern w:val="2"/>
          <w:sz w:val="32"/>
          <w:szCs w:val="32"/>
          <w:lang w:val="en-US" w:eastAsia="zh-CN" w:bidi="ar-SA"/>
        </w:rPr>
        <w:t>具体情况如下：</w:t>
      </w:r>
    </w:p>
    <w:p w14:paraId="48B96771">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firstLine="640" w:firstLineChars="200"/>
        <w:jc w:val="both"/>
        <w:textAlignment w:val="auto"/>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（一）党建领航强根基，队伍聚力显担当。</w:t>
      </w:r>
    </w:p>
    <w:p w14:paraId="0461081E">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val="en-US" w:eastAsia="zh-CN"/>
        </w:rPr>
        <w:t>1.筑牢思想根基，锻造战斗堡垒。</w:t>
      </w:r>
      <w:r>
        <w:rPr>
          <w:rFonts w:hint="eastAsia" w:ascii="仿宋_GB2312" w:hAnsi="仿宋_GB2312" w:eastAsia="仿宋_GB2312" w:cs="仿宋_GB2312"/>
          <w:b w:val="0"/>
          <w:bCs w:val="0"/>
          <w:sz w:val="32"/>
          <w:szCs w:val="32"/>
        </w:rPr>
        <w:t>始终把党的政治建设摆在首位，严格执行“第一议题”制度，以</w:t>
      </w:r>
      <w:r>
        <w:rPr>
          <w:rFonts w:hint="eastAsia" w:ascii="仿宋_GB2312" w:hAnsi="仿宋_GB2312" w:eastAsia="仿宋_GB2312" w:cs="仿宋_GB2312"/>
          <w:b w:val="0"/>
          <w:bCs w:val="0"/>
          <w:kern w:val="0"/>
          <w:sz w:val="32"/>
          <w:szCs w:val="32"/>
          <w:lang w:val="en-US" w:eastAsia="zh-CN" w:bidi="ar"/>
        </w:rPr>
        <w:t>学习贯彻《习近平谈治国理政》第五卷、中央八项规定精神、习近平总书记关于城市管理、民生保障的重要论述作为核心内容，</w:t>
      </w:r>
      <w:r>
        <w:rPr>
          <w:rFonts w:hint="eastAsia" w:ascii="仿宋_GB2312" w:hAnsi="仿宋_GB2312" w:eastAsia="仿宋_GB2312" w:cs="仿宋_GB2312"/>
          <w:b w:val="0"/>
          <w:bCs w:val="0"/>
          <w:sz w:val="32"/>
          <w:szCs w:val="32"/>
        </w:rPr>
        <w:t>全年</w:t>
      </w:r>
      <w:r>
        <w:rPr>
          <w:rFonts w:hint="eastAsia" w:ascii="仿宋_GB2312" w:hAnsi="仿宋_GB2312" w:eastAsia="仿宋_GB2312" w:cs="仿宋_GB2312"/>
          <w:sz w:val="32"/>
          <w:szCs w:val="32"/>
        </w:rPr>
        <w:t>开展集中学习12次、班子成员讲专题党课2堂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推动理论学习走深走实。创新打造“书香城管+实践课堂”模式，组织红色教育基地现场教学1次、观看廉政教育片3次；围绕燃气安全、建筑垃圾整治等重点工作开展专题研讨2次，切实把理论成果转化为破解难题的实效。</w:t>
      </w:r>
    </w:p>
    <w:p w14:paraId="2E46AF72">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val="en-US" w:eastAsia="zh-CN"/>
        </w:rPr>
        <w:t>2.建强组织阵地，激发队伍活力。以</w:t>
      </w:r>
      <w:r>
        <w:rPr>
          <w:rFonts w:hint="eastAsia" w:ascii="仿宋_GB2312" w:hAnsi="仿宋_GB2312" w:eastAsia="仿宋_GB2312" w:cs="仿宋_GB2312"/>
          <w:b w:val="0"/>
          <w:bCs w:val="0"/>
          <w:sz w:val="32"/>
          <w:szCs w:val="32"/>
        </w:rPr>
        <w:t>基层党组织标准化规范化建设为抓手，全面落实《党支部工作条例》，全年召开专题民主生活会、组织生活会各1次，开展主题党日活动12次。深化“城管党建+”融合模式，设立“党员责</w:t>
      </w:r>
      <w:r>
        <w:rPr>
          <w:rFonts w:hint="eastAsia" w:ascii="仿宋_GB2312" w:hAnsi="仿宋_GB2312" w:eastAsia="仿宋_GB2312" w:cs="仿宋_GB2312"/>
          <w:sz w:val="32"/>
          <w:szCs w:val="32"/>
        </w:rPr>
        <w:t>任区”“执法先锋岗”，组建党员突击队攻坚港区扬尘治理、公厕提质、积水点整治等民生难题。积极参与系统“两优一先”评选，2名党员获评优秀共产党员、1名获评优秀党务工作者。严格落实意识形态工作责任制，每半年召开专题会议，加强阵地管理，及时回应热点问题，全年未发生意识形态风险事件。</w:t>
      </w:r>
    </w:p>
    <w:p w14:paraId="62446605">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val="en-US" w:eastAsia="zh-CN"/>
        </w:rPr>
        <w:t>3.注重正风肃纪，强化纪律作风。</w:t>
      </w:r>
      <w:r>
        <w:rPr>
          <w:rFonts w:hint="eastAsia" w:ascii="仿宋_GB2312" w:hAnsi="仿宋_GB2312" w:eastAsia="仿宋_GB2312" w:cs="仿宋_GB2312"/>
          <w:b w:val="0"/>
          <w:bCs w:val="0"/>
          <w:sz w:val="32"/>
          <w:szCs w:val="32"/>
        </w:rPr>
        <w:t>以清廉机关建设为目标，深化党纪学习教育，组织学习中央八项规定精神及实施细则，开展专题廉政党课2堂、红色教育现场教学1次。持续纠治“四风”，深化违规吃喝专项整</w:t>
      </w:r>
      <w:r>
        <w:rPr>
          <w:rFonts w:hint="eastAsia" w:ascii="仿宋_GB2312" w:hAnsi="仿宋_GB2312" w:eastAsia="仿宋_GB2312" w:cs="仿宋_GB2312"/>
          <w:sz w:val="32"/>
          <w:szCs w:val="32"/>
        </w:rPr>
        <w:t>治，严查执法“吃拿卡要”、工作推诿扯皮等问题；落实“过紧日子”要求，杜绝餐饮浪费。聚焦渣土运输监管、行政处罚等重点岗位开展廉政风险排查，建立风险台账，制定防控措施，规范权力运行。</w:t>
      </w:r>
    </w:p>
    <w:p w14:paraId="258DAF19">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firstLine="640" w:firstLineChars="200"/>
        <w:jc w:val="both"/>
        <w:textAlignment w:val="auto"/>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（二）精管细治优环境，园区焕新展风采。</w:t>
      </w:r>
    </w:p>
    <w:p w14:paraId="4A52A730">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val="en-US" w:eastAsia="zh-CN"/>
        </w:rPr>
        <w:t>1.保洁提效全覆盖，洁净园区绽新颜。</w:t>
      </w:r>
      <w:r>
        <w:rPr>
          <w:rFonts w:hint="eastAsia" w:ascii="仿宋_GB2312" w:hAnsi="仿宋_GB2312" w:eastAsia="仿宋_GB2312" w:cs="仿宋_GB2312"/>
          <w:b w:val="0"/>
          <w:bCs w:val="0"/>
          <w:sz w:val="32"/>
          <w:szCs w:val="32"/>
        </w:rPr>
        <w:t>加强环境卫生精细化管理，通过机械化作业与人工清扫相结合、日常</w:t>
      </w:r>
      <w:r>
        <w:rPr>
          <w:rFonts w:hint="eastAsia" w:ascii="仿宋_GB2312" w:hAnsi="仿宋_GB2312" w:eastAsia="仿宋_GB2312" w:cs="仿宋_GB2312"/>
          <w:sz w:val="32"/>
          <w:szCs w:val="32"/>
        </w:rPr>
        <w:t>保洁与专项保障相统筹的方式，全方位加大清扫保洁力度，高标准推进环卫设施清理维护，推动辖区环境卫生面貌持续向好。全年累计开展冲水降尘作业15755车次，有效抑制道路扬尘污染，改善空气环境质量；组织人工精细化清洗作业7584车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重点对道路积尘、卫生死角、公交站台、夜市街道等区域进行深度清洁，实现保洁无盲区、全覆盖；完成机械化清扫作业40589公里，依托高效作业模式提升清扫效率，确保主次干道整洁有序；规范开展垃圾清运工作，累计清运垃圾8827车次，做到垃圾日产日清、密闭运输，杜绝二次污染。</w:t>
      </w:r>
    </w:p>
    <w:p w14:paraId="38BDB1B3">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val="en-US" w:eastAsia="zh-CN"/>
        </w:rPr>
        <w:t>2.园林重品精养护，绿意满园添生机。</w:t>
      </w:r>
      <w:r>
        <w:rPr>
          <w:rFonts w:hint="eastAsia" w:ascii="仿宋_GB2312" w:hAnsi="仿宋_GB2312" w:eastAsia="仿宋_GB2312" w:cs="仿宋_GB2312"/>
          <w:sz w:val="32"/>
          <w:szCs w:val="32"/>
        </w:rPr>
        <w:t>重点聚焦养护区域苗木保活工作，多措并举、精准发力，切实筑牢园区绿化风景线</w:t>
      </w:r>
      <w:r>
        <w:rPr>
          <w:rFonts w:hint="eastAsia" w:ascii="仿宋_GB2312" w:hAnsi="仿宋_GB2312" w:eastAsia="仿宋_GB2312" w:cs="仿宋_GB2312"/>
          <w:b w:val="0"/>
          <w:bCs w:val="0"/>
          <w:sz w:val="32"/>
          <w:szCs w:val="32"/>
        </w:rPr>
        <w:t>。一是深耕日常管养。全年共计清理绿地面积352126㎡；开展病虫害防治工作，共计科学施药覆盖面积171684㎡。积极开展缺株死株及绿地的补植工作，共计补植苗木5766株，绿地草皮补种6646平方米。二是细护抗旱保苗。安排8辆洒水车实行白班、晚班两班制轮值，持续开展苗木浇灌作业，其间累计完成苗木浇灌1506车</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针对</w:t>
      </w:r>
      <w:r>
        <w:rPr>
          <w:rFonts w:hint="eastAsia" w:ascii="仿宋_GB2312" w:hAnsi="仿宋_GB2312" w:eastAsia="仿宋_GB2312" w:cs="仿宋_GB2312"/>
          <w:sz w:val="32"/>
          <w:szCs w:val="32"/>
        </w:rPr>
        <w:t>大型苗木抗旱防护，创新抗旱养护模式，通过悬挂保水袋、开挖蓄水沟13240余个的方式，提升苗木自身保水能力，高效缓解旱季胁迫，确保大型苗木安全度旱。</w:t>
      </w:r>
      <w:r>
        <w:rPr>
          <w:rFonts w:hint="eastAsia" w:ascii="仿宋_GB2312" w:hAnsi="仿宋_GB2312" w:eastAsia="仿宋_GB2312" w:cs="仿宋_GB2312"/>
          <w:b w:val="0"/>
          <w:bCs w:val="0"/>
          <w:sz w:val="32"/>
          <w:szCs w:val="32"/>
        </w:rPr>
        <w:t>三是</w:t>
      </w:r>
      <w:r>
        <w:rPr>
          <w:rFonts w:hint="eastAsia" w:ascii="仿宋_GB2312" w:hAnsi="仿宋_GB2312" w:eastAsia="仿宋_GB2312" w:cs="仿宋_GB2312"/>
          <w:sz w:val="32"/>
          <w:szCs w:val="32"/>
        </w:rPr>
        <w:t>严防冬寒虫害。为保障绿化植物安全越冬，中心积极指导园林管养单位，对辖区内所有管养行道树、公园乔木及亚乔木开展统一刷白工作。经过系统性作业，整齐规范的树木刷白景观</w:t>
      </w:r>
      <w:r>
        <w:rPr>
          <w:rFonts w:hint="eastAsia" w:ascii="仿宋_GB2312" w:hAnsi="仿宋_GB2312" w:eastAsia="仿宋_GB2312" w:cs="仿宋_GB2312"/>
          <w:sz w:val="32"/>
          <w:szCs w:val="32"/>
          <w:lang w:eastAsia="zh-CN"/>
        </w:rPr>
        <w:t>不仅</w:t>
      </w:r>
      <w:r>
        <w:rPr>
          <w:rFonts w:hint="eastAsia" w:ascii="仿宋_GB2312" w:hAnsi="仿宋_GB2312" w:eastAsia="仿宋_GB2312" w:cs="仿宋_GB2312"/>
          <w:sz w:val="32"/>
          <w:szCs w:val="32"/>
        </w:rPr>
        <w:t>发挥了防护作用，更提升了城市绿化整体观感。</w:t>
      </w:r>
    </w:p>
    <w:p w14:paraId="199D5456">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val="en-US" w:eastAsia="zh-CN"/>
        </w:rPr>
        <w:t>3.设施提质强保障，功能完善惠民生。</w:t>
      </w:r>
      <w:r>
        <w:rPr>
          <w:rFonts w:hint="eastAsia" w:ascii="仿宋_GB2312" w:hAnsi="仿宋_GB2312" w:eastAsia="仿宋_GB2312" w:cs="仿宋_GB2312"/>
          <w:b w:val="0"/>
          <w:bCs w:val="0"/>
          <w:color w:val="auto"/>
          <w:sz w:val="32"/>
          <w:szCs w:val="32"/>
          <w:lang w:val="en-US" w:eastAsia="zh-CN"/>
        </w:rPr>
        <w:t>聚焦</w:t>
      </w:r>
      <w:r>
        <w:rPr>
          <w:rFonts w:hint="eastAsia" w:ascii="仿宋_GB2312" w:hAnsi="仿宋_GB2312" w:eastAsia="仿宋_GB2312" w:cs="仿宋_GB2312"/>
          <w:b w:val="0"/>
          <w:bCs w:val="0"/>
          <w:sz w:val="32"/>
          <w:szCs w:val="32"/>
        </w:rPr>
        <w:t>市政设施功能、运行状态的优化，持续加强港区道路雨污水</w:t>
      </w:r>
      <w:r>
        <w:rPr>
          <w:rFonts w:hint="eastAsia" w:ascii="仿宋_GB2312" w:hAnsi="仿宋_GB2312" w:eastAsia="仿宋_GB2312" w:cs="仿宋_GB2312"/>
          <w:sz w:val="32"/>
          <w:szCs w:val="32"/>
        </w:rPr>
        <w:t>管网的日常安全巡查，</w:t>
      </w:r>
      <w:r>
        <w:rPr>
          <w:rFonts w:hint="eastAsia" w:ascii="仿宋_GB2312" w:hAnsi="仿宋_GB2312" w:eastAsia="仿宋_GB2312" w:cs="仿宋_GB2312"/>
          <w:sz w:val="32"/>
          <w:szCs w:val="32"/>
          <w:lang w:eastAsia="zh-CN"/>
        </w:rPr>
        <w:t>以及</w:t>
      </w:r>
      <w:r>
        <w:rPr>
          <w:rFonts w:hint="eastAsia" w:ascii="仿宋_GB2312" w:hAnsi="仿宋_GB2312" w:eastAsia="仿宋_GB2312" w:cs="仿宋_GB2312"/>
          <w:sz w:val="32"/>
          <w:szCs w:val="32"/>
        </w:rPr>
        <w:t>极端天气道路积水点的巡查。全年共完成云港路、长江大道、海关路等33条路段雨水管网日常维护清淤、疏通173km；更换雨、污水井盖180套，修复井盖90套，更换雨水窗320套。定期对泵站进行清淤，淤泥外运累计约350立方米</w:t>
      </w:r>
      <w:r>
        <w:rPr>
          <w:rFonts w:hint="eastAsia" w:ascii="仿宋_GB2312" w:hAnsi="仿宋_GB2312" w:eastAsia="仿宋_GB2312" w:cs="仿宋_GB2312"/>
          <w:sz w:val="32"/>
          <w:szCs w:val="32"/>
          <w:lang w:eastAsia="zh-CN"/>
        </w:rPr>
        <w:t>。对泵站</w:t>
      </w:r>
      <w:r>
        <w:rPr>
          <w:rFonts w:hint="eastAsia" w:ascii="仿宋_GB2312" w:hAnsi="仿宋_GB2312" w:eastAsia="仿宋_GB2312" w:cs="仿宋_GB2312"/>
          <w:sz w:val="32"/>
          <w:szCs w:val="32"/>
        </w:rPr>
        <w:t>流道栅栏、集水池</w:t>
      </w:r>
      <w:r>
        <w:rPr>
          <w:rFonts w:hint="eastAsia" w:ascii="仿宋_GB2312" w:hAnsi="仿宋_GB2312" w:eastAsia="仿宋_GB2312" w:cs="仿宋_GB2312"/>
          <w:sz w:val="32"/>
          <w:szCs w:val="32"/>
          <w:lang w:eastAsia="zh-CN"/>
        </w:rPr>
        <w:t>进行日常</w:t>
      </w:r>
      <w:r>
        <w:rPr>
          <w:rFonts w:hint="eastAsia" w:ascii="仿宋_GB2312" w:hAnsi="仿宋_GB2312" w:eastAsia="仿宋_GB2312" w:cs="仿宋_GB2312"/>
          <w:sz w:val="32"/>
          <w:szCs w:val="32"/>
        </w:rPr>
        <w:t>清淤维护48次。加强对港区管养道路桥梁的日常安全和专项安全巡查，对发现的许家垄路高速桥伸缩缝安全隐患</w:t>
      </w:r>
      <w:r>
        <w:rPr>
          <w:rFonts w:hint="eastAsia" w:ascii="仿宋_GB2312" w:hAnsi="仿宋_GB2312" w:eastAsia="仿宋_GB2312" w:cs="仿宋_GB2312"/>
          <w:sz w:val="32"/>
          <w:szCs w:val="32"/>
          <w:lang w:eastAsia="zh-CN"/>
        </w:rPr>
        <w:t>进行</w:t>
      </w:r>
      <w:r>
        <w:rPr>
          <w:rFonts w:hint="eastAsia" w:ascii="仿宋_GB2312" w:hAnsi="仿宋_GB2312" w:eastAsia="仿宋_GB2312" w:cs="仿宋_GB2312"/>
          <w:sz w:val="32"/>
          <w:szCs w:val="32"/>
        </w:rPr>
        <w:t>应急处理，并报请管委会同意在年底进行全面整治修复。全年共完成港区道路路面坑槽修补22817㎡，路面基层修复4948.9㎡，路面修补处标线3490㎡，沥青路面裂缝修补45000m，人行道损坏修复3304.75㎡，路沿石维修更换580m，路边石维修更换3800m，人行道拉线板损坏处恢复434.5㎡，桥梁护栏维护刷新1630m。</w:t>
      </w:r>
    </w:p>
    <w:p w14:paraId="224A7CED">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val="en-US" w:eastAsia="zh-CN"/>
        </w:rPr>
        <w:t>4.管养考核严督导，真考实评提质效。</w:t>
      </w:r>
      <w:r>
        <w:rPr>
          <w:rFonts w:hint="eastAsia" w:ascii="仿宋_GB2312" w:hAnsi="仿宋_GB2312" w:eastAsia="仿宋_GB2312" w:cs="仿宋_GB2312"/>
          <w:b w:val="0"/>
          <w:bCs w:val="0"/>
          <w:sz w:val="32"/>
          <w:szCs w:val="32"/>
        </w:rPr>
        <w:t>坚持实行24小时班子成员轮班带班制，推行“六位一体”</w:t>
      </w:r>
      <w:r>
        <w:rPr>
          <w:rFonts w:hint="eastAsia" w:ascii="仿宋_GB2312" w:hAnsi="仿宋_GB2312" w:eastAsia="仿宋_GB2312" w:cs="仿宋_GB2312"/>
          <w:sz w:val="32"/>
          <w:szCs w:val="32"/>
        </w:rPr>
        <w:t>综合网格管理模式。严格考评考核，按照中心城区12345市长热线诉求办理、智慧城管信息平台案件处置等主要考核标准，建立“考核问题清单化、任务落实责任化、整改落实闭环化”工作机制，并将考核结果作为管养单位养护经费核拨的唯一依据，倒逼各管养单位加大维护力度，提升管养水平。全年共开展日常考核76次、错时考核40次、专项考核32次、定时考核66次。处理智慧平台交办案件12716条，回复市长信箱案件19条、12345案件108条，做到了件件有回音，事事有落实。特别是在今年大气污染防治攻坚、省旅发大会服务保障、李挚市长任中审计配合、湘超赛事市容管控及港区重大接待服务等21次关键任务中，进一步加大考评频次、严督实导，服务保障工作均圆满完成，以干净、整洁、优美的环境形象展现园区风采。</w:t>
      </w:r>
    </w:p>
    <w:p w14:paraId="4BA9B3FC">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firstLine="640" w:firstLineChars="200"/>
        <w:jc w:val="both"/>
        <w:textAlignment w:val="auto"/>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（三）精准服务提质效，政务惠民暖人心。</w:t>
      </w:r>
    </w:p>
    <w:p w14:paraId="75716A2B">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val="en-US" w:eastAsia="zh-CN"/>
        </w:rPr>
        <w:t>1.优化审批减流程，便民利企加速度。</w:t>
      </w:r>
      <w:r>
        <w:rPr>
          <w:rFonts w:hint="eastAsia" w:ascii="仿宋_GB2312" w:hAnsi="仿宋_GB2312" w:eastAsia="仿宋_GB2312" w:cs="仿宋_GB2312"/>
          <w:sz w:val="32"/>
          <w:szCs w:val="32"/>
        </w:rPr>
        <w:t>按照“一窗受理（容缺受理）、一网通办、一次办成、限时办结”的思路，深化行政审批制度改革，持续优化营商环境，让群众办事更舒心、企业投资更便利、市场准入更便捷，助力临港高新区快速发展。全年共办理各类施工审批审核78件，办理绿线审批项目24个，其中总图批复项目2个、绿线划定项目11个、绿线验收项目11个（含绿线分期项目）。累计划定绿地面积13.6万平方米，验收绿地面积15.6万平方米。</w:t>
      </w:r>
    </w:p>
    <w:p w14:paraId="25B5B433">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val="0"/>
          <w:bCs w:val="0"/>
          <w:sz w:val="32"/>
          <w:szCs w:val="32"/>
          <w:lang w:val="en-US" w:eastAsia="zh-CN"/>
        </w:rPr>
        <w:t>2.改革执法转模式，刚柔并济显温度。</w:t>
      </w:r>
      <w:r>
        <w:rPr>
          <w:rFonts w:hint="eastAsia" w:ascii="仿宋_GB2312" w:hAnsi="仿宋_GB2312" w:eastAsia="仿宋_GB2312" w:cs="仿宋_GB2312"/>
          <w:sz w:val="32"/>
          <w:szCs w:val="32"/>
          <w:lang w:val="en-US" w:eastAsia="zh-CN"/>
        </w:rPr>
        <w:t>年</w:t>
      </w:r>
      <w:r>
        <w:rPr>
          <w:rFonts w:hint="eastAsia" w:ascii="仿宋_GB2312" w:hAnsi="仿宋_GB2312" w:eastAsia="仿宋_GB2312" w:cs="仿宋_GB2312"/>
          <w:sz w:val="32"/>
          <w:szCs w:val="32"/>
        </w:rPr>
        <w:t>初，按照全市城管执法领域改革要求，原由中心全面负责的执法工作，调整为“市局统一领导、港区中心主导、城管支队配合”的执法新模式。针对园区作为重要产业园区面临的项目建设压力大与商业环境要求严苛的实际，兼顾法律严谨性与执法温情性，在依法严格执法的同时注重文明柔性。对非故意或轻微违法行为，以教育引导为主、及时校正，实行初犯免责政策，树立执法团队正面形象。</w:t>
      </w:r>
      <w:r>
        <w:rPr>
          <w:rFonts w:hint="eastAsia" w:ascii="仿宋_GB2312" w:hAnsi="仿宋_GB2312" w:eastAsia="仿宋_GB2312" w:cs="仿宋_GB2312"/>
          <w:sz w:val="32"/>
          <w:szCs w:val="32"/>
          <w:lang w:eastAsia="zh-CN"/>
        </w:rPr>
        <w:t>今年以来</w:t>
      </w:r>
      <w:r>
        <w:rPr>
          <w:rFonts w:hint="eastAsia" w:ascii="仿宋_GB2312" w:hAnsi="仿宋_GB2312" w:eastAsia="仿宋_GB2312" w:cs="仿宋_GB2312"/>
          <w:sz w:val="32"/>
          <w:szCs w:val="32"/>
          <w:lang w:val="en-US" w:eastAsia="zh-CN"/>
        </w:rPr>
        <w:t>，办理各类执法案件共12例，未收到管理对象的负面反馈和投诉，既彰显了管理力度，又体现了关怀温度。</w:t>
      </w:r>
    </w:p>
    <w:p w14:paraId="15FEF2EF">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val="en-US" w:eastAsia="zh-CN"/>
        </w:rPr>
        <w:t>3.专项整治破顽疾，市容有序增力度。</w:t>
      </w:r>
      <w:r>
        <w:rPr>
          <w:rFonts w:hint="eastAsia" w:ascii="仿宋_GB2312" w:hAnsi="仿宋_GB2312" w:eastAsia="仿宋_GB2312" w:cs="仿宋_GB2312"/>
          <w:b w:val="0"/>
          <w:bCs w:val="0"/>
          <w:sz w:val="32"/>
          <w:szCs w:val="32"/>
        </w:rPr>
        <w:t>今年以来，开展市容环境秩序综合整治、建筑垃圾专项整治等</w:t>
      </w:r>
      <w:r>
        <w:rPr>
          <w:rFonts w:hint="eastAsia" w:ascii="仿宋_GB2312" w:hAnsi="仿宋_GB2312" w:eastAsia="仿宋_GB2312" w:cs="仿宋_GB2312"/>
          <w:sz w:val="32"/>
          <w:szCs w:val="32"/>
        </w:rPr>
        <w:t>行动17次，全面整顿新港区脏乱差问题。推动50余家机关企事业单位停车场免费开放，新增临时停车位26个，缓解“停车难”问题；组织志愿服务助力文明创建，提升群众参与度；拆除违规户外广告招牌17块，消除安全隐患；开展省旅发大会沿线整治39次，查处城乡风貌问题568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清理卫生死角127处；推进“洞庭清波”行动，</w:t>
      </w:r>
      <w:r>
        <w:rPr>
          <w:rFonts w:hint="eastAsia" w:ascii="仿宋_GB2312" w:hAnsi="仿宋_GB2312" w:eastAsia="仿宋_GB2312" w:cs="仿宋_GB2312"/>
          <w:sz w:val="32"/>
          <w:szCs w:val="32"/>
          <w:lang w:val="en-US" w:eastAsia="zh-CN"/>
        </w:rPr>
        <w:t>严格落实扬尘防治“六个百分百”要求，常态化做好裸土覆盖、洒水降尘等工作，减少扬尘污染；重点做好建筑垃圾处置管理，对港投集团、临港土储中心、用地企业等部门单位下发督办函9份，督办违规倾倒建筑垃圾问题13个，</w:t>
      </w:r>
      <w:r>
        <w:rPr>
          <w:rFonts w:hint="eastAsia" w:ascii="仿宋_GB2312" w:hAnsi="仿宋_GB2312" w:eastAsia="仿宋_GB2312" w:cs="仿宋_GB2312"/>
          <w:sz w:val="32"/>
          <w:szCs w:val="32"/>
        </w:rPr>
        <w:t>处置5处</w:t>
      </w:r>
      <w:r>
        <w:rPr>
          <w:rFonts w:hint="eastAsia" w:ascii="仿宋_GB2312" w:hAnsi="仿宋_GB2312" w:eastAsia="仿宋_GB2312" w:cs="仿宋_GB2312"/>
          <w:sz w:val="32"/>
          <w:szCs w:val="32"/>
          <w:lang w:val="en-US" w:eastAsia="zh-CN"/>
        </w:rPr>
        <w:t>卫星斑图发现的</w:t>
      </w:r>
      <w:r>
        <w:rPr>
          <w:rFonts w:hint="eastAsia" w:ascii="仿宋_GB2312" w:hAnsi="仿宋_GB2312" w:eastAsia="仿宋_GB2312" w:cs="仿宋_GB2312"/>
          <w:sz w:val="32"/>
          <w:szCs w:val="32"/>
        </w:rPr>
        <w:t>建筑垃圾违规堆放点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清理市政道路、公共区域违规倾倒建筑垃圾400余车</w:t>
      </w:r>
      <w:r>
        <w:rPr>
          <w:rFonts w:hint="eastAsia" w:ascii="仿宋_GB2312" w:hAnsi="仿宋_GB2312" w:eastAsia="仿宋_GB2312" w:cs="仿宋_GB2312"/>
          <w:sz w:val="32"/>
          <w:szCs w:val="32"/>
        </w:rPr>
        <w:t>；开展6场垃圾分类宣讲活动，提升公众知晓率与参与度。</w:t>
      </w:r>
    </w:p>
    <w:p w14:paraId="390B96C3">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firstLine="640" w:firstLineChars="200"/>
        <w:jc w:val="both"/>
        <w:textAlignment w:val="auto"/>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（四）聚焦民生办实事，主动担当践使命。</w:t>
      </w:r>
    </w:p>
    <w:p w14:paraId="6A65BE51">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val="en-US" w:eastAsia="zh-CN"/>
        </w:rPr>
        <w:t>1.设施升级助盛会，景观提质展形象。</w:t>
      </w:r>
      <w:r>
        <w:rPr>
          <w:rFonts w:hint="eastAsia" w:ascii="仿宋_GB2312" w:hAnsi="仿宋_GB2312" w:eastAsia="仿宋_GB2312" w:cs="仿宋_GB2312"/>
          <w:b w:val="0"/>
          <w:bCs w:val="0"/>
          <w:sz w:val="32"/>
          <w:szCs w:val="32"/>
        </w:rPr>
        <w:t>围</w:t>
      </w:r>
      <w:r>
        <w:rPr>
          <w:rFonts w:hint="eastAsia" w:ascii="仿宋_GB2312" w:hAnsi="仿宋_GB2312" w:eastAsia="仿宋_GB2312" w:cs="仿宋_GB2312"/>
          <w:sz w:val="32"/>
          <w:szCs w:val="32"/>
        </w:rPr>
        <w:t>绕省旅发大会保障核心任务，高标准推进民生工程建设。完成老旧公厕提质改造，优化使用功能；投入36万元实施桂花园路行道树树池绿化提质改造，提升道路景观品质；投入42万元完成银华医疗器械生产项目周边公共绿地提质改造，打造靓丽风景线，赢得港区及企业好评。</w:t>
      </w:r>
    </w:p>
    <w:p w14:paraId="6C25C66F">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val="en-US" w:eastAsia="zh-CN"/>
        </w:rPr>
        <w:t>2.破解诉求纾民忧，民生服务增福祉。</w:t>
      </w:r>
      <w:r>
        <w:rPr>
          <w:rFonts w:hint="eastAsia" w:ascii="仿宋_GB2312" w:hAnsi="仿宋_GB2312" w:eastAsia="仿宋_GB2312" w:cs="仿宋_GB2312"/>
          <w:b w:val="0"/>
          <w:bCs w:val="0"/>
          <w:sz w:val="32"/>
          <w:szCs w:val="32"/>
        </w:rPr>
        <w:t>秉持“民生无小事”理念，靶向解决群众急难愁盼。安排市政维护单位为凌波湖小区提供无偿抽排服务，解决困扰居民3年的污水排放难题；协调环卫所为无物业的亚泰花园持续提供生活垃圾收集转运服务，改善小区居住环境；维修长江大道</w:t>
      </w:r>
      <w:r>
        <w:rPr>
          <w:rFonts w:hint="eastAsia" w:ascii="仿宋_GB2312" w:hAnsi="仿宋_GB2312" w:eastAsia="仿宋_GB2312" w:cs="仿宋_GB2312"/>
          <w:sz w:val="32"/>
          <w:szCs w:val="32"/>
        </w:rPr>
        <w:t>等7条道路584套破损路灯亮化“中国结”，保障夜间照明</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美化城市夜景。</w:t>
      </w:r>
    </w:p>
    <w:p w14:paraId="1E494FC6">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val="en-US" w:eastAsia="zh-CN"/>
        </w:rPr>
        <w:t>3.攻坚污水勤治理，改善生态优环境。</w:t>
      </w:r>
      <w:r>
        <w:rPr>
          <w:rFonts w:hint="eastAsia" w:ascii="仿宋_GB2312" w:hAnsi="仿宋_GB2312" w:eastAsia="仿宋_GB2312" w:cs="仿宋_GB2312"/>
          <w:b w:val="0"/>
          <w:bCs w:val="0"/>
          <w:sz w:val="32"/>
          <w:szCs w:val="32"/>
        </w:rPr>
        <w:t>主动对接配合开建部，全力推进污水浓度偏低问题专项整</w:t>
      </w:r>
      <w:r>
        <w:rPr>
          <w:rFonts w:hint="eastAsia" w:ascii="仿宋_GB2312" w:hAnsi="仿宋_GB2312" w:eastAsia="仿宋_GB2312" w:cs="仿宋_GB2312"/>
          <w:sz w:val="32"/>
          <w:szCs w:val="32"/>
        </w:rPr>
        <w:t>治。全面排查辖区401个污水主管网排口，对72家存量未办证排水户下达整改通知，为5家企业办理污水并网许可证；委托第三方对芭蕉湖污水泵站进出水COD浓度开展动态监测；完成28处通信弱电线路穿井整改任务，推动整治问题顺利销号。</w:t>
      </w:r>
    </w:p>
    <w:p w14:paraId="3BCA8A56">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firstLine="640" w:firstLineChars="200"/>
        <w:jc w:val="both"/>
        <w:textAlignment w:val="auto"/>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（五）严排隐患守底线，筑牢安全防护网。</w:t>
      </w:r>
    </w:p>
    <w:p w14:paraId="5ED2E764">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val="en-US" w:eastAsia="zh-CN"/>
        </w:rPr>
        <w:t>中心</w:t>
      </w:r>
      <w:r>
        <w:rPr>
          <w:rFonts w:hint="eastAsia" w:ascii="仿宋_GB2312" w:hAnsi="仿宋_GB2312" w:eastAsia="仿宋_GB2312" w:cs="仿宋_GB2312"/>
          <w:b w:val="0"/>
          <w:bCs w:val="0"/>
          <w:sz w:val="32"/>
          <w:szCs w:val="32"/>
        </w:rPr>
        <w:t>始终将安全管理置于工作首位，</w:t>
      </w:r>
      <w:r>
        <w:rPr>
          <w:rFonts w:hint="eastAsia" w:ascii="仿宋_GB2312" w:hAnsi="仿宋_GB2312" w:eastAsia="仿宋_GB2312" w:cs="仿宋_GB2312"/>
          <w:sz w:val="32"/>
          <w:szCs w:val="32"/>
        </w:rPr>
        <w:t>常态化开展管养项目安全隐患排查整治</w:t>
      </w:r>
      <w:r>
        <w:rPr>
          <w:rFonts w:hint="eastAsia" w:ascii="仿宋_GB2312" w:hAnsi="仿宋_GB2312" w:eastAsia="仿宋_GB2312" w:cs="仿宋_GB2312"/>
          <w:sz w:val="32"/>
          <w:szCs w:val="32"/>
          <w:lang w:eastAsia="zh-CN"/>
        </w:rPr>
        <w:t>，针</w:t>
      </w:r>
      <w:r>
        <w:rPr>
          <w:rFonts w:hint="eastAsia" w:ascii="仿宋_GB2312" w:hAnsi="仿宋_GB2312" w:eastAsia="仿宋_GB2312" w:cs="仿宋_GB2312"/>
          <w:sz w:val="32"/>
          <w:szCs w:val="32"/>
        </w:rPr>
        <w:t>对许家垄路高架桥伸缩缝破损、芭蕉湖公园木栈道破损等重大隐患，第一时间启动应急处置并逐级汇报。持续深化</w:t>
      </w:r>
      <w:r>
        <w:rPr>
          <w:rFonts w:hint="eastAsia" w:ascii="仿宋_GB2312" w:hAnsi="仿宋_GB2312" w:eastAsia="仿宋_GB2312" w:cs="仿宋_GB2312"/>
          <w:kern w:val="0"/>
          <w:sz w:val="32"/>
          <w:szCs w:val="32"/>
          <w:lang w:val="en-US" w:eastAsia="zh-CN" w:bidi="ar"/>
        </w:rPr>
        <w:t>“为民办实事城镇燃气安全整治”工作</w:t>
      </w:r>
      <w:r>
        <w:rPr>
          <w:rFonts w:hint="eastAsia" w:ascii="仿宋_GB2312" w:hAnsi="仿宋_GB2312" w:eastAsia="仿宋_GB2312" w:cs="仿宋_GB2312"/>
          <w:sz w:val="32"/>
          <w:szCs w:val="32"/>
        </w:rPr>
        <w:t>，联合港区相关部门开展专项检查27次，排查工商用户224家，整改隐患183个。健全安全生产责任制，签订责任书，实行“一月一调度、两月一会商”机制，强化协同联动；通过网络宣传8次、发放资料8000余份、全覆盖开展商业用户专项培训，筑牢安全防线</w:t>
      </w:r>
      <w:r>
        <w:rPr>
          <w:rFonts w:hint="eastAsia" w:ascii="仿宋_GB2312" w:hAnsi="仿宋_GB2312" w:eastAsia="仿宋_GB2312" w:cs="仿宋_GB2312"/>
          <w:sz w:val="32"/>
          <w:szCs w:val="32"/>
          <w:lang w:eastAsia="zh-CN"/>
        </w:rPr>
        <w:t>。</w:t>
      </w:r>
    </w:p>
    <w:p w14:paraId="16C8A6EA">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20" w:beforeLines="50" w:line="620" w:lineRule="exact"/>
        <w:ind w:right="11" w:rightChars="0" w:firstLine="667" w:firstLineChars="200"/>
        <w:jc w:val="both"/>
        <w:textAlignment w:val="baseline"/>
        <w:rPr>
          <w:rFonts w:hint="eastAsia" w:ascii="楷体_GB2312" w:hAnsi="楷体_GB2312" w:eastAsia="楷体_GB2312" w:cs="楷体_GB2312"/>
          <w:b/>
          <w:bCs/>
          <w:spacing w:val="6"/>
          <w:kern w:val="0"/>
          <w:sz w:val="32"/>
          <w:szCs w:val="32"/>
          <w:lang w:val="en-US" w:eastAsia="zh-CN"/>
        </w:rPr>
      </w:pPr>
      <w:r>
        <w:rPr>
          <w:rFonts w:hint="eastAsia" w:ascii="楷体_GB2312" w:hAnsi="楷体_GB2312" w:eastAsia="楷体_GB2312" w:cs="楷体_GB2312"/>
          <w:b/>
          <w:bCs/>
          <w:spacing w:val="6"/>
          <w:kern w:val="0"/>
          <w:sz w:val="32"/>
          <w:szCs w:val="32"/>
          <w:lang w:val="en-US" w:eastAsia="zh-CN"/>
        </w:rPr>
        <w:t>（四）预算资金管理情况</w:t>
      </w:r>
    </w:p>
    <w:p w14:paraId="0A35DFD5">
      <w:pPr>
        <w:pStyle w:val="3"/>
        <w:keepNext w:val="0"/>
        <w:keepLines w:val="0"/>
        <w:pageBreakBefore w:val="0"/>
        <w:numPr>
          <w:ilvl w:val="0"/>
          <w:numId w:val="0"/>
        </w:numPr>
        <w:wordWrap/>
        <w:overflowPunct/>
        <w:topLinePunct w:val="0"/>
        <w:bidi w:val="0"/>
        <w:spacing w:line="620" w:lineRule="exact"/>
        <w:ind w:firstLine="640" w:firstLineChars="200"/>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根据</w:t>
      </w:r>
      <w:r>
        <w:rPr>
          <w:rFonts w:hint="eastAsia" w:ascii="CESI仿宋-GB2312" w:hAnsi="CESI仿宋-GB2312" w:eastAsia="CESI仿宋-GB2312" w:cs="CESI仿宋-GB2312"/>
          <w:sz w:val="32"/>
          <w:szCs w:val="32"/>
          <w:highlight w:val="none"/>
        </w:rPr>
        <w:t>《中华人民共和国预算法》</w:t>
      </w:r>
      <w:r>
        <w:rPr>
          <w:rFonts w:hint="eastAsia" w:ascii="CESI仿宋-GB2312" w:hAnsi="CESI仿宋-GB2312" w:eastAsia="CESI仿宋-GB2312" w:cs="CESI仿宋-GB2312"/>
          <w:sz w:val="32"/>
          <w:szCs w:val="32"/>
          <w:highlight w:val="none"/>
          <w:lang w:eastAsia="zh-CN"/>
        </w:rPr>
        <w:t>、</w:t>
      </w:r>
      <w:r>
        <w:rPr>
          <w:rFonts w:hint="eastAsia" w:ascii="CESI仿宋-GB2312" w:hAnsi="CESI仿宋-GB2312" w:eastAsia="CESI仿宋-GB2312" w:cs="CESI仿宋-GB2312"/>
          <w:kern w:val="0"/>
          <w:sz w:val="32"/>
          <w:szCs w:val="32"/>
          <w:highlight w:val="none"/>
          <w:lang w:val="en-US" w:eastAsia="zh-CN"/>
        </w:rPr>
        <w:t>《政府会计制度》和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中共岳阳市委办公室 岳阳市人民政府办公室关于印发&lt;岳阳市预算绩效管理实施办法&gt;的通知》（岳办发</w:t>
      </w:r>
      <w:r>
        <w:rPr>
          <w:rFonts w:hint="eastAsia" w:ascii="仿宋_GB2312" w:hAnsi="仿宋_GB2312" w:eastAsia="仿宋_GB2312" w:cs="仿宋_GB2312"/>
          <w:b w:val="0"/>
          <w:bCs w:val="0"/>
          <w:sz w:val="32"/>
          <w:szCs w:val="32"/>
          <w:lang w:val="en-US" w:eastAsia="zh-CN"/>
        </w:rPr>
        <w:t>〔2020〕4号）及</w:t>
      </w:r>
      <w:r>
        <w:rPr>
          <w:rFonts w:hint="eastAsia" w:ascii="仿宋_GB2312" w:hAnsi="仿宋_GB2312" w:eastAsia="仿宋_GB2312" w:cs="仿宋_GB2312"/>
          <w:sz w:val="32"/>
          <w:szCs w:val="32"/>
          <w:lang w:val="en-US" w:eastAsia="zh-CN"/>
        </w:rPr>
        <w:t>其他相关文件要求，分局成立了绩效评价及监督小组，定期开展相关工作。</w:t>
      </w:r>
    </w:p>
    <w:p w14:paraId="6B9B44E4">
      <w:pPr>
        <w:pStyle w:val="4"/>
        <w:keepNext w:val="0"/>
        <w:keepLines w:val="0"/>
        <w:pageBreakBefore w:val="0"/>
        <w:wordWrap/>
        <w:overflowPunct/>
        <w:topLinePunct w:val="0"/>
        <w:bidi w:val="0"/>
        <w:spacing w:line="620" w:lineRule="exact"/>
        <w:ind w:left="0" w:leftChars="0" w:firstLine="640" w:firstLineChars="200"/>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1、资金预算及绩效管理情况</w:t>
      </w:r>
    </w:p>
    <w:p w14:paraId="63A41533">
      <w:pPr>
        <w:pStyle w:val="3"/>
        <w:keepNext w:val="0"/>
        <w:keepLines w:val="0"/>
        <w:pageBreakBefore w:val="0"/>
        <w:wordWrap/>
        <w:overflowPunct/>
        <w:topLinePunct w:val="0"/>
        <w:bidi w:val="0"/>
        <w:spacing w:line="620" w:lineRule="exact"/>
        <w:ind w:firstLine="664" w:firstLineChars="200"/>
        <w:rPr>
          <w:rFonts w:hint="eastAsia" w:ascii="仿宋_GB2312" w:hAnsi="仿宋_GB2312" w:eastAsia="仿宋_GB2312" w:cs="仿宋_GB2312"/>
          <w:spacing w:val="6"/>
          <w:kern w:val="0"/>
          <w:sz w:val="32"/>
          <w:szCs w:val="32"/>
          <w:lang w:eastAsia="zh-CN"/>
        </w:rPr>
      </w:pPr>
      <w:r>
        <w:rPr>
          <w:rFonts w:hint="eastAsia" w:ascii="仿宋_GB2312" w:hAnsi="仿宋_GB2312" w:eastAsia="仿宋_GB2312" w:cs="仿宋_GB2312"/>
          <w:spacing w:val="6"/>
          <w:kern w:val="0"/>
          <w:sz w:val="32"/>
          <w:szCs w:val="32"/>
          <w:lang w:val="en-US" w:eastAsia="zh-CN"/>
        </w:rPr>
        <w:t>分局为加强资金</w:t>
      </w:r>
      <w:r>
        <w:rPr>
          <w:rFonts w:hint="eastAsia" w:ascii="仿宋_GB2312" w:hAnsi="仿宋_GB2312" w:eastAsia="仿宋_GB2312" w:cs="仿宋_GB2312"/>
          <w:spacing w:val="6"/>
          <w:kern w:val="0"/>
          <w:sz w:val="32"/>
          <w:szCs w:val="32"/>
        </w:rPr>
        <w:t>管理</w:t>
      </w:r>
      <w:r>
        <w:rPr>
          <w:rFonts w:hint="eastAsia" w:ascii="仿宋_GB2312" w:hAnsi="仿宋_GB2312" w:eastAsia="仿宋_GB2312" w:cs="仿宋_GB2312"/>
          <w:spacing w:val="6"/>
          <w:kern w:val="0"/>
          <w:sz w:val="32"/>
          <w:szCs w:val="32"/>
          <w:lang w:val="en-US" w:eastAsia="zh-CN"/>
        </w:rPr>
        <w:t>，从预算编制环节入手，编制</w:t>
      </w:r>
      <w:r>
        <w:rPr>
          <w:rFonts w:hint="eastAsia" w:ascii="仿宋_GB2312" w:hAnsi="仿宋_GB2312" w:eastAsia="仿宋_GB2312" w:cs="仿宋_GB2312"/>
          <w:spacing w:val="6"/>
          <w:kern w:val="0"/>
          <w:sz w:val="32"/>
          <w:szCs w:val="32"/>
        </w:rPr>
        <w:t>资金预算</w:t>
      </w:r>
      <w:r>
        <w:rPr>
          <w:rFonts w:hint="eastAsia" w:ascii="仿宋_GB2312" w:hAnsi="仿宋_GB2312" w:eastAsia="仿宋_GB2312" w:cs="仿宋_GB2312"/>
          <w:spacing w:val="6"/>
          <w:kern w:val="0"/>
          <w:sz w:val="32"/>
          <w:szCs w:val="32"/>
          <w:lang w:val="en-US" w:eastAsia="zh-CN"/>
        </w:rPr>
        <w:t>必须先</w:t>
      </w:r>
      <w:r>
        <w:rPr>
          <w:rFonts w:hint="eastAsia" w:ascii="仿宋_GB2312" w:hAnsi="仿宋_GB2312" w:eastAsia="仿宋_GB2312" w:cs="仿宋_GB2312"/>
          <w:spacing w:val="6"/>
          <w:kern w:val="0"/>
          <w:sz w:val="32"/>
          <w:szCs w:val="32"/>
        </w:rPr>
        <w:t>编制</w:t>
      </w:r>
      <w:r>
        <w:rPr>
          <w:rFonts w:hint="eastAsia" w:ascii="仿宋_GB2312" w:hAnsi="仿宋_GB2312" w:eastAsia="仿宋_GB2312" w:cs="仿宋_GB2312"/>
          <w:spacing w:val="6"/>
          <w:kern w:val="0"/>
          <w:sz w:val="32"/>
          <w:szCs w:val="32"/>
          <w:lang w:val="en-US" w:eastAsia="zh-CN"/>
        </w:rPr>
        <w:t>预算绩效</w:t>
      </w:r>
      <w:r>
        <w:rPr>
          <w:rFonts w:hint="eastAsia" w:ascii="仿宋_GB2312" w:hAnsi="仿宋_GB2312" w:eastAsia="仿宋_GB2312" w:cs="仿宋_GB2312"/>
          <w:spacing w:val="6"/>
          <w:kern w:val="0"/>
          <w:sz w:val="32"/>
          <w:szCs w:val="32"/>
        </w:rPr>
        <w:t>目标</w:t>
      </w:r>
      <w:r>
        <w:rPr>
          <w:rFonts w:hint="eastAsia" w:ascii="仿宋_GB2312" w:hAnsi="仿宋_GB2312" w:eastAsia="仿宋_GB2312" w:cs="仿宋_GB2312"/>
          <w:spacing w:val="6"/>
          <w:kern w:val="0"/>
          <w:sz w:val="32"/>
          <w:szCs w:val="32"/>
          <w:lang w:eastAsia="zh-CN"/>
        </w:rPr>
        <w:t>，</w:t>
      </w:r>
      <w:r>
        <w:rPr>
          <w:rFonts w:hint="eastAsia" w:ascii="仿宋_GB2312" w:hAnsi="仿宋_GB2312" w:eastAsia="仿宋_GB2312" w:cs="仿宋_GB2312"/>
          <w:spacing w:val="6"/>
          <w:kern w:val="0"/>
          <w:sz w:val="32"/>
          <w:szCs w:val="32"/>
          <w:lang w:val="en-US" w:eastAsia="zh-CN"/>
        </w:rPr>
        <w:t>做到了预算资金支出有目标，确保财政资金支出效益。2025年10月底，组织开展了本年度</w:t>
      </w:r>
      <w:r>
        <w:rPr>
          <w:rFonts w:hint="eastAsia" w:ascii="仿宋_GB2312" w:hAnsi="仿宋_GB2312" w:eastAsia="仿宋_GB2312" w:cs="仿宋_GB2312"/>
          <w:spacing w:val="6"/>
          <w:kern w:val="0"/>
          <w:sz w:val="32"/>
          <w:szCs w:val="32"/>
        </w:rPr>
        <w:t>预算执行监控</w:t>
      </w:r>
      <w:r>
        <w:rPr>
          <w:rFonts w:hint="eastAsia" w:ascii="仿宋_GB2312" w:hAnsi="仿宋_GB2312" w:eastAsia="仿宋_GB2312" w:cs="仿宋_GB2312"/>
          <w:spacing w:val="6"/>
          <w:kern w:val="0"/>
          <w:sz w:val="32"/>
          <w:szCs w:val="32"/>
          <w:lang w:val="en-US" w:eastAsia="zh-CN"/>
        </w:rPr>
        <w:t>工作，分析预算执行情况，及时纠正出现的偏差，并制定相应的整改措施。2026年5月开始组织对2025年度预算支出情况进行绩效评价工作，分析总结年度预算管理工作，做到了</w:t>
      </w:r>
      <w:r>
        <w:rPr>
          <w:rFonts w:hint="eastAsia" w:ascii="仿宋_GB2312" w:hAnsi="仿宋_GB2312" w:eastAsia="仿宋_GB2312" w:cs="仿宋_GB2312"/>
          <w:spacing w:val="6"/>
          <w:kern w:val="0"/>
          <w:sz w:val="32"/>
          <w:szCs w:val="32"/>
        </w:rPr>
        <w:t>预算</w:t>
      </w:r>
      <w:r>
        <w:rPr>
          <w:rFonts w:hint="eastAsia" w:ascii="仿宋_GB2312" w:hAnsi="仿宋_GB2312" w:eastAsia="仿宋_GB2312" w:cs="仿宋_GB2312"/>
          <w:spacing w:val="6"/>
          <w:kern w:val="0"/>
          <w:sz w:val="32"/>
          <w:szCs w:val="32"/>
          <w:lang w:val="en-US" w:eastAsia="zh-CN"/>
        </w:rPr>
        <w:t>执行</w:t>
      </w:r>
      <w:r>
        <w:rPr>
          <w:rFonts w:hint="eastAsia" w:ascii="仿宋_GB2312" w:hAnsi="仿宋_GB2312" w:eastAsia="仿宋_GB2312" w:cs="仿宋_GB2312"/>
          <w:spacing w:val="6"/>
          <w:kern w:val="0"/>
          <w:sz w:val="32"/>
          <w:szCs w:val="32"/>
        </w:rPr>
        <w:t>完成有评价</w:t>
      </w:r>
      <w:r>
        <w:rPr>
          <w:rFonts w:hint="eastAsia" w:ascii="仿宋_GB2312" w:hAnsi="仿宋_GB2312" w:eastAsia="仿宋_GB2312" w:cs="仿宋_GB2312"/>
          <w:spacing w:val="6"/>
          <w:kern w:val="0"/>
          <w:sz w:val="32"/>
          <w:szCs w:val="32"/>
          <w:lang w:eastAsia="zh-CN"/>
        </w:rPr>
        <w:t>，</w:t>
      </w:r>
      <w:r>
        <w:rPr>
          <w:rFonts w:hint="eastAsia" w:ascii="仿宋_GB2312" w:hAnsi="仿宋_GB2312" w:eastAsia="仿宋_GB2312" w:cs="仿宋_GB2312"/>
          <w:spacing w:val="6"/>
          <w:kern w:val="0"/>
          <w:sz w:val="32"/>
          <w:szCs w:val="32"/>
        </w:rPr>
        <w:t>使单位经济业务从事前、事中、事后得到</w:t>
      </w:r>
      <w:r>
        <w:rPr>
          <w:rFonts w:hint="eastAsia" w:ascii="仿宋_GB2312" w:hAnsi="仿宋_GB2312" w:eastAsia="仿宋_GB2312" w:cs="仿宋_GB2312"/>
          <w:spacing w:val="6"/>
          <w:kern w:val="0"/>
          <w:sz w:val="32"/>
          <w:szCs w:val="32"/>
          <w:lang w:val="en-US" w:eastAsia="zh-CN"/>
        </w:rPr>
        <w:t>了</w:t>
      </w:r>
      <w:r>
        <w:rPr>
          <w:rFonts w:hint="eastAsia" w:ascii="仿宋_GB2312" w:hAnsi="仿宋_GB2312" w:eastAsia="仿宋_GB2312" w:cs="仿宋_GB2312"/>
          <w:spacing w:val="6"/>
          <w:kern w:val="0"/>
          <w:sz w:val="32"/>
          <w:szCs w:val="32"/>
        </w:rPr>
        <w:t>有效管控</w:t>
      </w:r>
      <w:r>
        <w:rPr>
          <w:rFonts w:hint="eastAsia" w:ascii="仿宋_GB2312" w:hAnsi="仿宋_GB2312" w:eastAsia="仿宋_GB2312" w:cs="仿宋_GB2312"/>
          <w:spacing w:val="6"/>
          <w:kern w:val="0"/>
          <w:sz w:val="32"/>
          <w:szCs w:val="32"/>
          <w:lang w:eastAsia="zh-CN"/>
        </w:rPr>
        <w:t>。</w:t>
      </w:r>
    </w:p>
    <w:p w14:paraId="363E80D0">
      <w:pPr>
        <w:pStyle w:val="3"/>
        <w:keepNext w:val="0"/>
        <w:keepLines w:val="0"/>
        <w:pageBreakBefore w:val="0"/>
        <w:wordWrap/>
        <w:overflowPunct/>
        <w:topLinePunct w:val="0"/>
        <w:bidi w:val="0"/>
        <w:spacing w:line="620" w:lineRule="exact"/>
        <w:ind w:firstLine="640" w:firstLineChars="200"/>
        <w:jc w:val="both"/>
        <w:rPr>
          <w:rFonts w:hint="default"/>
          <w:sz w:val="32"/>
          <w:szCs w:val="32"/>
          <w:lang w:val="en-US" w:eastAsia="zh-CN"/>
        </w:rPr>
      </w:pPr>
      <w:r>
        <w:rPr>
          <w:rFonts w:hint="eastAsia" w:ascii="仿宋_GB2312" w:hAnsi="仿宋_GB2312" w:eastAsia="仿宋_GB2312" w:cs="仿宋_GB2312"/>
          <w:bCs/>
          <w:sz w:val="32"/>
          <w:szCs w:val="32"/>
          <w:highlight w:val="none"/>
          <w:lang w:val="en-US" w:eastAsia="zh-CN"/>
        </w:rPr>
        <w:t>2、资产管理情况</w:t>
      </w:r>
    </w:p>
    <w:p w14:paraId="1C82CD44">
      <w:pPr>
        <w:pStyle w:val="4"/>
        <w:keepNext w:val="0"/>
        <w:keepLines w:val="0"/>
        <w:pageBreakBefore w:val="0"/>
        <w:wordWrap/>
        <w:overflowPunct/>
        <w:topLinePunct w:val="0"/>
        <w:bidi w:val="0"/>
        <w:spacing w:line="620" w:lineRule="exact"/>
        <w:ind w:left="0" w:leftChars="0" w:firstLine="0" w:firstLineChars="0"/>
        <w:rPr>
          <w:rFonts w:hint="default" w:ascii="仿宋_GB2312" w:hAnsi="仿宋_GB2312" w:eastAsia="仿宋_GB2312" w:cs="仿宋_GB2312"/>
          <w:sz w:val="32"/>
          <w:szCs w:val="32"/>
          <w:lang w:val="en-US"/>
        </w:rPr>
      </w:pPr>
      <w:r>
        <w:rPr>
          <w:rFonts w:hint="eastAsia" w:ascii="仿宋_GB2312" w:hAnsi="仿宋_GB2312" w:eastAsia="仿宋_GB2312" w:cs="仿宋_GB2312"/>
          <w:bCs/>
          <w:sz w:val="32"/>
          <w:szCs w:val="32"/>
          <w:highlight w:val="none"/>
          <w:lang w:val="en-US" w:eastAsia="zh-CN"/>
        </w:rPr>
        <w:t xml:space="preserve">    分局定期开展资产清查盘点工作，根据单位工作特点，适时修订了实物管理制度，加强国有资产管理。按照厉行节约、物尽其用的原则，闲置的资产，由办公室统一调整，合理流动，发挥其效益。资产管理采取统一建账核算，同时明确每件固定资产使用保管职责，并及时对资产进行维护保养，尽量延长资产使用寿命。固定资产配置和处置，均按规定程序办理，并严格按固定资产管理办法进行核算与管理。</w:t>
      </w:r>
    </w:p>
    <w:p w14:paraId="4597F86F">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jc w:val="both"/>
        <w:textAlignment w:val="auto"/>
        <w:rPr>
          <w:rFonts w:hint="default" w:ascii="仿宋_GB2312" w:hAnsi="仿宋_GB2312" w:eastAsia="仿宋_GB2312" w:cs="仿宋_GB2312"/>
          <w:bCs/>
          <w:sz w:val="32"/>
          <w:szCs w:val="32"/>
          <w:highlight w:val="none"/>
          <w:lang w:val="en-US" w:eastAsia="zh-CN"/>
        </w:rPr>
      </w:pPr>
      <w:r>
        <w:rPr>
          <w:rFonts w:hint="eastAsia" w:ascii="仿宋_GB2312" w:hAnsi="仿宋_GB2312" w:eastAsia="仿宋_GB2312" w:cs="仿宋_GB2312"/>
          <w:bCs/>
          <w:sz w:val="32"/>
          <w:szCs w:val="32"/>
          <w:highlight w:val="none"/>
          <w:lang w:val="en-US" w:eastAsia="zh-CN"/>
        </w:rPr>
        <w:t>3、运行成本和预算执行情况</w:t>
      </w:r>
    </w:p>
    <w:p w14:paraId="12717DFE">
      <w:pPr>
        <w:pStyle w:val="3"/>
        <w:keepNext w:val="0"/>
        <w:keepLines w:val="0"/>
        <w:pageBreakBefore w:val="0"/>
        <w:numPr>
          <w:ilvl w:val="0"/>
          <w:numId w:val="0"/>
        </w:numPr>
        <w:wordWrap/>
        <w:overflowPunct/>
        <w:topLinePunct w:val="0"/>
        <w:bidi w:val="0"/>
        <w:spacing w:line="620" w:lineRule="exact"/>
        <w:ind w:firstLine="640" w:firstLineChars="200"/>
        <w:jc w:val="both"/>
        <w:rPr>
          <w:rFonts w:hint="eastAsia"/>
          <w:lang w:val="en-US" w:eastAsia="zh-CN"/>
        </w:rPr>
      </w:pPr>
      <w:r>
        <w:rPr>
          <w:rFonts w:hint="eastAsia" w:ascii="仿宋_GB2312" w:hAnsi="仿宋_GB2312" w:eastAsia="仿宋_GB2312" w:cs="仿宋_GB2312"/>
          <w:sz w:val="32"/>
          <w:szCs w:val="32"/>
          <w:lang w:val="en-US" w:eastAsia="zh-CN"/>
        </w:rPr>
        <w:t>2025年，分局全年预算金额为526.59万元（其中一般公共预算金额为403.79万元、其他资金预算金额为122.80万元），实际支出金额为519.08万元，全部为基本支出（含其他资金支出122.80万元），年度预算执行率为98.57%。坚持厉行节约，压减一般性支出，单位运行成本控制在年度预算金额内，预算执行率高。</w:t>
      </w:r>
    </w:p>
    <w:p w14:paraId="7A878EEB">
      <w:pPr>
        <w:pStyle w:val="4"/>
        <w:keepNext w:val="0"/>
        <w:keepLines w:val="0"/>
        <w:pageBreakBefore w:val="0"/>
        <w:wordWrap/>
        <w:overflowPunct/>
        <w:topLinePunct w:val="0"/>
        <w:bidi w:val="0"/>
        <w:spacing w:line="620" w:lineRule="exact"/>
        <w:ind w:left="0" w:leftChars="0" w:firstLine="643" w:firstLineChars="200"/>
        <w:jc w:val="left"/>
        <w:rPr>
          <w:rFonts w:hint="eastAsia" w:ascii="仿宋_GB2312" w:hAnsi="仿宋_GB2312" w:eastAsia="仿宋_GB2312" w:cs="仿宋_GB2312"/>
          <w:b/>
          <w:bCs/>
          <w:color w:val="FF0000"/>
          <w:sz w:val="32"/>
          <w:szCs w:val="32"/>
          <w:u w:val="none"/>
          <w:shd w:val="clear" w:color="auto" w:fill="FFFFFF"/>
          <w:lang w:eastAsia="zh-CN"/>
        </w:rPr>
      </w:pPr>
      <w:r>
        <w:rPr>
          <w:rFonts w:hint="eastAsia" w:ascii="仿宋_GB2312" w:hAnsi="仿宋_GB2312" w:eastAsia="仿宋_GB2312" w:cs="仿宋_GB2312"/>
          <w:b/>
          <w:bCs/>
          <w:color w:val="auto"/>
          <w:sz w:val="32"/>
          <w:szCs w:val="32"/>
          <w:u w:val="none"/>
          <w:shd w:val="clear" w:color="auto" w:fill="FFFFFF"/>
          <w:lang w:eastAsia="zh-CN"/>
        </w:rPr>
        <w:t>（五）</w:t>
      </w:r>
      <w:r>
        <w:rPr>
          <w:rFonts w:hint="eastAsia" w:ascii="仿宋_GB2312" w:hAnsi="仿宋_GB2312" w:eastAsia="仿宋_GB2312" w:cs="仿宋_GB2312"/>
          <w:b/>
          <w:bCs/>
          <w:color w:val="auto"/>
          <w:sz w:val="32"/>
          <w:szCs w:val="32"/>
          <w:u w:val="none"/>
          <w:shd w:val="clear" w:color="auto" w:fill="FFFFFF"/>
        </w:rPr>
        <w:t>评价结论</w:t>
      </w:r>
      <w:bookmarkStart w:id="0" w:name="_Toc2686_WPSOffice_Level2"/>
    </w:p>
    <w:p w14:paraId="0C6AAAE5">
      <w:pPr>
        <w:pStyle w:val="4"/>
        <w:keepNext w:val="0"/>
        <w:keepLines w:val="0"/>
        <w:pageBreakBefore w:val="0"/>
        <w:wordWrap/>
        <w:overflowPunct/>
        <w:topLinePunct w:val="0"/>
        <w:bidi w:val="0"/>
        <w:spacing w:line="620" w:lineRule="exact"/>
        <w:ind w:left="0" w:leftChars="0"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333333"/>
          <w:sz w:val="32"/>
          <w:szCs w:val="32"/>
          <w:u w:val="none"/>
          <w:shd w:val="clear" w:color="auto" w:fill="FFFFFF"/>
        </w:rPr>
        <w:t>评价小组</w:t>
      </w:r>
      <w:bookmarkEnd w:id="0"/>
      <w:r>
        <w:rPr>
          <w:rFonts w:hint="eastAsia" w:ascii="仿宋_GB2312" w:hAnsi="仿宋_GB2312" w:eastAsia="仿宋_GB2312" w:cs="仿宋_GB2312"/>
          <w:color w:val="333333"/>
          <w:sz w:val="32"/>
          <w:szCs w:val="32"/>
          <w:u w:val="none"/>
          <w:shd w:val="clear" w:color="auto" w:fill="FFFFFF"/>
          <w:lang w:val="en-US" w:eastAsia="zh-CN"/>
        </w:rPr>
        <w:t>对</w:t>
      </w:r>
      <w:r>
        <w:rPr>
          <w:rFonts w:hint="eastAsia" w:ascii="仿宋_GB2312" w:hAnsi="仿宋_GB2312" w:eastAsia="仿宋_GB2312" w:cs="仿宋_GB2312"/>
          <w:sz w:val="32"/>
          <w:szCs w:val="32"/>
          <w:lang w:val="en-US" w:eastAsia="zh-CN"/>
        </w:rPr>
        <w:t>岳阳市城市管理和综合执法局湖南城陵矶新港区分局</w:t>
      </w:r>
      <w:r>
        <w:rPr>
          <w:rFonts w:hint="eastAsia" w:ascii="仿宋_GB2312" w:hAnsi="仿宋_GB2312" w:eastAsia="仿宋_GB2312" w:cs="仿宋_GB2312"/>
          <w:color w:val="333333"/>
          <w:sz w:val="32"/>
          <w:szCs w:val="32"/>
          <w:shd w:val="clear" w:color="auto" w:fill="FFFFFF"/>
        </w:rPr>
        <w:t>202</w:t>
      </w:r>
      <w:r>
        <w:rPr>
          <w:rFonts w:hint="eastAsia" w:ascii="仿宋_GB2312" w:hAnsi="仿宋_GB2312" w:eastAsia="仿宋_GB2312" w:cs="仿宋_GB2312"/>
          <w:color w:val="333333"/>
          <w:sz w:val="32"/>
          <w:szCs w:val="32"/>
          <w:shd w:val="clear" w:color="auto" w:fill="FFFFFF"/>
          <w:lang w:val="en-US" w:eastAsia="zh-CN"/>
        </w:rPr>
        <w:t>5</w:t>
      </w:r>
      <w:r>
        <w:rPr>
          <w:rFonts w:hint="eastAsia" w:ascii="仿宋_GB2312" w:hAnsi="仿宋_GB2312" w:eastAsia="仿宋_GB2312" w:cs="仿宋_GB2312"/>
          <w:color w:val="333333"/>
          <w:sz w:val="32"/>
          <w:szCs w:val="32"/>
          <w:shd w:val="clear" w:color="auto" w:fill="FFFFFF"/>
        </w:rPr>
        <w:t>年</w:t>
      </w:r>
      <w:r>
        <w:rPr>
          <w:rFonts w:hint="eastAsia" w:ascii="仿宋_GB2312" w:hAnsi="仿宋_GB2312" w:eastAsia="仿宋_GB2312" w:cs="仿宋_GB2312"/>
          <w:sz w:val="32"/>
          <w:szCs w:val="32"/>
          <w:lang w:val="en-US" w:eastAsia="zh-CN"/>
        </w:rPr>
        <w:t>资金支出情况</w:t>
      </w:r>
      <w:r>
        <w:rPr>
          <w:rFonts w:hint="eastAsia" w:ascii="仿宋_GB2312" w:hAnsi="仿宋_GB2312" w:eastAsia="仿宋_GB2312" w:cs="仿宋_GB2312"/>
          <w:color w:val="333333"/>
          <w:sz w:val="32"/>
          <w:szCs w:val="32"/>
          <w:u w:val="none"/>
          <w:shd w:val="clear" w:color="auto" w:fill="FFFFFF"/>
          <w:lang w:val="en-US" w:eastAsia="zh-CN"/>
        </w:rPr>
        <w:t>进行了</w:t>
      </w:r>
      <w:r>
        <w:rPr>
          <w:rFonts w:hint="eastAsia" w:ascii="仿宋_GB2312" w:hAnsi="仿宋_GB2312" w:eastAsia="仿宋_GB2312" w:cs="仿宋_GB2312"/>
          <w:color w:val="333333"/>
          <w:sz w:val="32"/>
          <w:szCs w:val="32"/>
          <w:u w:val="none"/>
          <w:shd w:val="clear" w:color="auto" w:fill="FFFFFF"/>
        </w:rPr>
        <w:t>定量和定性分析</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color w:val="333333"/>
          <w:sz w:val="32"/>
          <w:szCs w:val="32"/>
          <w:shd w:val="clear" w:color="auto" w:fill="FFFFFF"/>
          <w:lang w:val="en-US" w:eastAsia="zh-CN"/>
        </w:rPr>
        <w:t>单位整体</w:t>
      </w:r>
      <w:r>
        <w:rPr>
          <w:rFonts w:hint="eastAsia" w:ascii="仿宋_GB2312" w:hAnsi="仿宋_GB2312" w:eastAsia="仿宋_GB2312" w:cs="仿宋_GB2312"/>
          <w:color w:val="333333"/>
          <w:sz w:val="32"/>
          <w:szCs w:val="32"/>
          <w:shd w:val="clear" w:color="auto" w:fill="FFFFFF"/>
        </w:rPr>
        <w:t>绩效评价最后得分为</w:t>
      </w:r>
      <w:r>
        <w:rPr>
          <w:rFonts w:hint="eastAsia" w:ascii="仿宋_GB2312" w:hAnsi="仿宋_GB2312" w:eastAsia="仿宋_GB2312" w:cs="仿宋_GB2312"/>
          <w:color w:val="333333"/>
          <w:sz w:val="32"/>
          <w:szCs w:val="32"/>
          <w:shd w:val="clear" w:color="auto" w:fill="FFFFFF"/>
          <w:lang w:val="en-US" w:eastAsia="zh-CN"/>
        </w:rPr>
        <w:t>97.76分（具体评分见附件2），</w:t>
      </w:r>
      <w:r>
        <w:rPr>
          <w:rFonts w:hint="eastAsia" w:ascii="仿宋_GB2312" w:hAnsi="仿宋_GB2312" w:eastAsia="仿宋_GB2312" w:cs="仿宋_GB2312"/>
          <w:color w:val="333333"/>
          <w:sz w:val="32"/>
          <w:szCs w:val="32"/>
          <w:shd w:val="clear" w:color="auto" w:fill="FFFFFF"/>
        </w:rPr>
        <w:t>从绩效评价总体情况来看，</w:t>
      </w:r>
      <w:r>
        <w:rPr>
          <w:rFonts w:hint="eastAsia" w:ascii="仿宋_GB2312" w:hAnsi="仿宋_GB2312" w:eastAsia="仿宋_GB2312" w:cs="仿宋_GB2312"/>
          <w:color w:val="333333"/>
          <w:sz w:val="32"/>
          <w:szCs w:val="32"/>
          <w:shd w:val="clear" w:color="auto" w:fill="FFFFFF"/>
          <w:lang w:val="en-US" w:eastAsia="zh-CN"/>
        </w:rPr>
        <w:t>单位</w:t>
      </w:r>
      <w:r>
        <w:rPr>
          <w:rFonts w:hint="eastAsia" w:ascii="仿宋_GB2312" w:hAnsi="仿宋_GB2312" w:eastAsia="仿宋_GB2312" w:cs="仿宋_GB2312"/>
          <w:color w:val="333333"/>
          <w:sz w:val="32"/>
          <w:szCs w:val="32"/>
          <w:shd w:val="clear" w:color="auto" w:fill="FFFFFF"/>
        </w:rPr>
        <w:t>资金支出规范，</w:t>
      </w:r>
      <w:r>
        <w:rPr>
          <w:rFonts w:hint="eastAsia" w:ascii="仿宋_GB2312" w:hAnsi="仿宋_GB2312" w:eastAsia="仿宋_GB2312" w:cs="仿宋_GB2312"/>
          <w:color w:val="333333"/>
          <w:sz w:val="32"/>
          <w:szCs w:val="32"/>
          <w:shd w:val="clear" w:color="auto" w:fill="FFFFFF"/>
          <w:lang w:eastAsia="zh-CN"/>
        </w:rPr>
        <w:t>使用效益好。</w:t>
      </w:r>
      <w:r>
        <w:rPr>
          <w:rFonts w:hint="eastAsia" w:ascii="仿宋_GB2312" w:hAnsi="仿宋_GB2312" w:eastAsia="仿宋_GB2312" w:cs="仿宋_GB2312"/>
          <w:color w:val="333333"/>
          <w:sz w:val="32"/>
          <w:szCs w:val="32"/>
          <w:shd w:val="clear" w:color="auto" w:fill="FFFFFF"/>
          <w:lang w:val="en-US" w:eastAsia="zh-CN"/>
        </w:rPr>
        <w:t>积极</w:t>
      </w:r>
      <w:r>
        <w:rPr>
          <w:rFonts w:hint="eastAsia" w:ascii="仿宋_GB2312" w:hAnsi="仿宋_GB2312" w:eastAsia="仿宋_GB2312" w:cs="仿宋_GB2312"/>
          <w:color w:val="333333"/>
          <w:sz w:val="32"/>
          <w:szCs w:val="32"/>
          <w:shd w:val="clear" w:color="auto" w:fill="FFFFFF"/>
        </w:rPr>
        <w:t>推</w:t>
      </w:r>
      <w:r>
        <w:rPr>
          <w:rFonts w:hint="eastAsia" w:ascii="仿宋_GB2312" w:hAnsi="仿宋_GB2312" w:eastAsia="仿宋_GB2312" w:cs="仿宋_GB2312"/>
          <w:color w:val="333333"/>
          <w:sz w:val="32"/>
          <w:szCs w:val="32"/>
          <w:shd w:val="clear" w:color="auto" w:fill="FFFFFF"/>
          <w:lang w:val="en-US" w:eastAsia="zh-CN"/>
        </w:rPr>
        <w:t>动了城陵矶新港区城市管理</w:t>
      </w:r>
      <w:r>
        <w:rPr>
          <w:rFonts w:hint="eastAsia" w:ascii="仿宋_GB2312" w:hAnsi="仿宋_GB2312" w:eastAsia="仿宋_GB2312" w:cs="仿宋_GB2312"/>
          <w:color w:val="333333"/>
          <w:sz w:val="32"/>
          <w:szCs w:val="32"/>
          <w:shd w:val="clear" w:color="auto" w:fill="FFFFFF"/>
        </w:rPr>
        <w:t>事业发展</w:t>
      </w:r>
      <w:r>
        <w:rPr>
          <w:rFonts w:hint="eastAsia" w:ascii="仿宋_GB2312" w:hAnsi="仿宋_GB2312" w:eastAsia="仿宋_GB2312" w:cs="仿宋_GB2312"/>
          <w:color w:val="333333"/>
          <w:sz w:val="32"/>
          <w:szCs w:val="32"/>
          <w:shd w:val="clear" w:color="auto" w:fill="FFFFFF"/>
          <w:lang w:eastAsia="zh-CN"/>
        </w:rPr>
        <w:t>，</w:t>
      </w:r>
      <w:r>
        <w:rPr>
          <w:rFonts w:hint="eastAsia" w:ascii="仿宋_GB2312" w:hAnsi="仿宋_GB2312" w:eastAsia="仿宋_GB2312" w:cs="仿宋_GB2312"/>
          <w:color w:val="333333"/>
          <w:sz w:val="32"/>
          <w:szCs w:val="32"/>
          <w:shd w:val="clear" w:color="auto" w:fill="FFFFFF"/>
          <w:lang w:val="en-US" w:eastAsia="zh-CN"/>
        </w:rPr>
        <w:t>改善了港区城市居住环境，优化了营商环境，助力了招商引资，得到了城陵矶新港区领导和市民的普遍赞誉</w:t>
      </w:r>
      <w:r>
        <w:rPr>
          <w:rFonts w:hint="eastAsia" w:ascii="仿宋_GB2312" w:hAnsi="仿宋_GB2312" w:eastAsia="仿宋_GB2312" w:cs="仿宋_GB2312"/>
          <w:color w:val="333333"/>
          <w:sz w:val="32"/>
          <w:szCs w:val="32"/>
          <w:shd w:val="clear" w:color="auto" w:fill="FFFFFF"/>
        </w:rPr>
        <w:t>。</w:t>
      </w:r>
    </w:p>
    <w:p w14:paraId="3EE04C2C">
      <w:pPr>
        <w:pStyle w:val="11"/>
        <w:keepNext w:val="0"/>
        <w:keepLines w:val="0"/>
        <w:pageBreakBefore w:val="0"/>
        <w:widowControl/>
        <w:kinsoku/>
        <w:wordWrap/>
        <w:overflowPunct/>
        <w:topLinePunct w:val="0"/>
        <w:autoSpaceDE/>
        <w:autoSpaceDN/>
        <w:bidi w:val="0"/>
        <w:adjustRightInd/>
        <w:snapToGrid/>
        <w:spacing w:line="620" w:lineRule="exact"/>
        <w:ind w:firstLine="640" w:firstLineChars="200"/>
        <w:jc w:val="both"/>
        <w:textAlignment w:val="auto"/>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val="en-US" w:eastAsia="zh-CN"/>
        </w:rPr>
        <w:t>五</w:t>
      </w:r>
      <w:r>
        <w:rPr>
          <w:rFonts w:hint="default" w:ascii="Times New Roman" w:hAnsi="Times New Roman" w:eastAsia="黑体" w:cs="Times New Roman"/>
          <w:sz w:val="32"/>
          <w:szCs w:val="32"/>
        </w:rPr>
        <w:t>、存在的问题及原因分析</w:t>
      </w:r>
    </w:p>
    <w:p w14:paraId="46FE8BDA">
      <w:pPr>
        <w:keepNext w:val="0"/>
        <w:keepLines w:val="0"/>
        <w:pageBreakBefore w:val="0"/>
        <w:widowControl/>
        <w:kinsoku/>
        <w:wordWrap/>
        <w:overflowPunct/>
        <w:topLinePunct w:val="0"/>
        <w:autoSpaceDE/>
        <w:autoSpaceDN/>
        <w:bidi w:val="0"/>
        <w:adjustRightInd/>
        <w:snapToGrid/>
        <w:spacing w:line="620" w:lineRule="exact"/>
        <w:ind w:firstLine="640" w:firstLineChars="200"/>
        <w:jc w:val="both"/>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color w:val="333333"/>
          <w:sz w:val="32"/>
          <w:szCs w:val="32"/>
          <w:shd w:val="clear" w:color="auto" w:fill="FFFFFF"/>
          <w:lang w:val="en-US" w:eastAsia="zh-CN"/>
        </w:rPr>
        <w:t>城陵矶新</w:t>
      </w:r>
      <w:r>
        <w:rPr>
          <w:rFonts w:hint="eastAsia" w:ascii="CESI仿宋-GB2312" w:hAnsi="CESI仿宋-GB2312" w:eastAsia="CESI仿宋-GB2312" w:cs="CESI仿宋-GB2312"/>
          <w:sz w:val="32"/>
          <w:szCs w:val="32"/>
          <w:lang w:val="en-US" w:eastAsia="zh-CN"/>
        </w:rPr>
        <w:t>港区城乡结合部部分城市基础设施急需升级改造。主要原因为近几年来城市建设发展速度较快，城市配套设施建设没有及时跟上。</w:t>
      </w:r>
    </w:p>
    <w:p w14:paraId="57061EC6">
      <w:pPr>
        <w:keepNext w:val="0"/>
        <w:keepLines w:val="0"/>
        <w:pageBreakBefore w:val="0"/>
        <w:widowControl/>
        <w:numPr>
          <w:ilvl w:val="0"/>
          <w:numId w:val="4"/>
        </w:numPr>
        <w:kinsoku/>
        <w:wordWrap/>
        <w:overflowPunct/>
        <w:topLinePunct w:val="0"/>
        <w:autoSpaceDE/>
        <w:autoSpaceDN/>
        <w:bidi w:val="0"/>
        <w:adjustRightInd/>
        <w:snapToGrid/>
        <w:spacing w:line="620" w:lineRule="exact"/>
        <w:ind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下一步改进措施</w:t>
      </w:r>
    </w:p>
    <w:p w14:paraId="306B913C">
      <w:pPr>
        <w:pStyle w:val="4"/>
        <w:keepNext w:val="0"/>
        <w:keepLines w:val="0"/>
        <w:pageBreakBefore w:val="0"/>
        <w:wordWrap/>
        <w:overflowPunct/>
        <w:topLinePunct w:val="0"/>
        <w:bidi w:val="0"/>
        <w:spacing w:line="620" w:lineRule="exact"/>
        <w:ind w:left="0" w:leftChars="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加强</w:t>
      </w:r>
      <w:r>
        <w:rPr>
          <w:rFonts w:hint="eastAsia" w:ascii="仿宋_GB2312" w:hAnsi="仿宋_GB2312" w:eastAsia="仿宋_GB2312" w:cs="仿宋_GB2312"/>
          <w:color w:val="333333"/>
          <w:sz w:val="32"/>
          <w:szCs w:val="32"/>
          <w:shd w:val="clear" w:color="auto" w:fill="FFFFFF"/>
          <w:lang w:val="en-US" w:eastAsia="zh-CN"/>
        </w:rPr>
        <w:t>城陵矶新</w:t>
      </w:r>
      <w:r>
        <w:rPr>
          <w:rFonts w:hint="eastAsia" w:ascii="仿宋_GB2312" w:hAnsi="仿宋_GB2312" w:eastAsia="仿宋_GB2312" w:cs="仿宋_GB2312"/>
          <w:sz w:val="32"/>
          <w:szCs w:val="32"/>
          <w:lang w:val="en-US" w:eastAsia="zh-CN"/>
        </w:rPr>
        <w:t>港区安排的项目资金管理，强化事前绩效评估，统筹规划合理调配资金投入，进一步提升资金支出绩效。加快城乡结合部配套设施建设，提升</w:t>
      </w:r>
      <w:r>
        <w:rPr>
          <w:rFonts w:hint="eastAsia" w:ascii="仿宋_GB2312" w:hAnsi="仿宋_GB2312" w:eastAsia="仿宋_GB2312" w:cs="仿宋_GB2312"/>
          <w:color w:val="333333"/>
          <w:sz w:val="32"/>
          <w:szCs w:val="32"/>
          <w:shd w:val="clear" w:color="auto" w:fill="FFFFFF"/>
          <w:lang w:val="en-US" w:eastAsia="zh-CN"/>
        </w:rPr>
        <w:t>城陵矶新</w:t>
      </w:r>
      <w:r>
        <w:rPr>
          <w:rFonts w:hint="eastAsia" w:ascii="仿宋_GB2312" w:hAnsi="仿宋_GB2312" w:eastAsia="仿宋_GB2312" w:cs="仿宋_GB2312"/>
          <w:sz w:val="32"/>
          <w:szCs w:val="32"/>
          <w:lang w:val="en-US" w:eastAsia="zh-CN"/>
        </w:rPr>
        <w:t>港区城市整体形象。</w:t>
      </w:r>
    </w:p>
    <w:p w14:paraId="0FBEA607">
      <w:pPr>
        <w:keepNext w:val="0"/>
        <w:keepLines w:val="0"/>
        <w:pageBreakBefore w:val="0"/>
        <w:widowControl/>
        <w:kinsoku/>
        <w:wordWrap/>
        <w:overflowPunct/>
        <w:topLinePunct w:val="0"/>
        <w:autoSpaceDE/>
        <w:autoSpaceDN/>
        <w:bidi w:val="0"/>
        <w:adjustRightInd/>
        <w:snapToGrid/>
        <w:spacing w:line="620" w:lineRule="exact"/>
        <w:ind w:firstLine="640" w:firstLineChars="200"/>
        <w:jc w:val="both"/>
        <w:textAlignment w:val="auto"/>
        <w:rPr>
          <w:rFonts w:hint="eastAsia" w:ascii="Times New Roman" w:hAnsi="Times New Roman" w:eastAsia="黑体" w:cs="Times New Roman"/>
          <w:sz w:val="32"/>
          <w:szCs w:val="32"/>
          <w:lang w:eastAsia="zh-CN"/>
        </w:rPr>
      </w:pPr>
      <w:r>
        <w:rPr>
          <w:rFonts w:hint="eastAsia" w:ascii="Times New Roman" w:hAnsi="Times New Roman" w:eastAsia="黑体" w:cs="Times New Roman"/>
          <w:sz w:val="32"/>
          <w:szCs w:val="32"/>
          <w:lang w:val="en-US" w:eastAsia="zh-CN"/>
        </w:rPr>
        <w:t>七</w:t>
      </w:r>
      <w:r>
        <w:rPr>
          <w:rFonts w:hint="default" w:ascii="Times New Roman" w:hAnsi="Times New Roman" w:eastAsia="黑体" w:cs="Times New Roman"/>
          <w:sz w:val="32"/>
          <w:szCs w:val="32"/>
        </w:rPr>
        <w:t>、部门整体支出绩效自评结果拟应用和公开情况</w:t>
      </w:r>
      <w:r>
        <w:rPr>
          <w:rFonts w:hint="eastAsia" w:ascii="Times New Roman" w:hAnsi="Times New Roman" w:eastAsia="黑体" w:cs="Times New Roman"/>
          <w:sz w:val="32"/>
          <w:szCs w:val="32"/>
          <w:lang w:eastAsia="zh-CN"/>
        </w:rPr>
        <w:t>，</w:t>
      </w:r>
      <w:r>
        <w:rPr>
          <w:rFonts w:hint="eastAsia" w:ascii="Times New Roman" w:hAnsi="Times New Roman" w:eastAsia="黑体" w:cs="Times New Roman"/>
          <w:sz w:val="32"/>
          <w:szCs w:val="32"/>
          <w:lang w:val="en-US" w:eastAsia="zh-CN"/>
        </w:rPr>
        <w:t>以及</w:t>
      </w:r>
      <w:r>
        <w:rPr>
          <w:rFonts w:hint="default" w:ascii="Times New Roman" w:hAnsi="Times New Roman" w:eastAsia="黑体" w:cs="Times New Roman"/>
          <w:sz w:val="32"/>
          <w:szCs w:val="32"/>
        </w:rPr>
        <w:t>其他需要说明的情况</w:t>
      </w:r>
      <w:r>
        <w:rPr>
          <w:rFonts w:hint="eastAsia" w:ascii="Times New Roman" w:hAnsi="Times New Roman" w:eastAsia="黑体" w:cs="Times New Roman"/>
          <w:sz w:val="32"/>
          <w:szCs w:val="32"/>
          <w:lang w:eastAsia="zh-CN"/>
        </w:rPr>
        <w:t>。</w:t>
      </w:r>
    </w:p>
    <w:p w14:paraId="36B59540">
      <w:pPr>
        <w:pStyle w:val="4"/>
        <w:keepNext w:val="0"/>
        <w:keepLines w:val="0"/>
        <w:pageBreakBefore w:val="0"/>
        <w:wordWrap/>
        <w:overflowPunct/>
        <w:topLinePunct w:val="0"/>
        <w:bidi w:val="0"/>
        <w:spacing w:line="620" w:lineRule="exact"/>
        <w:ind w:left="0" w:leftChars="0" w:firstLine="640" w:firstLineChars="200"/>
        <w:jc w:val="left"/>
        <w:rPr>
          <w:rFonts w:hint="default" w:eastAsia="仿宋_GB2312"/>
          <w:sz w:val="32"/>
          <w:szCs w:val="32"/>
          <w:lang w:val="en-US" w:eastAsia="zh-CN"/>
        </w:rPr>
      </w:pPr>
      <w:r>
        <w:rPr>
          <w:rFonts w:hint="eastAsia" w:ascii="仿宋_GB2312" w:hAnsi="仿宋_GB2312" w:eastAsia="仿宋_GB2312" w:cs="仿宋_GB2312"/>
          <w:b w:val="0"/>
          <w:bCs w:val="0"/>
          <w:sz w:val="32"/>
          <w:szCs w:val="32"/>
        </w:rPr>
        <w:t>部门整体支出绩效自评结果</w:t>
      </w:r>
      <w:r>
        <w:rPr>
          <w:rFonts w:hint="eastAsia" w:ascii="仿宋_GB2312" w:hAnsi="仿宋_GB2312" w:eastAsia="仿宋_GB2312" w:cs="仿宋_GB2312"/>
          <w:b w:val="0"/>
          <w:bCs w:val="0"/>
          <w:sz w:val="32"/>
          <w:szCs w:val="32"/>
          <w:lang w:val="en-US" w:eastAsia="zh-CN"/>
        </w:rPr>
        <w:t>将作为完善本单位相关制度，改进资金管理的重要依据，同时也将作为单位内部工作总结的参考依据。本单位的预算绩效目标、预算、决算及绩效评价均按相关规定及时在市城管局门户网站进行了公开，</w:t>
      </w:r>
      <w:r>
        <w:rPr>
          <w:rFonts w:hint="eastAsia" w:ascii="仿宋_GB2312" w:hAnsi="仿宋_GB2312" w:eastAsia="仿宋_GB2312" w:cs="仿宋_GB2312"/>
          <w:kern w:val="0"/>
          <w:sz w:val="32"/>
          <w:szCs w:val="32"/>
        </w:rPr>
        <w:t>公开信息基础数据信息和会计信息资料准确、真实、完整</w:t>
      </w:r>
      <w:r>
        <w:rPr>
          <w:rFonts w:hint="eastAsia" w:ascii="仿宋_GB2312" w:hAnsi="仿宋_GB2312" w:eastAsia="仿宋_GB2312" w:cs="仿宋_GB2312"/>
          <w:kern w:val="0"/>
          <w:sz w:val="32"/>
          <w:szCs w:val="32"/>
          <w:lang w:eastAsia="zh-CN"/>
        </w:rPr>
        <w:t>，无</w:t>
      </w:r>
      <w:r>
        <w:rPr>
          <w:rFonts w:hint="eastAsia" w:ascii="CESI仿宋-GB2312" w:hAnsi="CESI仿宋-GB2312" w:eastAsia="CESI仿宋-GB2312" w:cs="CESI仿宋-GB2312"/>
          <w:sz w:val="32"/>
          <w:szCs w:val="32"/>
        </w:rPr>
        <w:t>其他需要说明的情况</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 xml:space="preserve">      </w:t>
      </w:r>
    </w:p>
    <w:p w14:paraId="691DD2F1">
      <w:pPr>
        <w:keepNext w:val="0"/>
        <w:keepLines w:val="0"/>
        <w:pageBreakBefore w:val="0"/>
        <w:widowControl/>
        <w:kinsoku/>
        <w:wordWrap/>
        <w:overflowPunct/>
        <w:topLinePunct w:val="0"/>
        <w:autoSpaceDE/>
        <w:autoSpaceDN/>
        <w:bidi w:val="0"/>
        <w:adjustRightInd/>
        <w:snapToGrid/>
        <w:spacing w:line="620" w:lineRule="exact"/>
        <w:jc w:val="both"/>
        <w:textAlignment w:val="auto"/>
        <w:rPr>
          <w:rFonts w:hint="eastAsia" w:ascii="仿宋_GB2312" w:hAnsi="仿宋_GB2312" w:eastAsia="仿宋_GB2312" w:cs="仿宋_GB2312"/>
          <w:sz w:val="32"/>
          <w:szCs w:val="32"/>
        </w:rPr>
      </w:pPr>
    </w:p>
    <w:p w14:paraId="3BBF2C16">
      <w:pPr>
        <w:pStyle w:val="3"/>
        <w:keepNext w:val="0"/>
        <w:keepLines w:val="0"/>
        <w:pageBreakBefore w:val="0"/>
        <w:wordWrap/>
        <w:overflowPunct/>
        <w:topLinePunct w:val="0"/>
        <w:bidi w:val="0"/>
        <w:spacing w:line="620" w:lineRule="exact"/>
        <w:rPr>
          <w:rFonts w:hint="eastAsia"/>
        </w:rPr>
      </w:pPr>
    </w:p>
    <w:p w14:paraId="08873254">
      <w:pPr>
        <w:keepNext w:val="0"/>
        <w:keepLines w:val="0"/>
        <w:pageBreakBefore w:val="0"/>
        <w:widowControl/>
        <w:kinsoku/>
        <w:wordWrap/>
        <w:overflowPunct/>
        <w:topLinePunct w:val="0"/>
        <w:autoSpaceDE/>
        <w:autoSpaceDN/>
        <w:bidi w:val="0"/>
        <w:adjustRightInd/>
        <w:snapToGrid/>
        <w:spacing w:line="62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部门整体支出绩效评价基础数据表</w:t>
      </w:r>
    </w:p>
    <w:p w14:paraId="2B0AB712">
      <w:pPr>
        <w:keepNext w:val="0"/>
        <w:keepLines w:val="0"/>
        <w:pageBreakBefore w:val="0"/>
        <w:widowControl/>
        <w:kinsoku/>
        <w:wordWrap/>
        <w:overflowPunct/>
        <w:topLinePunct w:val="0"/>
        <w:autoSpaceDE/>
        <w:autoSpaceDN/>
        <w:bidi w:val="0"/>
        <w:adjustRightInd/>
        <w:snapToGrid/>
        <w:spacing w:line="620" w:lineRule="exact"/>
        <w:ind w:firstLine="960" w:firstLineChars="3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部门整体支出绩效自评表</w:t>
      </w:r>
    </w:p>
    <w:p w14:paraId="7C37D7DF">
      <w:pPr>
        <w:keepNext w:val="0"/>
        <w:keepLines w:val="0"/>
        <w:pageBreakBefore w:val="0"/>
        <w:wordWrap/>
        <w:overflowPunct/>
        <w:topLinePunct w:val="0"/>
        <w:bidi w:val="0"/>
        <w:spacing w:after="120" w:afterLines="50" w:line="620" w:lineRule="exact"/>
        <w:jc w:val="left"/>
        <w:rPr>
          <w:rFonts w:hint="eastAsia" w:ascii="仿宋_GB2312" w:hAnsi="仿宋_GB2312" w:eastAsia="仿宋_GB2312" w:cs="仿宋_GB2312"/>
          <w:sz w:val="32"/>
          <w:szCs w:val="32"/>
        </w:rPr>
      </w:pPr>
    </w:p>
    <w:p w14:paraId="67A6DCCD">
      <w:pPr>
        <w:pStyle w:val="3"/>
        <w:keepNext w:val="0"/>
        <w:keepLines w:val="0"/>
        <w:pageBreakBefore w:val="0"/>
        <w:wordWrap/>
        <w:overflowPunct/>
        <w:topLinePunct w:val="0"/>
        <w:bidi w:val="0"/>
        <w:spacing w:line="620" w:lineRule="exact"/>
        <w:rPr>
          <w:rFonts w:hint="eastAsia"/>
        </w:rPr>
      </w:pPr>
    </w:p>
    <w:p w14:paraId="22BF0ACF">
      <w:pPr>
        <w:keepNext w:val="0"/>
        <w:keepLines w:val="0"/>
        <w:pageBreakBefore w:val="0"/>
        <w:wordWrap/>
        <w:overflowPunct/>
        <w:topLinePunct w:val="0"/>
        <w:bidi w:val="0"/>
        <w:spacing w:after="120" w:afterLines="50" w:line="620" w:lineRule="exact"/>
        <w:ind w:firstLine="640" w:firstLineChars="200"/>
        <w:jc w:val="righ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岳阳市城市管理和综合执法局湖南城陵矶新港区分局</w:t>
      </w:r>
    </w:p>
    <w:p w14:paraId="108EB195">
      <w:pPr>
        <w:keepNext w:val="0"/>
        <w:keepLines w:val="0"/>
        <w:pageBreakBefore w:val="0"/>
        <w:widowControl w:val="0"/>
        <w:kinsoku/>
        <w:wordWrap/>
        <w:overflowPunct/>
        <w:topLinePunct w:val="0"/>
        <w:autoSpaceDE/>
        <w:autoSpaceDN/>
        <w:bidi w:val="0"/>
        <w:adjustRightInd/>
        <w:snapToGrid/>
        <w:spacing w:afterLines="0" w:line="6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2026年6月23日</w:t>
      </w:r>
    </w:p>
    <w:p w14:paraId="19E54549">
      <w:pPr>
        <w:pStyle w:val="3"/>
        <w:rPr>
          <w:rFonts w:hint="eastAsia" w:ascii="仿宋_GB2312" w:hAnsi="仿宋_GB2312" w:eastAsia="仿宋_GB2312" w:cs="仿宋_GB2312"/>
          <w:sz w:val="32"/>
          <w:szCs w:val="32"/>
          <w:lang w:val="en-US" w:eastAsia="zh-CN"/>
        </w:rPr>
      </w:pPr>
    </w:p>
    <w:p w14:paraId="552710E7">
      <w:pPr>
        <w:pStyle w:val="4"/>
        <w:rPr>
          <w:rFonts w:hint="eastAsia"/>
          <w:lang w:eastAsia="zh-CN"/>
        </w:rPr>
      </w:pPr>
    </w:p>
    <w:p w14:paraId="745BA221">
      <w:pPr>
        <w:rPr>
          <w:rFonts w:hint="eastAsia"/>
          <w:lang w:eastAsia="zh-CN"/>
        </w:rPr>
      </w:pPr>
    </w:p>
    <w:p w14:paraId="6486B8A2">
      <w:pPr>
        <w:pStyle w:val="3"/>
        <w:rPr>
          <w:rFonts w:hint="eastAsia"/>
          <w:lang w:eastAsia="zh-CN"/>
        </w:rPr>
      </w:pPr>
    </w:p>
    <w:p w14:paraId="38D15CDB">
      <w:pPr>
        <w:keepNext w:val="0"/>
        <w:keepLines w:val="0"/>
        <w:pageBreakBefore w:val="0"/>
        <w:widowControl w:val="0"/>
        <w:kinsoku/>
        <w:wordWrap/>
        <w:overflowPunct/>
        <w:topLinePunct w:val="0"/>
        <w:autoSpaceDE/>
        <w:autoSpaceDN/>
        <w:bidi w:val="0"/>
        <w:adjustRightInd/>
        <w:snapToGrid/>
        <w:spacing w:afterLines="0" w:line="600" w:lineRule="exact"/>
        <w:jc w:val="both"/>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eastAsia="zh-CN"/>
        </w:rPr>
        <w:t>附件</w:t>
      </w:r>
      <w:r>
        <w:rPr>
          <w:rFonts w:hint="eastAsia" w:ascii="黑体" w:hAnsi="黑体" w:eastAsia="黑体" w:cs="黑体"/>
          <w:sz w:val="32"/>
          <w:szCs w:val="32"/>
          <w:highlight w:val="none"/>
          <w:lang w:val="en-US" w:eastAsia="zh-CN"/>
        </w:rPr>
        <w:t>1</w:t>
      </w:r>
    </w:p>
    <w:p w14:paraId="2BFD4442">
      <w:pPr>
        <w:spacing w:after="120" w:afterLines="50" w:line="600" w:lineRule="exact"/>
        <w:jc w:val="center"/>
        <w:rPr>
          <w:rFonts w:hint="eastAsia" w:ascii="方正小标宋简体" w:hAnsi="方正小标宋简体" w:eastAsia="方正小标宋简体" w:cs="方正小标宋简体"/>
          <w:sz w:val="24"/>
          <w:highlight w:val="none"/>
        </w:rPr>
      </w:pPr>
      <w:r>
        <w:rPr>
          <w:rFonts w:hint="eastAsia" w:ascii="方正小标宋简体" w:hAnsi="方正小标宋简体" w:eastAsia="方正小标宋简体" w:cs="方正小标宋简体"/>
          <w:sz w:val="36"/>
          <w:szCs w:val="36"/>
          <w:highlight w:val="none"/>
        </w:rPr>
        <w:t>202</w:t>
      </w:r>
      <w:r>
        <w:rPr>
          <w:rFonts w:hint="eastAsia" w:ascii="方正小标宋简体" w:hAnsi="方正小标宋简体" w:eastAsia="方正小标宋简体" w:cs="方正小标宋简体"/>
          <w:sz w:val="36"/>
          <w:szCs w:val="36"/>
          <w:highlight w:val="none"/>
          <w:lang w:val="en-US" w:eastAsia="zh-CN"/>
        </w:rPr>
        <w:t>5</w:t>
      </w:r>
      <w:r>
        <w:rPr>
          <w:rFonts w:hint="eastAsia" w:ascii="方正小标宋简体" w:hAnsi="方正小标宋简体" w:eastAsia="方正小标宋简体" w:cs="方正小标宋简体"/>
          <w:sz w:val="36"/>
          <w:szCs w:val="36"/>
          <w:highlight w:val="none"/>
        </w:rPr>
        <w:t>年度部门整体支出绩效评价基础数据表</w:t>
      </w:r>
    </w:p>
    <w:tbl>
      <w:tblPr>
        <w:tblStyle w:val="8"/>
        <w:tblW w:w="9673" w:type="dxa"/>
        <w:jc w:val="center"/>
        <w:tblLayout w:type="fixed"/>
        <w:tblCellMar>
          <w:top w:w="0" w:type="dxa"/>
          <w:left w:w="108" w:type="dxa"/>
          <w:bottom w:w="0" w:type="dxa"/>
          <w:right w:w="108" w:type="dxa"/>
        </w:tblCellMar>
      </w:tblPr>
      <w:tblGrid>
        <w:gridCol w:w="3354"/>
        <w:gridCol w:w="1189"/>
        <w:gridCol w:w="849"/>
        <w:gridCol w:w="1129"/>
        <w:gridCol w:w="1111"/>
        <w:gridCol w:w="1081"/>
        <w:gridCol w:w="960"/>
      </w:tblGrid>
      <w:tr w14:paraId="09AC96FC">
        <w:tblPrEx>
          <w:tblCellMar>
            <w:top w:w="0" w:type="dxa"/>
            <w:left w:w="108" w:type="dxa"/>
            <w:bottom w:w="0" w:type="dxa"/>
            <w:right w:w="108" w:type="dxa"/>
          </w:tblCellMar>
        </w:tblPrEx>
        <w:trPr>
          <w:trHeight w:val="0" w:hRule="atLeast"/>
          <w:jc w:val="center"/>
        </w:trPr>
        <w:tc>
          <w:tcPr>
            <w:tcW w:w="3354" w:type="dxa"/>
            <w:vMerge w:val="restart"/>
            <w:tcBorders>
              <w:top w:val="single" w:color="auto" w:sz="4" w:space="0"/>
              <w:left w:val="single" w:color="auto" w:sz="4" w:space="0"/>
              <w:bottom w:val="single" w:color="auto" w:sz="4" w:space="0"/>
              <w:right w:val="single" w:color="auto" w:sz="4" w:space="0"/>
            </w:tcBorders>
            <w:noWrap w:val="0"/>
            <w:vAlign w:val="center"/>
          </w:tcPr>
          <w:p w14:paraId="1ABC3CAF">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财政供养人员情况（人）</w:t>
            </w:r>
          </w:p>
        </w:tc>
        <w:tc>
          <w:tcPr>
            <w:tcW w:w="2038" w:type="dxa"/>
            <w:gridSpan w:val="2"/>
            <w:tcBorders>
              <w:top w:val="single" w:color="auto" w:sz="4" w:space="0"/>
              <w:left w:val="nil"/>
              <w:bottom w:val="single" w:color="auto" w:sz="4" w:space="0"/>
              <w:right w:val="single" w:color="auto" w:sz="4" w:space="0"/>
            </w:tcBorders>
            <w:noWrap w:val="0"/>
            <w:vAlign w:val="center"/>
          </w:tcPr>
          <w:p w14:paraId="0B9CECD7">
            <w:pPr>
              <w:widowControl/>
              <w:spacing w:line="360" w:lineRule="exact"/>
              <w:jc w:val="center"/>
              <w:rPr>
                <w:rFonts w:hint="eastAsia" w:ascii="仿宋_GB2312" w:hAnsi="仿宋_GB2312" w:eastAsia="仿宋_GB2312" w:cs="仿宋_GB2312"/>
                <w:b/>
                <w:bCs/>
                <w:sz w:val="20"/>
                <w:szCs w:val="20"/>
                <w:highlight w:val="none"/>
              </w:rPr>
            </w:pPr>
            <w:r>
              <w:rPr>
                <w:rFonts w:hint="eastAsia" w:ascii="仿宋_GB2312" w:hAnsi="仿宋_GB2312" w:eastAsia="仿宋_GB2312" w:cs="仿宋_GB2312"/>
                <w:b/>
                <w:bCs/>
                <w:sz w:val="20"/>
                <w:szCs w:val="20"/>
                <w:highlight w:val="none"/>
              </w:rPr>
              <w:t>编制数</w:t>
            </w:r>
          </w:p>
        </w:tc>
        <w:tc>
          <w:tcPr>
            <w:tcW w:w="2240" w:type="dxa"/>
            <w:gridSpan w:val="2"/>
            <w:tcBorders>
              <w:top w:val="single" w:color="auto" w:sz="4" w:space="0"/>
              <w:left w:val="nil"/>
              <w:bottom w:val="single" w:color="auto" w:sz="4" w:space="0"/>
              <w:right w:val="single" w:color="auto" w:sz="4" w:space="0"/>
            </w:tcBorders>
            <w:noWrap w:val="0"/>
            <w:vAlign w:val="center"/>
          </w:tcPr>
          <w:p w14:paraId="6CD5EE61">
            <w:pPr>
              <w:widowControl/>
              <w:spacing w:line="360" w:lineRule="exact"/>
              <w:jc w:val="center"/>
              <w:rPr>
                <w:rFonts w:hint="eastAsia" w:ascii="仿宋_GB2312" w:hAnsi="仿宋_GB2312" w:eastAsia="仿宋_GB2312" w:cs="仿宋_GB2312"/>
                <w:b/>
                <w:bCs/>
                <w:sz w:val="20"/>
                <w:szCs w:val="20"/>
                <w:highlight w:val="none"/>
              </w:rPr>
            </w:pPr>
            <w:r>
              <w:rPr>
                <w:rFonts w:hint="eastAsia" w:ascii="仿宋_GB2312" w:hAnsi="仿宋_GB2312" w:eastAsia="仿宋_GB2312" w:cs="仿宋_GB2312"/>
                <w:b/>
                <w:bCs/>
                <w:sz w:val="20"/>
                <w:szCs w:val="20"/>
                <w:highlight w:val="none"/>
              </w:rPr>
              <w:t>202</w:t>
            </w:r>
            <w:r>
              <w:rPr>
                <w:rFonts w:hint="default" w:ascii="仿宋_GB2312" w:hAnsi="仿宋_GB2312" w:eastAsia="仿宋_GB2312" w:cs="仿宋_GB2312"/>
                <w:b/>
                <w:bCs/>
                <w:sz w:val="20"/>
                <w:szCs w:val="20"/>
                <w:highlight w:val="none"/>
                <w:lang w:val="en"/>
              </w:rPr>
              <w:t>4</w:t>
            </w:r>
            <w:r>
              <w:rPr>
                <w:rFonts w:hint="eastAsia" w:ascii="仿宋_GB2312" w:hAnsi="仿宋_GB2312" w:eastAsia="仿宋_GB2312" w:cs="仿宋_GB2312"/>
                <w:b/>
                <w:bCs/>
                <w:sz w:val="20"/>
                <w:szCs w:val="20"/>
                <w:highlight w:val="none"/>
              </w:rPr>
              <w:t>年实际在职人数</w:t>
            </w:r>
          </w:p>
        </w:tc>
        <w:tc>
          <w:tcPr>
            <w:tcW w:w="2041" w:type="dxa"/>
            <w:gridSpan w:val="2"/>
            <w:tcBorders>
              <w:top w:val="single" w:color="auto" w:sz="4" w:space="0"/>
              <w:left w:val="nil"/>
              <w:bottom w:val="single" w:color="auto" w:sz="4" w:space="0"/>
              <w:right w:val="single" w:color="auto" w:sz="4" w:space="0"/>
            </w:tcBorders>
            <w:noWrap w:val="0"/>
            <w:vAlign w:val="center"/>
          </w:tcPr>
          <w:p w14:paraId="675EF746">
            <w:pPr>
              <w:widowControl/>
              <w:spacing w:line="360" w:lineRule="exact"/>
              <w:jc w:val="center"/>
              <w:rPr>
                <w:rFonts w:hint="eastAsia" w:ascii="仿宋_GB2312" w:hAnsi="仿宋_GB2312" w:eastAsia="仿宋_GB2312" w:cs="仿宋_GB2312"/>
                <w:b/>
                <w:bCs/>
                <w:sz w:val="20"/>
                <w:szCs w:val="20"/>
                <w:highlight w:val="none"/>
              </w:rPr>
            </w:pPr>
            <w:r>
              <w:rPr>
                <w:rFonts w:hint="eastAsia" w:ascii="仿宋_GB2312" w:hAnsi="仿宋_GB2312" w:eastAsia="仿宋_GB2312" w:cs="仿宋_GB2312"/>
                <w:b/>
                <w:bCs/>
                <w:sz w:val="20"/>
                <w:szCs w:val="20"/>
                <w:highlight w:val="none"/>
              </w:rPr>
              <w:t>控制率</w:t>
            </w:r>
          </w:p>
        </w:tc>
      </w:tr>
      <w:tr w14:paraId="4D55C09A">
        <w:tblPrEx>
          <w:tblCellMar>
            <w:top w:w="0" w:type="dxa"/>
            <w:left w:w="108" w:type="dxa"/>
            <w:bottom w:w="0" w:type="dxa"/>
            <w:right w:w="108" w:type="dxa"/>
          </w:tblCellMar>
        </w:tblPrEx>
        <w:trPr>
          <w:trHeight w:val="0" w:hRule="atLeast"/>
          <w:jc w:val="center"/>
        </w:trPr>
        <w:tc>
          <w:tcPr>
            <w:tcW w:w="3354" w:type="dxa"/>
            <w:vMerge w:val="continue"/>
            <w:tcBorders>
              <w:top w:val="single" w:color="auto" w:sz="4" w:space="0"/>
              <w:left w:val="single" w:color="auto" w:sz="4" w:space="0"/>
              <w:bottom w:val="single" w:color="auto" w:sz="4" w:space="0"/>
              <w:right w:val="single" w:color="auto" w:sz="4" w:space="0"/>
            </w:tcBorders>
            <w:noWrap w:val="0"/>
            <w:vAlign w:val="center"/>
          </w:tcPr>
          <w:p w14:paraId="2D3E7E4C">
            <w:pPr>
              <w:widowControl/>
              <w:spacing w:line="360" w:lineRule="exact"/>
              <w:jc w:val="left"/>
              <w:rPr>
                <w:rFonts w:hint="eastAsia" w:ascii="仿宋_GB2312" w:hAnsi="仿宋_GB2312" w:eastAsia="仿宋_GB2312" w:cs="仿宋_GB2312"/>
                <w:sz w:val="20"/>
                <w:szCs w:val="20"/>
                <w:highlight w:val="none"/>
              </w:rPr>
            </w:pPr>
          </w:p>
        </w:tc>
        <w:tc>
          <w:tcPr>
            <w:tcW w:w="2038" w:type="dxa"/>
            <w:gridSpan w:val="2"/>
            <w:tcBorders>
              <w:top w:val="single" w:color="auto" w:sz="4" w:space="0"/>
              <w:left w:val="nil"/>
              <w:bottom w:val="single" w:color="auto" w:sz="4" w:space="0"/>
              <w:right w:val="single" w:color="auto" w:sz="4" w:space="0"/>
            </w:tcBorders>
            <w:noWrap w:val="0"/>
            <w:vAlign w:val="center"/>
          </w:tcPr>
          <w:p w14:paraId="0D4DE249">
            <w:pPr>
              <w:widowControl/>
              <w:spacing w:line="360" w:lineRule="exact"/>
              <w:jc w:val="center"/>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rPr>
              <w:t>　</w:t>
            </w:r>
            <w:r>
              <w:rPr>
                <w:rFonts w:hint="default" w:ascii="仿宋_GB2312" w:hAnsi="仿宋_GB2312" w:eastAsia="仿宋_GB2312" w:cs="仿宋_GB2312"/>
                <w:sz w:val="20"/>
                <w:szCs w:val="20"/>
                <w:highlight w:val="none"/>
                <w:lang w:val="en"/>
              </w:rPr>
              <w:t>2</w:t>
            </w:r>
            <w:r>
              <w:rPr>
                <w:rFonts w:hint="eastAsia" w:ascii="仿宋_GB2312" w:hAnsi="仿宋_GB2312" w:eastAsia="仿宋_GB2312" w:cs="仿宋_GB2312"/>
                <w:sz w:val="20"/>
                <w:szCs w:val="20"/>
                <w:highlight w:val="none"/>
                <w:lang w:val="en-US" w:eastAsia="zh-CN"/>
              </w:rPr>
              <w:t>3</w:t>
            </w:r>
          </w:p>
        </w:tc>
        <w:tc>
          <w:tcPr>
            <w:tcW w:w="2240" w:type="dxa"/>
            <w:gridSpan w:val="2"/>
            <w:tcBorders>
              <w:top w:val="single" w:color="auto" w:sz="4" w:space="0"/>
              <w:left w:val="nil"/>
              <w:bottom w:val="single" w:color="auto" w:sz="4" w:space="0"/>
              <w:right w:val="single" w:color="auto" w:sz="4" w:space="0"/>
            </w:tcBorders>
            <w:noWrap w:val="0"/>
            <w:vAlign w:val="center"/>
          </w:tcPr>
          <w:p w14:paraId="32A195C2">
            <w:pPr>
              <w:widowControl/>
              <w:spacing w:line="360" w:lineRule="exact"/>
              <w:jc w:val="center"/>
              <w:rPr>
                <w:rFonts w:hint="eastAsia" w:ascii="仿宋_GB2312" w:hAnsi="仿宋_GB2312" w:eastAsia="仿宋_GB2312" w:cs="仿宋_GB2312"/>
                <w:sz w:val="20"/>
                <w:szCs w:val="20"/>
                <w:highlight w:val="none"/>
                <w:lang w:val="en-US" w:eastAsia="zh-CN"/>
              </w:rPr>
            </w:pPr>
            <w:r>
              <w:rPr>
                <w:rFonts w:hint="default" w:ascii="仿宋_GB2312" w:hAnsi="仿宋_GB2312" w:eastAsia="仿宋_GB2312" w:cs="仿宋_GB2312"/>
                <w:sz w:val="20"/>
                <w:szCs w:val="20"/>
                <w:highlight w:val="none"/>
                <w:lang w:val="en"/>
              </w:rPr>
              <w:t>2</w:t>
            </w:r>
            <w:r>
              <w:rPr>
                <w:rFonts w:hint="eastAsia" w:ascii="仿宋_GB2312" w:hAnsi="仿宋_GB2312" w:eastAsia="仿宋_GB2312" w:cs="仿宋_GB2312"/>
                <w:sz w:val="20"/>
                <w:szCs w:val="20"/>
                <w:highlight w:val="none"/>
                <w:lang w:val="en-US" w:eastAsia="zh-CN"/>
              </w:rPr>
              <w:t>1</w:t>
            </w:r>
          </w:p>
        </w:tc>
        <w:tc>
          <w:tcPr>
            <w:tcW w:w="2041" w:type="dxa"/>
            <w:gridSpan w:val="2"/>
            <w:tcBorders>
              <w:top w:val="single" w:color="auto" w:sz="4" w:space="0"/>
              <w:left w:val="nil"/>
              <w:bottom w:val="single" w:color="auto" w:sz="4" w:space="0"/>
              <w:right w:val="single" w:color="auto" w:sz="4" w:space="0"/>
            </w:tcBorders>
            <w:noWrap w:val="0"/>
            <w:vAlign w:val="center"/>
          </w:tcPr>
          <w:p w14:paraId="20C5945B">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lang w:val="en-US" w:eastAsia="zh-CN"/>
              </w:rPr>
              <w:t>91.30</w:t>
            </w:r>
            <w:r>
              <w:rPr>
                <w:rFonts w:hint="default" w:ascii="仿宋_GB2312" w:hAnsi="仿宋_GB2312" w:eastAsia="仿宋_GB2312" w:cs="仿宋_GB2312"/>
                <w:sz w:val="20"/>
                <w:szCs w:val="20"/>
                <w:highlight w:val="none"/>
                <w:lang w:val="en"/>
              </w:rPr>
              <w:t>%</w:t>
            </w:r>
            <w:r>
              <w:rPr>
                <w:rFonts w:hint="eastAsia" w:ascii="仿宋_GB2312" w:hAnsi="仿宋_GB2312" w:eastAsia="仿宋_GB2312" w:cs="仿宋_GB2312"/>
                <w:sz w:val="20"/>
                <w:szCs w:val="20"/>
                <w:highlight w:val="none"/>
              </w:rPr>
              <w:t>　</w:t>
            </w:r>
          </w:p>
        </w:tc>
      </w:tr>
      <w:tr w14:paraId="53C7F250">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29127B40">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经费控制情况（万元）</w:t>
            </w:r>
          </w:p>
        </w:tc>
        <w:tc>
          <w:tcPr>
            <w:tcW w:w="2038" w:type="dxa"/>
            <w:gridSpan w:val="2"/>
            <w:tcBorders>
              <w:top w:val="single" w:color="auto" w:sz="4" w:space="0"/>
              <w:left w:val="nil"/>
              <w:bottom w:val="single" w:color="auto" w:sz="4" w:space="0"/>
              <w:right w:val="single" w:color="000000" w:sz="4" w:space="0"/>
            </w:tcBorders>
            <w:noWrap w:val="0"/>
            <w:vAlign w:val="center"/>
          </w:tcPr>
          <w:p w14:paraId="7DE79BB0">
            <w:pPr>
              <w:widowControl/>
              <w:spacing w:line="360" w:lineRule="exact"/>
              <w:jc w:val="center"/>
              <w:rPr>
                <w:rFonts w:hint="eastAsia" w:ascii="仿宋_GB2312" w:hAnsi="仿宋_GB2312" w:eastAsia="仿宋_GB2312" w:cs="仿宋_GB2312"/>
                <w:b/>
                <w:bCs/>
                <w:sz w:val="20"/>
                <w:szCs w:val="20"/>
                <w:highlight w:val="none"/>
              </w:rPr>
            </w:pPr>
            <w:r>
              <w:rPr>
                <w:rFonts w:hint="eastAsia" w:ascii="仿宋_GB2312" w:hAnsi="仿宋_GB2312" w:eastAsia="仿宋_GB2312" w:cs="仿宋_GB2312"/>
                <w:b/>
                <w:bCs/>
                <w:sz w:val="20"/>
                <w:szCs w:val="20"/>
                <w:highlight w:val="none"/>
              </w:rPr>
              <w:t>202</w:t>
            </w:r>
            <w:r>
              <w:rPr>
                <w:rFonts w:hint="eastAsia" w:ascii="仿宋_GB2312" w:hAnsi="仿宋_GB2312" w:eastAsia="仿宋_GB2312" w:cs="仿宋_GB2312"/>
                <w:b/>
                <w:bCs/>
                <w:sz w:val="20"/>
                <w:szCs w:val="20"/>
                <w:highlight w:val="none"/>
                <w:lang w:val="en-US" w:eastAsia="zh-CN"/>
              </w:rPr>
              <w:t>4</w:t>
            </w:r>
            <w:r>
              <w:rPr>
                <w:rFonts w:hint="eastAsia" w:ascii="仿宋_GB2312" w:hAnsi="仿宋_GB2312" w:eastAsia="仿宋_GB2312" w:cs="仿宋_GB2312"/>
                <w:b/>
                <w:bCs/>
                <w:sz w:val="20"/>
                <w:szCs w:val="20"/>
                <w:highlight w:val="none"/>
              </w:rPr>
              <w:t>年决算数</w:t>
            </w:r>
          </w:p>
        </w:tc>
        <w:tc>
          <w:tcPr>
            <w:tcW w:w="2240" w:type="dxa"/>
            <w:gridSpan w:val="2"/>
            <w:tcBorders>
              <w:top w:val="single" w:color="auto" w:sz="4" w:space="0"/>
              <w:left w:val="nil"/>
              <w:bottom w:val="single" w:color="auto" w:sz="4" w:space="0"/>
              <w:right w:val="single" w:color="000000" w:sz="4" w:space="0"/>
            </w:tcBorders>
            <w:noWrap w:val="0"/>
            <w:vAlign w:val="center"/>
          </w:tcPr>
          <w:p w14:paraId="3A51E01C">
            <w:pPr>
              <w:widowControl/>
              <w:spacing w:line="360" w:lineRule="exact"/>
              <w:jc w:val="center"/>
              <w:rPr>
                <w:rFonts w:hint="eastAsia" w:ascii="仿宋_GB2312" w:hAnsi="仿宋_GB2312" w:eastAsia="仿宋_GB2312" w:cs="仿宋_GB2312"/>
                <w:b/>
                <w:bCs/>
                <w:sz w:val="20"/>
                <w:szCs w:val="20"/>
                <w:highlight w:val="none"/>
              </w:rPr>
            </w:pPr>
            <w:r>
              <w:rPr>
                <w:rFonts w:hint="eastAsia" w:ascii="仿宋_GB2312" w:hAnsi="仿宋_GB2312" w:eastAsia="仿宋_GB2312" w:cs="仿宋_GB2312"/>
                <w:b/>
                <w:bCs/>
                <w:sz w:val="20"/>
                <w:szCs w:val="20"/>
                <w:highlight w:val="none"/>
              </w:rPr>
              <w:t>202</w:t>
            </w:r>
            <w:r>
              <w:rPr>
                <w:rFonts w:hint="eastAsia" w:ascii="仿宋_GB2312" w:hAnsi="仿宋_GB2312" w:eastAsia="仿宋_GB2312" w:cs="仿宋_GB2312"/>
                <w:b/>
                <w:bCs/>
                <w:sz w:val="20"/>
                <w:szCs w:val="20"/>
                <w:highlight w:val="none"/>
                <w:lang w:val="en-US" w:eastAsia="zh-CN"/>
              </w:rPr>
              <w:t>5</w:t>
            </w:r>
            <w:r>
              <w:rPr>
                <w:rFonts w:hint="eastAsia" w:ascii="仿宋_GB2312" w:hAnsi="仿宋_GB2312" w:eastAsia="仿宋_GB2312" w:cs="仿宋_GB2312"/>
                <w:b/>
                <w:bCs/>
                <w:sz w:val="20"/>
                <w:szCs w:val="20"/>
                <w:highlight w:val="none"/>
              </w:rPr>
              <w:t>年预算数</w:t>
            </w:r>
          </w:p>
        </w:tc>
        <w:tc>
          <w:tcPr>
            <w:tcW w:w="2041" w:type="dxa"/>
            <w:gridSpan w:val="2"/>
            <w:tcBorders>
              <w:top w:val="single" w:color="auto" w:sz="4" w:space="0"/>
              <w:left w:val="nil"/>
              <w:bottom w:val="single" w:color="auto" w:sz="4" w:space="0"/>
              <w:right w:val="single" w:color="000000" w:sz="4" w:space="0"/>
            </w:tcBorders>
            <w:noWrap w:val="0"/>
            <w:vAlign w:val="center"/>
          </w:tcPr>
          <w:p w14:paraId="6A4EE7C1">
            <w:pPr>
              <w:widowControl/>
              <w:spacing w:line="360" w:lineRule="exact"/>
              <w:jc w:val="center"/>
              <w:rPr>
                <w:rFonts w:hint="eastAsia" w:ascii="仿宋_GB2312" w:hAnsi="仿宋_GB2312" w:eastAsia="仿宋_GB2312" w:cs="仿宋_GB2312"/>
                <w:b/>
                <w:bCs/>
                <w:sz w:val="20"/>
                <w:szCs w:val="20"/>
                <w:highlight w:val="none"/>
              </w:rPr>
            </w:pPr>
            <w:r>
              <w:rPr>
                <w:rFonts w:hint="eastAsia" w:ascii="仿宋_GB2312" w:hAnsi="仿宋_GB2312" w:eastAsia="仿宋_GB2312" w:cs="仿宋_GB2312"/>
                <w:b/>
                <w:bCs/>
                <w:sz w:val="20"/>
                <w:szCs w:val="20"/>
                <w:highlight w:val="none"/>
              </w:rPr>
              <w:t>202</w:t>
            </w:r>
            <w:r>
              <w:rPr>
                <w:rFonts w:hint="eastAsia" w:ascii="仿宋_GB2312" w:hAnsi="仿宋_GB2312" w:eastAsia="仿宋_GB2312" w:cs="仿宋_GB2312"/>
                <w:b/>
                <w:bCs/>
                <w:sz w:val="20"/>
                <w:szCs w:val="20"/>
                <w:highlight w:val="none"/>
                <w:lang w:val="en-US" w:eastAsia="zh-CN"/>
              </w:rPr>
              <w:t>5</w:t>
            </w:r>
            <w:r>
              <w:rPr>
                <w:rFonts w:hint="eastAsia" w:ascii="仿宋_GB2312" w:hAnsi="仿宋_GB2312" w:eastAsia="仿宋_GB2312" w:cs="仿宋_GB2312"/>
                <w:b/>
                <w:bCs/>
                <w:sz w:val="20"/>
                <w:szCs w:val="20"/>
                <w:highlight w:val="none"/>
              </w:rPr>
              <w:t>年决算数</w:t>
            </w:r>
          </w:p>
        </w:tc>
      </w:tr>
      <w:tr w14:paraId="07D31D94">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185281EC">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三公经费</w:t>
            </w:r>
          </w:p>
        </w:tc>
        <w:tc>
          <w:tcPr>
            <w:tcW w:w="2038" w:type="dxa"/>
            <w:gridSpan w:val="2"/>
            <w:tcBorders>
              <w:top w:val="single" w:color="auto" w:sz="4" w:space="0"/>
              <w:left w:val="nil"/>
              <w:bottom w:val="single" w:color="auto" w:sz="4" w:space="0"/>
              <w:right w:val="single" w:color="000000" w:sz="4" w:space="0"/>
            </w:tcBorders>
            <w:noWrap w:val="0"/>
            <w:vAlign w:val="center"/>
          </w:tcPr>
          <w:p w14:paraId="344BCA18">
            <w:pPr>
              <w:widowControl/>
              <w:spacing w:line="360" w:lineRule="exact"/>
              <w:jc w:val="center"/>
              <w:rPr>
                <w:rFonts w:hint="eastAsia" w:ascii="仿宋_GB2312" w:hAnsi="仿宋_GB2312" w:eastAsia="仿宋_GB2312" w:cs="仿宋_GB2312"/>
                <w:sz w:val="20"/>
                <w:szCs w:val="20"/>
                <w:highlight w:val="none"/>
                <w:lang w:val="en-US" w:eastAsia="zh-CN"/>
              </w:rPr>
            </w:pPr>
            <w:r>
              <w:rPr>
                <w:rFonts w:hint="default" w:ascii="仿宋_GB2312" w:hAnsi="仿宋_GB2312" w:eastAsia="仿宋_GB2312" w:cs="仿宋_GB2312"/>
                <w:color w:val="auto"/>
                <w:sz w:val="20"/>
                <w:szCs w:val="20"/>
                <w:highlight w:val="none"/>
                <w:lang w:val="en" w:eastAsia="zh-CN"/>
              </w:rPr>
              <w:t>0</w:t>
            </w:r>
            <w:r>
              <w:rPr>
                <w:rFonts w:hint="eastAsia" w:ascii="仿宋_GB2312" w:hAnsi="仿宋_GB2312" w:eastAsia="仿宋_GB2312" w:cs="仿宋_GB2312"/>
                <w:color w:val="auto"/>
                <w:sz w:val="20"/>
                <w:szCs w:val="20"/>
                <w:highlight w:val="none"/>
              </w:rPr>
              <w:t>　　</w:t>
            </w:r>
          </w:p>
        </w:tc>
        <w:tc>
          <w:tcPr>
            <w:tcW w:w="2240" w:type="dxa"/>
            <w:gridSpan w:val="2"/>
            <w:tcBorders>
              <w:top w:val="single" w:color="auto" w:sz="4" w:space="0"/>
              <w:left w:val="nil"/>
              <w:bottom w:val="single" w:color="auto" w:sz="4" w:space="0"/>
              <w:right w:val="single" w:color="000000" w:sz="4" w:space="0"/>
            </w:tcBorders>
            <w:noWrap w:val="0"/>
            <w:vAlign w:val="center"/>
          </w:tcPr>
          <w:p w14:paraId="48047EFC">
            <w:pPr>
              <w:widowControl/>
              <w:spacing w:line="360" w:lineRule="exact"/>
              <w:jc w:val="center"/>
              <w:rPr>
                <w:rFonts w:hint="default" w:ascii="仿宋_GB2312" w:hAnsi="仿宋_GB2312" w:eastAsia="仿宋_GB2312" w:cs="仿宋_GB2312"/>
                <w:sz w:val="20"/>
                <w:szCs w:val="20"/>
                <w:highlight w:val="none"/>
                <w:lang w:val="en" w:eastAsia="zh-CN"/>
              </w:rPr>
            </w:pPr>
            <w:r>
              <w:rPr>
                <w:rFonts w:hint="default" w:ascii="仿宋_GB2312" w:hAnsi="仿宋_GB2312" w:eastAsia="仿宋_GB2312" w:cs="仿宋_GB2312"/>
                <w:sz w:val="20"/>
                <w:szCs w:val="20"/>
                <w:highlight w:val="none"/>
                <w:lang w:val="en" w:eastAsia="zh-CN"/>
              </w:rPr>
              <w:t>0</w:t>
            </w:r>
          </w:p>
        </w:tc>
        <w:tc>
          <w:tcPr>
            <w:tcW w:w="2041" w:type="dxa"/>
            <w:gridSpan w:val="2"/>
            <w:tcBorders>
              <w:top w:val="single" w:color="auto" w:sz="4" w:space="0"/>
              <w:left w:val="nil"/>
              <w:bottom w:val="single" w:color="auto" w:sz="4" w:space="0"/>
              <w:right w:val="single" w:color="000000" w:sz="4" w:space="0"/>
            </w:tcBorders>
            <w:noWrap w:val="0"/>
            <w:vAlign w:val="center"/>
          </w:tcPr>
          <w:p w14:paraId="0404B71A">
            <w:pPr>
              <w:widowControl/>
              <w:spacing w:line="360" w:lineRule="exact"/>
              <w:jc w:val="center"/>
              <w:rPr>
                <w:rFonts w:hint="default" w:ascii="仿宋_GB2312" w:hAnsi="仿宋_GB2312" w:eastAsia="仿宋_GB2312" w:cs="仿宋_GB2312"/>
                <w:color w:val="auto"/>
                <w:sz w:val="20"/>
                <w:szCs w:val="20"/>
                <w:highlight w:val="none"/>
                <w:lang w:val="en"/>
              </w:rPr>
            </w:pPr>
            <w:r>
              <w:rPr>
                <w:rFonts w:hint="default" w:ascii="仿宋_GB2312" w:hAnsi="仿宋_GB2312" w:eastAsia="仿宋_GB2312" w:cs="仿宋_GB2312"/>
                <w:color w:val="auto"/>
                <w:sz w:val="20"/>
                <w:szCs w:val="20"/>
                <w:highlight w:val="none"/>
                <w:lang w:val="en"/>
              </w:rPr>
              <w:t>0</w:t>
            </w:r>
          </w:p>
        </w:tc>
      </w:tr>
      <w:tr w14:paraId="3030FEE4">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35A84BCE">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1、公务用车购置和维护经费</w:t>
            </w:r>
          </w:p>
        </w:tc>
        <w:tc>
          <w:tcPr>
            <w:tcW w:w="2038" w:type="dxa"/>
            <w:gridSpan w:val="2"/>
            <w:tcBorders>
              <w:top w:val="single" w:color="auto" w:sz="4" w:space="0"/>
              <w:left w:val="nil"/>
              <w:bottom w:val="single" w:color="auto" w:sz="4" w:space="0"/>
              <w:right w:val="single" w:color="000000" w:sz="4" w:space="0"/>
            </w:tcBorders>
            <w:noWrap w:val="0"/>
            <w:vAlign w:val="center"/>
          </w:tcPr>
          <w:p w14:paraId="4A150D39">
            <w:pPr>
              <w:widowControl/>
              <w:spacing w:line="360" w:lineRule="exact"/>
              <w:jc w:val="center"/>
              <w:rPr>
                <w:rFonts w:hint="eastAsia" w:ascii="仿宋_GB2312" w:hAnsi="仿宋_GB2312" w:eastAsia="仿宋_GB2312" w:cs="仿宋_GB2312"/>
                <w:sz w:val="20"/>
                <w:szCs w:val="20"/>
                <w:highlight w:val="none"/>
                <w:lang w:val="en-US" w:eastAsia="zh-CN"/>
              </w:rPr>
            </w:pPr>
            <w:r>
              <w:rPr>
                <w:rFonts w:hint="default" w:ascii="仿宋_GB2312" w:hAnsi="仿宋_GB2312" w:eastAsia="仿宋_GB2312" w:cs="仿宋_GB2312"/>
                <w:color w:val="auto"/>
                <w:sz w:val="20"/>
                <w:szCs w:val="20"/>
                <w:highlight w:val="none"/>
                <w:lang w:val="en" w:eastAsia="zh-CN"/>
              </w:rPr>
              <w:t>0</w:t>
            </w:r>
          </w:p>
        </w:tc>
        <w:tc>
          <w:tcPr>
            <w:tcW w:w="2240" w:type="dxa"/>
            <w:gridSpan w:val="2"/>
            <w:tcBorders>
              <w:top w:val="single" w:color="auto" w:sz="4" w:space="0"/>
              <w:left w:val="nil"/>
              <w:bottom w:val="single" w:color="auto" w:sz="4" w:space="0"/>
              <w:right w:val="single" w:color="000000" w:sz="4" w:space="0"/>
            </w:tcBorders>
            <w:noWrap w:val="0"/>
            <w:vAlign w:val="center"/>
          </w:tcPr>
          <w:p w14:paraId="636002A3">
            <w:pPr>
              <w:widowControl/>
              <w:spacing w:line="360" w:lineRule="exact"/>
              <w:jc w:val="center"/>
              <w:rPr>
                <w:rFonts w:hint="default" w:ascii="仿宋_GB2312" w:hAnsi="仿宋_GB2312" w:eastAsia="仿宋_GB2312" w:cs="仿宋_GB2312"/>
                <w:sz w:val="20"/>
                <w:szCs w:val="20"/>
                <w:highlight w:val="none"/>
                <w:lang w:val="en" w:eastAsia="zh-CN"/>
              </w:rPr>
            </w:pPr>
            <w:r>
              <w:rPr>
                <w:rFonts w:hint="default" w:ascii="仿宋_GB2312" w:hAnsi="仿宋_GB2312" w:eastAsia="仿宋_GB2312" w:cs="仿宋_GB2312"/>
                <w:sz w:val="20"/>
                <w:szCs w:val="20"/>
                <w:highlight w:val="none"/>
                <w:lang w:val="en" w:eastAsia="zh-CN"/>
              </w:rPr>
              <w:t>0</w:t>
            </w:r>
          </w:p>
        </w:tc>
        <w:tc>
          <w:tcPr>
            <w:tcW w:w="2041" w:type="dxa"/>
            <w:gridSpan w:val="2"/>
            <w:tcBorders>
              <w:top w:val="single" w:color="auto" w:sz="4" w:space="0"/>
              <w:left w:val="nil"/>
              <w:bottom w:val="single" w:color="auto" w:sz="4" w:space="0"/>
              <w:right w:val="single" w:color="000000" w:sz="4" w:space="0"/>
            </w:tcBorders>
            <w:noWrap w:val="0"/>
            <w:vAlign w:val="center"/>
          </w:tcPr>
          <w:p w14:paraId="2E6118E4">
            <w:pPr>
              <w:widowControl/>
              <w:spacing w:line="360" w:lineRule="exact"/>
              <w:jc w:val="center"/>
              <w:rPr>
                <w:rFonts w:hint="default" w:ascii="仿宋_GB2312" w:hAnsi="仿宋_GB2312" w:eastAsia="仿宋_GB2312" w:cs="仿宋_GB2312"/>
                <w:color w:val="auto"/>
                <w:sz w:val="20"/>
                <w:szCs w:val="20"/>
                <w:highlight w:val="none"/>
                <w:lang w:val="en"/>
              </w:rPr>
            </w:pPr>
            <w:r>
              <w:rPr>
                <w:rFonts w:hint="default" w:ascii="仿宋_GB2312" w:hAnsi="仿宋_GB2312" w:eastAsia="仿宋_GB2312" w:cs="仿宋_GB2312"/>
                <w:color w:val="auto"/>
                <w:sz w:val="20"/>
                <w:szCs w:val="20"/>
                <w:highlight w:val="none"/>
                <w:lang w:val="en"/>
              </w:rPr>
              <w:t>0</w:t>
            </w:r>
          </w:p>
        </w:tc>
      </w:tr>
      <w:tr w14:paraId="60F742FB">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213CF0DB">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其中：公车购置</w:t>
            </w:r>
          </w:p>
        </w:tc>
        <w:tc>
          <w:tcPr>
            <w:tcW w:w="2038" w:type="dxa"/>
            <w:gridSpan w:val="2"/>
            <w:tcBorders>
              <w:top w:val="single" w:color="auto" w:sz="4" w:space="0"/>
              <w:left w:val="nil"/>
              <w:bottom w:val="single" w:color="auto" w:sz="4" w:space="0"/>
              <w:right w:val="single" w:color="000000" w:sz="4" w:space="0"/>
            </w:tcBorders>
            <w:noWrap w:val="0"/>
            <w:vAlign w:val="center"/>
          </w:tcPr>
          <w:p w14:paraId="4B75AB89">
            <w:pPr>
              <w:widowControl/>
              <w:spacing w:line="360" w:lineRule="exact"/>
              <w:jc w:val="center"/>
              <w:rPr>
                <w:rFonts w:hint="eastAsia" w:ascii="仿宋_GB2312" w:hAnsi="仿宋_GB2312" w:eastAsia="仿宋_GB2312" w:cs="仿宋_GB2312"/>
                <w:sz w:val="20"/>
                <w:szCs w:val="20"/>
                <w:highlight w:val="none"/>
              </w:rPr>
            </w:pPr>
            <w:r>
              <w:rPr>
                <w:rFonts w:hint="default" w:ascii="仿宋_GB2312" w:hAnsi="仿宋_GB2312" w:eastAsia="仿宋_GB2312" w:cs="仿宋_GB2312"/>
                <w:color w:val="auto"/>
                <w:sz w:val="20"/>
                <w:szCs w:val="20"/>
                <w:highlight w:val="none"/>
                <w:lang w:val="en" w:eastAsia="zh-CN"/>
              </w:rPr>
              <w:t>0</w:t>
            </w:r>
            <w:r>
              <w:rPr>
                <w:rFonts w:hint="eastAsia" w:ascii="仿宋_GB2312" w:hAnsi="仿宋_GB2312" w:eastAsia="仿宋_GB2312" w:cs="仿宋_GB2312"/>
                <w:color w:val="auto"/>
                <w:sz w:val="20"/>
                <w:szCs w:val="20"/>
                <w:highlight w:val="none"/>
              </w:rPr>
              <w:t>　</w:t>
            </w:r>
          </w:p>
        </w:tc>
        <w:tc>
          <w:tcPr>
            <w:tcW w:w="2240" w:type="dxa"/>
            <w:gridSpan w:val="2"/>
            <w:tcBorders>
              <w:top w:val="single" w:color="auto" w:sz="4" w:space="0"/>
              <w:left w:val="nil"/>
              <w:bottom w:val="single" w:color="auto" w:sz="4" w:space="0"/>
              <w:right w:val="single" w:color="000000" w:sz="4" w:space="0"/>
            </w:tcBorders>
            <w:noWrap w:val="0"/>
            <w:vAlign w:val="center"/>
          </w:tcPr>
          <w:p w14:paraId="23483042">
            <w:pPr>
              <w:widowControl/>
              <w:spacing w:line="360" w:lineRule="exact"/>
              <w:jc w:val="center"/>
              <w:rPr>
                <w:rFonts w:hint="default" w:ascii="仿宋_GB2312" w:hAnsi="仿宋_GB2312" w:eastAsia="仿宋_GB2312" w:cs="仿宋_GB2312"/>
                <w:sz w:val="20"/>
                <w:szCs w:val="20"/>
                <w:highlight w:val="none"/>
                <w:lang w:val="en" w:eastAsia="zh-CN"/>
              </w:rPr>
            </w:pPr>
            <w:r>
              <w:rPr>
                <w:rFonts w:hint="default" w:ascii="仿宋_GB2312" w:hAnsi="仿宋_GB2312" w:eastAsia="仿宋_GB2312" w:cs="仿宋_GB2312"/>
                <w:sz w:val="20"/>
                <w:szCs w:val="20"/>
                <w:highlight w:val="none"/>
                <w:lang w:val="en" w:eastAsia="zh-CN"/>
              </w:rPr>
              <w:t>0</w:t>
            </w:r>
          </w:p>
        </w:tc>
        <w:tc>
          <w:tcPr>
            <w:tcW w:w="2041" w:type="dxa"/>
            <w:gridSpan w:val="2"/>
            <w:tcBorders>
              <w:top w:val="single" w:color="auto" w:sz="4" w:space="0"/>
              <w:left w:val="nil"/>
              <w:bottom w:val="single" w:color="auto" w:sz="4" w:space="0"/>
              <w:right w:val="single" w:color="000000" w:sz="4" w:space="0"/>
            </w:tcBorders>
            <w:noWrap w:val="0"/>
            <w:vAlign w:val="center"/>
          </w:tcPr>
          <w:p w14:paraId="28E62047">
            <w:pPr>
              <w:widowControl/>
              <w:spacing w:line="360" w:lineRule="exact"/>
              <w:jc w:val="center"/>
              <w:rPr>
                <w:rFonts w:hint="default" w:ascii="仿宋_GB2312" w:hAnsi="仿宋_GB2312" w:eastAsia="仿宋_GB2312" w:cs="仿宋_GB2312"/>
                <w:color w:val="auto"/>
                <w:sz w:val="20"/>
                <w:szCs w:val="20"/>
                <w:highlight w:val="none"/>
                <w:lang w:val="en"/>
              </w:rPr>
            </w:pPr>
            <w:r>
              <w:rPr>
                <w:rFonts w:hint="default" w:ascii="仿宋_GB2312" w:hAnsi="仿宋_GB2312" w:eastAsia="仿宋_GB2312" w:cs="仿宋_GB2312"/>
                <w:color w:val="auto"/>
                <w:sz w:val="20"/>
                <w:szCs w:val="20"/>
                <w:highlight w:val="none"/>
                <w:lang w:val="en"/>
              </w:rPr>
              <w:t>0</w:t>
            </w:r>
          </w:p>
        </w:tc>
      </w:tr>
      <w:tr w14:paraId="6CC56926">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75190B24">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公车运行维护</w:t>
            </w:r>
          </w:p>
        </w:tc>
        <w:tc>
          <w:tcPr>
            <w:tcW w:w="2038" w:type="dxa"/>
            <w:gridSpan w:val="2"/>
            <w:tcBorders>
              <w:top w:val="single" w:color="auto" w:sz="4" w:space="0"/>
              <w:left w:val="nil"/>
              <w:bottom w:val="single" w:color="auto" w:sz="4" w:space="0"/>
              <w:right w:val="single" w:color="000000" w:sz="4" w:space="0"/>
            </w:tcBorders>
            <w:noWrap w:val="0"/>
            <w:vAlign w:val="center"/>
          </w:tcPr>
          <w:p w14:paraId="3A11DABA">
            <w:pPr>
              <w:widowControl/>
              <w:spacing w:line="360" w:lineRule="exact"/>
              <w:jc w:val="center"/>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0</w:t>
            </w:r>
          </w:p>
        </w:tc>
        <w:tc>
          <w:tcPr>
            <w:tcW w:w="2240" w:type="dxa"/>
            <w:gridSpan w:val="2"/>
            <w:tcBorders>
              <w:top w:val="single" w:color="auto" w:sz="4" w:space="0"/>
              <w:left w:val="nil"/>
              <w:bottom w:val="single" w:color="auto" w:sz="4" w:space="0"/>
              <w:right w:val="single" w:color="000000" w:sz="4" w:space="0"/>
            </w:tcBorders>
            <w:noWrap w:val="0"/>
            <w:vAlign w:val="center"/>
          </w:tcPr>
          <w:p w14:paraId="4E88366A">
            <w:pPr>
              <w:widowControl/>
              <w:spacing w:line="360" w:lineRule="exact"/>
              <w:jc w:val="center"/>
              <w:rPr>
                <w:rFonts w:hint="default" w:ascii="仿宋_GB2312" w:hAnsi="仿宋_GB2312" w:eastAsia="仿宋_GB2312" w:cs="仿宋_GB2312"/>
                <w:sz w:val="20"/>
                <w:szCs w:val="20"/>
                <w:highlight w:val="none"/>
                <w:lang w:val="en" w:eastAsia="zh-CN"/>
              </w:rPr>
            </w:pPr>
            <w:r>
              <w:rPr>
                <w:rFonts w:hint="default" w:ascii="仿宋_GB2312" w:hAnsi="仿宋_GB2312" w:eastAsia="仿宋_GB2312" w:cs="仿宋_GB2312"/>
                <w:sz w:val="20"/>
                <w:szCs w:val="20"/>
                <w:highlight w:val="none"/>
                <w:lang w:val="en" w:eastAsia="zh-CN"/>
              </w:rPr>
              <w:t>0</w:t>
            </w:r>
          </w:p>
        </w:tc>
        <w:tc>
          <w:tcPr>
            <w:tcW w:w="2041" w:type="dxa"/>
            <w:gridSpan w:val="2"/>
            <w:tcBorders>
              <w:top w:val="single" w:color="auto" w:sz="4" w:space="0"/>
              <w:left w:val="nil"/>
              <w:bottom w:val="single" w:color="auto" w:sz="4" w:space="0"/>
              <w:right w:val="single" w:color="000000" w:sz="4" w:space="0"/>
            </w:tcBorders>
            <w:noWrap w:val="0"/>
            <w:vAlign w:val="center"/>
          </w:tcPr>
          <w:p w14:paraId="40FF0782">
            <w:pPr>
              <w:widowControl/>
              <w:spacing w:line="360" w:lineRule="exact"/>
              <w:jc w:val="center"/>
              <w:rPr>
                <w:rFonts w:hint="default" w:ascii="仿宋_GB2312" w:hAnsi="仿宋_GB2312" w:eastAsia="仿宋_GB2312" w:cs="仿宋_GB2312"/>
                <w:color w:val="auto"/>
                <w:sz w:val="20"/>
                <w:szCs w:val="20"/>
                <w:highlight w:val="none"/>
                <w:lang w:val="en" w:eastAsia="zh-CN"/>
              </w:rPr>
            </w:pPr>
            <w:r>
              <w:rPr>
                <w:rFonts w:hint="default" w:ascii="仿宋_GB2312" w:hAnsi="仿宋_GB2312" w:eastAsia="仿宋_GB2312" w:cs="仿宋_GB2312"/>
                <w:color w:val="auto"/>
                <w:sz w:val="20"/>
                <w:szCs w:val="20"/>
                <w:highlight w:val="none"/>
                <w:lang w:val="en" w:eastAsia="zh-CN"/>
              </w:rPr>
              <w:t>0</w:t>
            </w:r>
          </w:p>
        </w:tc>
      </w:tr>
      <w:tr w14:paraId="1E88EA06">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70BB802A">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2、出国经费</w:t>
            </w:r>
          </w:p>
        </w:tc>
        <w:tc>
          <w:tcPr>
            <w:tcW w:w="2038" w:type="dxa"/>
            <w:gridSpan w:val="2"/>
            <w:tcBorders>
              <w:top w:val="single" w:color="auto" w:sz="4" w:space="0"/>
              <w:left w:val="nil"/>
              <w:bottom w:val="single" w:color="auto" w:sz="4" w:space="0"/>
              <w:right w:val="single" w:color="000000" w:sz="4" w:space="0"/>
            </w:tcBorders>
            <w:noWrap w:val="0"/>
            <w:vAlign w:val="center"/>
          </w:tcPr>
          <w:p w14:paraId="32343EFF">
            <w:pPr>
              <w:widowControl/>
              <w:spacing w:line="360" w:lineRule="exact"/>
              <w:jc w:val="center"/>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0</w:t>
            </w:r>
            <w:r>
              <w:rPr>
                <w:rFonts w:hint="eastAsia" w:ascii="仿宋_GB2312" w:hAnsi="仿宋_GB2312" w:eastAsia="仿宋_GB2312" w:cs="仿宋_GB2312"/>
                <w:sz w:val="20"/>
                <w:szCs w:val="20"/>
                <w:highlight w:val="none"/>
              </w:rPr>
              <w:t>　</w:t>
            </w:r>
          </w:p>
        </w:tc>
        <w:tc>
          <w:tcPr>
            <w:tcW w:w="2240" w:type="dxa"/>
            <w:gridSpan w:val="2"/>
            <w:tcBorders>
              <w:top w:val="single" w:color="auto" w:sz="4" w:space="0"/>
              <w:left w:val="nil"/>
              <w:bottom w:val="single" w:color="auto" w:sz="4" w:space="0"/>
              <w:right w:val="single" w:color="000000" w:sz="4" w:space="0"/>
            </w:tcBorders>
            <w:noWrap w:val="0"/>
            <w:vAlign w:val="center"/>
          </w:tcPr>
          <w:p w14:paraId="045312F2">
            <w:pPr>
              <w:widowControl/>
              <w:spacing w:line="360" w:lineRule="exact"/>
              <w:jc w:val="center"/>
              <w:rPr>
                <w:rFonts w:hint="default" w:ascii="仿宋_GB2312" w:hAnsi="仿宋_GB2312" w:eastAsia="仿宋_GB2312" w:cs="仿宋_GB2312"/>
                <w:sz w:val="20"/>
                <w:szCs w:val="20"/>
                <w:highlight w:val="none"/>
                <w:lang w:val="en" w:eastAsia="zh-CN"/>
              </w:rPr>
            </w:pPr>
            <w:r>
              <w:rPr>
                <w:rFonts w:hint="default" w:ascii="仿宋_GB2312" w:hAnsi="仿宋_GB2312" w:eastAsia="仿宋_GB2312" w:cs="仿宋_GB2312"/>
                <w:sz w:val="20"/>
                <w:szCs w:val="20"/>
                <w:highlight w:val="none"/>
                <w:lang w:val="en" w:eastAsia="zh-CN"/>
              </w:rPr>
              <w:t>0</w:t>
            </w:r>
          </w:p>
        </w:tc>
        <w:tc>
          <w:tcPr>
            <w:tcW w:w="2041" w:type="dxa"/>
            <w:gridSpan w:val="2"/>
            <w:tcBorders>
              <w:top w:val="single" w:color="auto" w:sz="4" w:space="0"/>
              <w:left w:val="nil"/>
              <w:bottom w:val="single" w:color="auto" w:sz="4" w:space="0"/>
              <w:right w:val="single" w:color="000000" w:sz="4" w:space="0"/>
            </w:tcBorders>
            <w:noWrap w:val="0"/>
            <w:vAlign w:val="center"/>
          </w:tcPr>
          <w:p w14:paraId="2A94093F">
            <w:pPr>
              <w:widowControl/>
              <w:spacing w:line="360" w:lineRule="exact"/>
              <w:jc w:val="center"/>
              <w:rPr>
                <w:rFonts w:hint="default" w:ascii="仿宋_GB2312" w:hAnsi="仿宋_GB2312" w:eastAsia="仿宋_GB2312" w:cs="仿宋_GB2312"/>
                <w:sz w:val="20"/>
                <w:szCs w:val="20"/>
                <w:highlight w:val="none"/>
                <w:lang w:val="en"/>
              </w:rPr>
            </w:pPr>
            <w:r>
              <w:rPr>
                <w:rFonts w:hint="default" w:ascii="仿宋_GB2312" w:hAnsi="仿宋_GB2312" w:eastAsia="仿宋_GB2312" w:cs="仿宋_GB2312"/>
                <w:sz w:val="20"/>
                <w:szCs w:val="20"/>
                <w:highlight w:val="none"/>
                <w:lang w:val="en"/>
              </w:rPr>
              <w:t>0</w:t>
            </w:r>
          </w:p>
        </w:tc>
      </w:tr>
      <w:tr w14:paraId="5A8A6B00">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175D2392">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3、公务接待</w:t>
            </w:r>
          </w:p>
        </w:tc>
        <w:tc>
          <w:tcPr>
            <w:tcW w:w="2038" w:type="dxa"/>
            <w:gridSpan w:val="2"/>
            <w:tcBorders>
              <w:top w:val="single" w:color="auto" w:sz="4" w:space="0"/>
              <w:left w:val="nil"/>
              <w:bottom w:val="single" w:color="auto" w:sz="4" w:space="0"/>
              <w:right w:val="single" w:color="000000" w:sz="4" w:space="0"/>
            </w:tcBorders>
            <w:noWrap w:val="0"/>
            <w:vAlign w:val="center"/>
          </w:tcPr>
          <w:p w14:paraId="4F1E81C2">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lang w:val="en-US" w:eastAsia="zh-CN"/>
              </w:rPr>
              <w:t>0</w:t>
            </w:r>
            <w:r>
              <w:rPr>
                <w:rFonts w:hint="eastAsia" w:ascii="仿宋_GB2312" w:hAnsi="仿宋_GB2312" w:eastAsia="仿宋_GB2312" w:cs="仿宋_GB2312"/>
                <w:sz w:val="20"/>
                <w:szCs w:val="20"/>
                <w:highlight w:val="none"/>
              </w:rPr>
              <w:t>　</w:t>
            </w:r>
          </w:p>
        </w:tc>
        <w:tc>
          <w:tcPr>
            <w:tcW w:w="2240" w:type="dxa"/>
            <w:gridSpan w:val="2"/>
            <w:tcBorders>
              <w:top w:val="single" w:color="auto" w:sz="4" w:space="0"/>
              <w:left w:val="nil"/>
              <w:bottom w:val="single" w:color="auto" w:sz="4" w:space="0"/>
              <w:right w:val="single" w:color="000000" w:sz="4" w:space="0"/>
            </w:tcBorders>
            <w:noWrap w:val="0"/>
            <w:vAlign w:val="center"/>
          </w:tcPr>
          <w:p w14:paraId="79F58A9D">
            <w:pPr>
              <w:widowControl/>
              <w:spacing w:line="360" w:lineRule="exact"/>
              <w:jc w:val="center"/>
              <w:rPr>
                <w:rFonts w:hint="default" w:ascii="仿宋_GB2312" w:hAnsi="仿宋_GB2312" w:eastAsia="仿宋_GB2312" w:cs="仿宋_GB2312"/>
                <w:sz w:val="20"/>
                <w:szCs w:val="20"/>
                <w:highlight w:val="none"/>
                <w:lang w:val="en" w:eastAsia="zh-CN"/>
              </w:rPr>
            </w:pPr>
            <w:r>
              <w:rPr>
                <w:rFonts w:hint="default" w:ascii="仿宋_GB2312" w:hAnsi="仿宋_GB2312" w:eastAsia="仿宋_GB2312" w:cs="仿宋_GB2312"/>
                <w:sz w:val="20"/>
                <w:szCs w:val="20"/>
                <w:highlight w:val="none"/>
                <w:lang w:val="en" w:eastAsia="zh-CN"/>
              </w:rPr>
              <w:t>0</w:t>
            </w:r>
          </w:p>
        </w:tc>
        <w:tc>
          <w:tcPr>
            <w:tcW w:w="2041" w:type="dxa"/>
            <w:gridSpan w:val="2"/>
            <w:tcBorders>
              <w:top w:val="single" w:color="auto" w:sz="4" w:space="0"/>
              <w:left w:val="nil"/>
              <w:bottom w:val="single" w:color="auto" w:sz="4" w:space="0"/>
              <w:right w:val="single" w:color="000000" w:sz="4" w:space="0"/>
            </w:tcBorders>
            <w:noWrap w:val="0"/>
            <w:vAlign w:val="center"/>
          </w:tcPr>
          <w:p w14:paraId="265416F8">
            <w:pPr>
              <w:widowControl/>
              <w:spacing w:line="360" w:lineRule="exact"/>
              <w:jc w:val="center"/>
              <w:rPr>
                <w:rFonts w:hint="default" w:ascii="仿宋_GB2312" w:hAnsi="仿宋_GB2312" w:eastAsia="仿宋_GB2312" w:cs="仿宋_GB2312"/>
                <w:sz w:val="20"/>
                <w:szCs w:val="20"/>
                <w:highlight w:val="none"/>
                <w:lang w:val="en"/>
              </w:rPr>
            </w:pPr>
            <w:r>
              <w:rPr>
                <w:rFonts w:hint="default" w:ascii="仿宋_GB2312" w:hAnsi="仿宋_GB2312" w:eastAsia="仿宋_GB2312" w:cs="仿宋_GB2312"/>
                <w:sz w:val="20"/>
                <w:szCs w:val="20"/>
                <w:highlight w:val="none"/>
                <w:lang w:val="en"/>
              </w:rPr>
              <w:t>0</w:t>
            </w:r>
          </w:p>
        </w:tc>
      </w:tr>
      <w:tr w14:paraId="7E370335">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6889667F">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项目支出：</w:t>
            </w:r>
          </w:p>
        </w:tc>
        <w:tc>
          <w:tcPr>
            <w:tcW w:w="2038" w:type="dxa"/>
            <w:gridSpan w:val="2"/>
            <w:tcBorders>
              <w:top w:val="single" w:color="auto" w:sz="4" w:space="0"/>
              <w:left w:val="nil"/>
              <w:bottom w:val="single" w:color="auto" w:sz="4" w:space="0"/>
              <w:right w:val="single" w:color="000000" w:sz="4" w:space="0"/>
            </w:tcBorders>
            <w:noWrap w:val="0"/>
            <w:vAlign w:val="center"/>
          </w:tcPr>
          <w:p w14:paraId="2BE7D06C">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lang w:val="en-US" w:eastAsia="zh-CN"/>
              </w:rPr>
              <w:t>0</w:t>
            </w:r>
          </w:p>
        </w:tc>
        <w:tc>
          <w:tcPr>
            <w:tcW w:w="2240" w:type="dxa"/>
            <w:gridSpan w:val="2"/>
            <w:tcBorders>
              <w:top w:val="single" w:color="auto" w:sz="4" w:space="0"/>
              <w:left w:val="nil"/>
              <w:bottom w:val="single" w:color="auto" w:sz="4" w:space="0"/>
              <w:right w:val="single" w:color="000000" w:sz="4" w:space="0"/>
            </w:tcBorders>
            <w:noWrap w:val="0"/>
            <w:vAlign w:val="center"/>
          </w:tcPr>
          <w:p w14:paraId="26265F73">
            <w:pPr>
              <w:widowControl/>
              <w:spacing w:line="360" w:lineRule="exact"/>
              <w:jc w:val="center"/>
              <w:rPr>
                <w:rFonts w:hint="default" w:ascii="仿宋_GB2312" w:hAnsi="仿宋_GB2312" w:eastAsia="仿宋_GB2312" w:cs="仿宋_GB2312"/>
                <w:sz w:val="20"/>
                <w:szCs w:val="20"/>
                <w:highlight w:val="none"/>
                <w:lang w:val="en" w:eastAsia="zh-CN"/>
              </w:rPr>
            </w:pPr>
            <w:r>
              <w:rPr>
                <w:rFonts w:hint="default" w:ascii="仿宋_GB2312" w:hAnsi="仿宋_GB2312" w:eastAsia="仿宋_GB2312" w:cs="仿宋_GB2312"/>
                <w:sz w:val="20"/>
                <w:szCs w:val="20"/>
                <w:highlight w:val="none"/>
                <w:lang w:val="en" w:eastAsia="zh-CN"/>
              </w:rPr>
              <w:t>0</w:t>
            </w:r>
          </w:p>
        </w:tc>
        <w:tc>
          <w:tcPr>
            <w:tcW w:w="2041" w:type="dxa"/>
            <w:gridSpan w:val="2"/>
            <w:tcBorders>
              <w:top w:val="single" w:color="auto" w:sz="4" w:space="0"/>
              <w:left w:val="nil"/>
              <w:bottom w:val="single" w:color="auto" w:sz="4" w:space="0"/>
              <w:right w:val="single" w:color="000000" w:sz="4" w:space="0"/>
            </w:tcBorders>
            <w:noWrap w:val="0"/>
            <w:vAlign w:val="center"/>
          </w:tcPr>
          <w:p w14:paraId="57549058">
            <w:pPr>
              <w:widowControl/>
              <w:spacing w:line="360" w:lineRule="exact"/>
              <w:jc w:val="center"/>
              <w:rPr>
                <w:rFonts w:hint="default" w:ascii="仿宋_GB2312" w:hAnsi="仿宋_GB2312" w:eastAsia="仿宋_GB2312" w:cs="仿宋_GB2312"/>
                <w:sz w:val="20"/>
                <w:szCs w:val="20"/>
                <w:highlight w:val="none"/>
                <w:lang w:val="en" w:eastAsia="zh-CN"/>
              </w:rPr>
            </w:pPr>
            <w:r>
              <w:rPr>
                <w:rFonts w:hint="default" w:ascii="仿宋_GB2312" w:hAnsi="仿宋_GB2312" w:eastAsia="仿宋_GB2312" w:cs="仿宋_GB2312"/>
                <w:sz w:val="20"/>
                <w:szCs w:val="20"/>
                <w:highlight w:val="none"/>
                <w:lang w:val="en" w:eastAsia="zh-CN"/>
              </w:rPr>
              <w:t>0</w:t>
            </w:r>
          </w:p>
        </w:tc>
      </w:tr>
      <w:tr w14:paraId="04648B2D">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689C0D6B">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1、业务工作经费</w:t>
            </w:r>
          </w:p>
        </w:tc>
        <w:tc>
          <w:tcPr>
            <w:tcW w:w="2038" w:type="dxa"/>
            <w:gridSpan w:val="2"/>
            <w:tcBorders>
              <w:top w:val="single" w:color="auto" w:sz="4" w:space="0"/>
              <w:left w:val="nil"/>
              <w:bottom w:val="single" w:color="auto" w:sz="4" w:space="0"/>
              <w:right w:val="single" w:color="000000" w:sz="4" w:space="0"/>
            </w:tcBorders>
            <w:noWrap w:val="0"/>
            <w:vAlign w:val="center"/>
          </w:tcPr>
          <w:p w14:paraId="1EA43239">
            <w:pPr>
              <w:widowControl/>
              <w:spacing w:line="360" w:lineRule="exact"/>
              <w:jc w:val="center"/>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0</w:t>
            </w:r>
          </w:p>
        </w:tc>
        <w:tc>
          <w:tcPr>
            <w:tcW w:w="2240" w:type="dxa"/>
            <w:gridSpan w:val="2"/>
            <w:tcBorders>
              <w:top w:val="single" w:color="auto" w:sz="4" w:space="0"/>
              <w:left w:val="nil"/>
              <w:bottom w:val="single" w:color="auto" w:sz="4" w:space="0"/>
              <w:right w:val="single" w:color="000000" w:sz="4" w:space="0"/>
            </w:tcBorders>
            <w:noWrap w:val="0"/>
            <w:vAlign w:val="center"/>
          </w:tcPr>
          <w:p w14:paraId="6D6825FE">
            <w:pPr>
              <w:widowControl/>
              <w:spacing w:line="360" w:lineRule="exact"/>
              <w:jc w:val="center"/>
              <w:rPr>
                <w:rFonts w:hint="default" w:ascii="仿宋_GB2312" w:hAnsi="仿宋_GB2312" w:eastAsia="仿宋_GB2312" w:cs="仿宋_GB2312"/>
                <w:sz w:val="20"/>
                <w:szCs w:val="20"/>
                <w:highlight w:val="none"/>
                <w:lang w:val="en"/>
              </w:rPr>
            </w:pPr>
            <w:r>
              <w:rPr>
                <w:rFonts w:hint="default" w:ascii="仿宋_GB2312" w:hAnsi="仿宋_GB2312" w:eastAsia="仿宋_GB2312" w:cs="仿宋_GB2312"/>
                <w:sz w:val="20"/>
                <w:szCs w:val="20"/>
                <w:highlight w:val="none"/>
                <w:lang w:val="en"/>
              </w:rPr>
              <w:t>0</w:t>
            </w:r>
          </w:p>
        </w:tc>
        <w:tc>
          <w:tcPr>
            <w:tcW w:w="2041" w:type="dxa"/>
            <w:gridSpan w:val="2"/>
            <w:tcBorders>
              <w:top w:val="single" w:color="auto" w:sz="4" w:space="0"/>
              <w:left w:val="nil"/>
              <w:bottom w:val="single" w:color="auto" w:sz="4" w:space="0"/>
              <w:right w:val="single" w:color="000000" w:sz="4" w:space="0"/>
            </w:tcBorders>
            <w:noWrap w:val="0"/>
            <w:vAlign w:val="center"/>
          </w:tcPr>
          <w:p w14:paraId="4F8D2110">
            <w:pPr>
              <w:widowControl/>
              <w:spacing w:line="360" w:lineRule="exact"/>
              <w:jc w:val="center"/>
              <w:rPr>
                <w:rFonts w:hint="default" w:ascii="仿宋_GB2312" w:hAnsi="仿宋_GB2312" w:eastAsia="仿宋_GB2312" w:cs="仿宋_GB2312"/>
                <w:sz w:val="20"/>
                <w:szCs w:val="20"/>
                <w:highlight w:val="none"/>
                <w:lang w:val="en" w:eastAsia="zh-CN"/>
              </w:rPr>
            </w:pPr>
            <w:r>
              <w:rPr>
                <w:rFonts w:hint="default" w:ascii="仿宋_GB2312" w:hAnsi="仿宋_GB2312" w:eastAsia="仿宋_GB2312" w:cs="仿宋_GB2312"/>
                <w:sz w:val="20"/>
                <w:szCs w:val="20"/>
                <w:highlight w:val="none"/>
                <w:lang w:val="en" w:eastAsia="zh-CN"/>
              </w:rPr>
              <w:t>0</w:t>
            </w:r>
          </w:p>
        </w:tc>
      </w:tr>
      <w:tr w14:paraId="75759046">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47295F8D">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2、运行维护经费</w:t>
            </w:r>
          </w:p>
        </w:tc>
        <w:tc>
          <w:tcPr>
            <w:tcW w:w="2038" w:type="dxa"/>
            <w:gridSpan w:val="2"/>
            <w:tcBorders>
              <w:top w:val="single" w:color="auto" w:sz="4" w:space="0"/>
              <w:left w:val="nil"/>
              <w:bottom w:val="single" w:color="auto" w:sz="4" w:space="0"/>
              <w:right w:val="single" w:color="000000" w:sz="4" w:space="0"/>
            </w:tcBorders>
            <w:noWrap w:val="0"/>
            <w:vAlign w:val="center"/>
          </w:tcPr>
          <w:p w14:paraId="1418EBBA">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lang w:val="en-US" w:eastAsia="zh-CN"/>
              </w:rPr>
              <w:t>0</w:t>
            </w:r>
          </w:p>
        </w:tc>
        <w:tc>
          <w:tcPr>
            <w:tcW w:w="2240" w:type="dxa"/>
            <w:gridSpan w:val="2"/>
            <w:tcBorders>
              <w:top w:val="single" w:color="auto" w:sz="4" w:space="0"/>
              <w:left w:val="nil"/>
              <w:bottom w:val="single" w:color="auto" w:sz="4" w:space="0"/>
              <w:right w:val="single" w:color="000000" w:sz="4" w:space="0"/>
            </w:tcBorders>
            <w:noWrap w:val="0"/>
            <w:vAlign w:val="center"/>
          </w:tcPr>
          <w:p w14:paraId="5CD9D78F">
            <w:pPr>
              <w:widowControl/>
              <w:spacing w:line="360" w:lineRule="exact"/>
              <w:jc w:val="center"/>
              <w:rPr>
                <w:rFonts w:hint="default" w:ascii="仿宋_GB2312" w:hAnsi="仿宋_GB2312" w:eastAsia="仿宋_GB2312" w:cs="仿宋_GB2312"/>
                <w:sz w:val="20"/>
                <w:szCs w:val="20"/>
                <w:highlight w:val="none"/>
                <w:lang w:val="en"/>
              </w:rPr>
            </w:pPr>
            <w:r>
              <w:rPr>
                <w:rFonts w:hint="default" w:ascii="仿宋_GB2312" w:hAnsi="仿宋_GB2312" w:eastAsia="仿宋_GB2312" w:cs="仿宋_GB2312"/>
                <w:sz w:val="20"/>
                <w:szCs w:val="20"/>
                <w:highlight w:val="none"/>
                <w:lang w:val="en"/>
              </w:rPr>
              <w:t>0</w:t>
            </w:r>
          </w:p>
        </w:tc>
        <w:tc>
          <w:tcPr>
            <w:tcW w:w="2041" w:type="dxa"/>
            <w:gridSpan w:val="2"/>
            <w:tcBorders>
              <w:top w:val="single" w:color="auto" w:sz="4" w:space="0"/>
              <w:left w:val="nil"/>
              <w:bottom w:val="single" w:color="auto" w:sz="4" w:space="0"/>
              <w:right w:val="single" w:color="000000" w:sz="4" w:space="0"/>
            </w:tcBorders>
            <w:noWrap w:val="0"/>
            <w:vAlign w:val="center"/>
          </w:tcPr>
          <w:p w14:paraId="00F1A9B7">
            <w:pPr>
              <w:widowControl/>
              <w:spacing w:line="360" w:lineRule="exact"/>
              <w:jc w:val="center"/>
              <w:rPr>
                <w:rFonts w:hint="default" w:ascii="仿宋_GB2312" w:hAnsi="仿宋_GB2312" w:eastAsia="仿宋_GB2312" w:cs="仿宋_GB2312"/>
                <w:sz w:val="20"/>
                <w:szCs w:val="20"/>
                <w:highlight w:val="none"/>
                <w:lang w:val="en" w:eastAsia="zh-CN"/>
              </w:rPr>
            </w:pPr>
            <w:r>
              <w:rPr>
                <w:rFonts w:hint="default" w:ascii="仿宋_GB2312" w:hAnsi="仿宋_GB2312" w:eastAsia="仿宋_GB2312" w:cs="仿宋_GB2312"/>
                <w:sz w:val="20"/>
                <w:szCs w:val="20"/>
                <w:highlight w:val="none"/>
                <w:lang w:val="en" w:eastAsia="zh-CN"/>
              </w:rPr>
              <w:t>0</w:t>
            </w:r>
          </w:p>
        </w:tc>
      </w:tr>
      <w:tr w14:paraId="1DC9F831">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1FE7ADE5">
            <w:pPr>
              <w:widowControl/>
              <w:spacing w:line="360" w:lineRule="exact"/>
              <w:ind w:firstLine="400" w:firstLineChars="200"/>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3、</w:t>
            </w:r>
            <w:r>
              <w:rPr>
                <w:rFonts w:hint="eastAsia" w:ascii="仿宋_GB2312" w:hAnsi="仿宋_GB2312" w:eastAsia="仿宋_GB2312" w:cs="仿宋_GB2312"/>
                <w:sz w:val="20"/>
                <w:szCs w:val="20"/>
                <w:highlight w:val="none"/>
                <w:lang w:eastAsia="zh-CN"/>
              </w:rPr>
              <w:t>市级</w:t>
            </w:r>
            <w:r>
              <w:rPr>
                <w:rFonts w:hint="eastAsia" w:ascii="仿宋_GB2312" w:hAnsi="仿宋_GB2312" w:eastAsia="仿宋_GB2312" w:cs="仿宋_GB2312"/>
                <w:sz w:val="20"/>
                <w:szCs w:val="20"/>
                <w:highlight w:val="none"/>
              </w:rPr>
              <w:t>专项资金</w:t>
            </w:r>
          </w:p>
        </w:tc>
        <w:tc>
          <w:tcPr>
            <w:tcW w:w="2038" w:type="dxa"/>
            <w:gridSpan w:val="2"/>
            <w:tcBorders>
              <w:top w:val="single" w:color="auto" w:sz="4" w:space="0"/>
              <w:left w:val="nil"/>
              <w:bottom w:val="single" w:color="auto" w:sz="4" w:space="0"/>
              <w:right w:val="single" w:color="000000" w:sz="4" w:space="0"/>
            </w:tcBorders>
            <w:noWrap w:val="0"/>
            <w:vAlign w:val="center"/>
          </w:tcPr>
          <w:p w14:paraId="12E8024F">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lang w:val="en-US" w:eastAsia="zh-CN"/>
              </w:rPr>
              <w:t>0</w:t>
            </w:r>
            <w:r>
              <w:rPr>
                <w:rFonts w:hint="eastAsia" w:ascii="仿宋_GB2312" w:hAnsi="仿宋_GB2312" w:eastAsia="仿宋_GB2312" w:cs="仿宋_GB2312"/>
                <w:sz w:val="20"/>
                <w:szCs w:val="20"/>
                <w:highlight w:val="none"/>
              </w:rPr>
              <w:t>　</w:t>
            </w:r>
          </w:p>
        </w:tc>
        <w:tc>
          <w:tcPr>
            <w:tcW w:w="2240" w:type="dxa"/>
            <w:gridSpan w:val="2"/>
            <w:tcBorders>
              <w:top w:val="single" w:color="auto" w:sz="4" w:space="0"/>
              <w:left w:val="nil"/>
              <w:bottom w:val="single" w:color="auto" w:sz="4" w:space="0"/>
              <w:right w:val="single" w:color="000000" w:sz="4" w:space="0"/>
            </w:tcBorders>
            <w:noWrap w:val="0"/>
            <w:vAlign w:val="center"/>
          </w:tcPr>
          <w:p w14:paraId="269E9E71">
            <w:pPr>
              <w:widowControl/>
              <w:spacing w:line="360" w:lineRule="exact"/>
              <w:jc w:val="center"/>
              <w:rPr>
                <w:rFonts w:hint="default" w:ascii="仿宋_GB2312" w:hAnsi="仿宋_GB2312" w:eastAsia="仿宋_GB2312" w:cs="仿宋_GB2312"/>
                <w:sz w:val="20"/>
                <w:szCs w:val="20"/>
                <w:highlight w:val="none"/>
                <w:lang w:val="en"/>
              </w:rPr>
            </w:pPr>
            <w:r>
              <w:rPr>
                <w:rFonts w:hint="default" w:ascii="仿宋_GB2312" w:hAnsi="仿宋_GB2312" w:eastAsia="仿宋_GB2312" w:cs="仿宋_GB2312"/>
                <w:sz w:val="20"/>
                <w:szCs w:val="20"/>
                <w:highlight w:val="none"/>
                <w:lang w:val="en"/>
              </w:rPr>
              <w:t>0</w:t>
            </w:r>
          </w:p>
        </w:tc>
        <w:tc>
          <w:tcPr>
            <w:tcW w:w="2041" w:type="dxa"/>
            <w:gridSpan w:val="2"/>
            <w:tcBorders>
              <w:top w:val="single" w:color="auto" w:sz="4" w:space="0"/>
              <w:left w:val="nil"/>
              <w:bottom w:val="single" w:color="auto" w:sz="4" w:space="0"/>
              <w:right w:val="single" w:color="000000" w:sz="4" w:space="0"/>
            </w:tcBorders>
            <w:noWrap w:val="0"/>
            <w:vAlign w:val="center"/>
          </w:tcPr>
          <w:p w14:paraId="387D09FF">
            <w:pPr>
              <w:widowControl/>
              <w:spacing w:line="360" w:lineRule="exact"/>
              <w:jc w:val="center"/>
              <w:rPr>
                <w:rFonts w:hint="default" w:ascii="仿宋_GB2312" w:hAnsi="仿宋_GB2312" w:eastAsia="仿宋_GB2312" w:cs="仿宋_GB2312"/>
                <w:sz w:val="20"/>
                <w:szCs w:val="20"/>
                <w:highlight w:val="none"/>
                <w:lang w:val="en"/>
              </w:rPr>
            </w:pPr>
            <w:r>
              <w:rPr>
                <w:rFonts w:hint="default" w:ascii="仿宋_GB2312" w:hAnsi="仿宋_GB2312" w:eastAsia="仿宋_GB2312" w:cs="仿宋_GB2312"/>
                <w:sz w:val="20"/>
                <w:szCs w:val="20"/>
                <w:highlight w:val="none"/>
                <w:lang w:val="en"/>
              </w:rPr>
              <w:t>0</w:t>
            </w:r>
          </w:p>
        </w:tc>
      </w:tr>
      <w:tr w14:paraId="75606FB7">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2D300C78">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公用经费</w:t>
            </w:r>
          </w:p>
        </w:tc>
        <w:tc>
          <w:tcPr>
            <w:tcW w:w="2038" w:type="dxa"/>
            <w:gridSpan w:val="2"/>
            <w:tcBorders>
              <w:top w:val="single" w:color="auto" w:sz="4" w:space="0"/>
              <w:left w:val="nil"/>
              <w:bottom w:val="single" w:color="auto" w:sz="4" w:space="0"/>
              <w:right w:val="single" w:color="000000" w:sz="4" w:space="0"/>
            </w:tcBorders>
            <w:noWrap w:val="0"/>
            <w:vAlign w:val="center"/>
          </w:tcPr>
          <w:p w14:paraId="64D28395">
            <w:pPr>
              <w:widowControl/>
              <w:spacing w:line="360" w:lineRule="exact"/>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sz w:val="20"/>
                <w:szCs w:val="20"/>
                <w:highlight w:val="none"/>
                <w:lang w:val="en-US" w:eastAsia="zh-CN"/>
              </w:rPr>
              <w:t>98.67</w:t>
            </w:r>
          </w:p>
        </w:tc>
        <w:tc>
          <w:tcPr>
            <w:tcW w:w="2240" w:type="dxa"/>
            <w:gridSpan w:val="2"/>
            <w:tcBorders>
              <w:top w:val="single" w:color="auto" w:sz="4" w:space="0"/>
              <w:left w:val="nil"/>
              <w:bottom w:val="single" w:color="auto" w:sz="4" w:space="0"/>
              <w:right w:val="single" w:color="000000" w:sz="4" w:space="0"/>
            </w:tcBorders>
            <w:noWrap w:val="0"/>
            <w:vAlign w:val="center"/>
          </w:tcPr>
          <w:p w14:paraId="11C0DC87">
            <w:pPr>
              <w:widowControl/>
              <w:spacing w:line="36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159.58</w:t>
            </w:r>
          </w:p>
        </w:tc>
        <w:tc>
          <w:tcPr>
            <w:tcW w:w="2041" w:type="dxa"/>
            <w:gridSpan w:val="2"/>
            <w:tcBorders>
              <w:top w:val="single" w:color="auto" w:sz="4" w:space="0"/>
              <w:left w:val="nil"/>
              <w:bottom w:val="single" w:color="auto" w:sz="4" w:space="0"/>
              <w:right w:val="single" w:color="000000" w:sz="4" w:space="0"/>
            </w:tcBorders>
            <w:noWrap w:val="0"/>
            <w:vAlign w:val="center"/>
          </w:tcPr>
          <w:p w14:paraId="10274970">
            <w:pPr>
              <w:widowControl/>
              <w:spacing w:line="360" w:lineRule="exact"/>
              <w:ind w:firstLine="600" w:firstLineChars="300"/>
              <w:jc w:val="both"/>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149.77</w:t>
            </w:r>
          </w:p>
        </w:tc>
      </w:tr>
      <w:tr w14:paraId="6D76C359">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7F7A0C07">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其中：办公经费</w:t>
            </w:r>
          </w:p>
        </w:tc>
        <w:tc>
          <w:tcPr>
            <w:tcW w:w="2038" w:type="dxa"/>
            <w:gridSpan w:val="2"/>
            <w:tcBorders>
              <w:top w:val="single" w:color="auto" w:sz="4" w:space="0"/>
              <w:left w:val="nil"/>
              <w:bottom w:val="single" w:color="auto" w:sz="4" w:space="0"/>
              <w:right w:val="single" w:color="000000" w:sz="4" w:space="0"/>
            </w:tcBorders>
            <w:noWrap w:val="0"/>
            <w:vAlign w:val="center"/>
          </w:tcPr>
          <w:p w14:paraId="139D75C4">
            <w:pPr>
              <w:widowControl/>
              <w:spacing w:line="360" w:lineRule="exact"/>
              <w:jc w:val="center"/>
              <w:rPr>
                <w:rFonts w:hint="eastAsia" w:ascii="仿宋_GB2312" w:hAnsi="仿宋_GB2312" w:eastAsia="仿宋_GB2312" w:cs="仿宋_GB2312"/>
                <w:color w:val="auto"/>
                <w:sz w:val="20"/>
                <w:szCs w:val="20"/>
                <w:highlight w:val="none"/>
              </w:rPr>
            </w:pPr>
            <w:r>
              <w:rPr>
                <w:rFonts w:hint="default" w:ascii="仿宋_GB2312" w:hAnsi="仿宋_GB2312" w:eastAsia="仿宋_GB2312" w:cs="仿宋_GB2312"/>
                <w:color w:val="auto"/>
                <w:sz w:val="20"/>
                <w:szCs w:val="20"/>
                <w:highlight w:val="none"/>
                <w:lang w:val="en"/>
              </w:rPr>
              <w:t>5.32</w:t>
            </w:r>
          </w:p>
        </w:tc>
        <w:tc>
          <w:tcPr>
            <w:tcW w:w="2240" w:type="dxa"/>
            <w:gridSpan w:val="2"/>
            <w:tcBorders>
              <w:top w:val="single" w:color="auto" w:sz="4" w:space="0"/>
              <w:left w:val="nil"/>
              <w:bottom w:val="single" w:color="auto" w:sz="4" w:space="0"/>
              <w:right w:val="single" w:color="000000" w:sz="4" w:space="0"/>
            </w:tcBorders>
            <w:noWrap w:val="0"/>
            <w:vAlign w:val="center"/>
          </w:tcPr>
          <w:p w14:paraId="0FA4993A">
            <w:pPr>
              <w:widowControl/>
              <w:spacing w:line="360" w:lineRule="exact"/>
              <w:jc w:val="center"/>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2.69</w:t>
            </w:r>
          </w:p>
        </w:tc>
        <w:tc>
          <w:tcPr>
            <w:tcW w:w="2041" w:type="dxa"/>
            <w:gridSpan w:val="2"/>
            <w:tcBorders>
              <w:top w:val="single" w:color="auto" w:sz="4" w:space="0"/>
              <w:left w:val="nil"/>
              <w:bottom w:val="single" w:color="auto" w:sz="4" w:space="0"/>
              <w:right w:val="single" w:color="000000" w:sz="4" w:space="0"/>
            </w:tcBorders>
            <w:noWrap w:val="0"/>
            <w:vAlign w:val="center"/>
          </w:tcPr>
          <w:p w14:paraId="6D134E90">
            <w:pPr>
              <w:widowControl/>
              <w:spacing w:line="360" w:lineRule="exact"/>
              <w:jc w:val="center"/>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2.69</w:t>
            </w:r>
          </w:p>
        </w:tc>
      </w:tr>
      <w:tr w14:paraId="62D462BF">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0BC4F474">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水费、电费、差旅费</w:t>
            </w:r>
          </w:p>
        </w:tc>
        <w:tc>
          <w:tcPr>
            <w:tcW w:w="2038" w:type="dxa"/>
            <w:gridSpan w:val="2"/>
            <w:tcBorders>
              <w:top w:val="single" w:color="auto" w:sz="4" w:space="0"/>
              <w:left w:val="nil"/>
              <w:bottom w:val="single" w:color="auto" w:sz="4" w:space="0"/>
              <w:right w:val="single" w:color="000000" w:sz="4" w:space="0"/>
            </w:tcBorders>
            <w:noWrap w:val="0"/>
            <w:vAlign w:val="center"/>
          </w:tcPr>
          <w:p w14:paraId="0A88EAC0">
            <w:pPr>
              <w:widowControl/>
              <w:spacing w:line="360" w:lineRule="exact"/>
              <w:jc w:val="center"/>
              <w:rPr>
                <w:rFonts w:hint="eastAsia" w:ascii="仿宋_GB2312" w:hAnsi="仿宋_GB2312" w:eastAsia="仿宋_GB2312" w:cs="仿宋_GB2312"/>
                <w:color w:val="auto"/>
                <w:sz w:val="20"/>
                <w:szCs w:val="20"/>
                <w:highlight w:val="none"/>
              </w:rPr>
            </w:pPr>
            <w:r>
              <w:rPr>
                <w:rFonts w:hint="default" w:ascii="仿宋_GB2312" w:hAnsi="仿宋_GB2312" w:eastAsia="仿宋_GB2312" w:cs="仿宋_GB2312"/>
                <w:color w:val="auto"/>
                <w:sz w:val="20"/>
                <w:szCs w:val="20"/>
                <w:highlight w:val="none"/>
                <w:lang w:val="en"/>
              </w:rPr>
              <w:t>0</w:t>
            </w:r>
          </w:p>
        </w:tc>
        <w:tc>
          <w:tcPr>
            <w:tcW w:w="2240" w:type="dxa"/>
            <w:gridSpan w:val="2"/>
            <w:tcBorders>
              <w:top w:val="single" w:color="auto" w:sz="4" w:space="0"/>
              <w:left w:val="nil"/>
              <w:bottom w:val="single" w:color="auto" w:sz="4" w:space="0"/>
              <w:right w:val="single" w:color="000000" w:sz="4" w:space="0"/>
            </w:tcBorders>
            <w:noWrap w:val="0"/>
            <w:vAlign w:val="center"/>
          </w:tcPr>
          <w:p w14:paraId="494F0BDC">
            <w:pPr>
              <w:widowControl/>
              <w:spacing w:line="360" w:lineRule="exact"/>
              <w:jc w:val="center"/>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9.37</w:t>
            </w:r>
          </w:p>
        </w:tc>
        <w:tc>
          <w:tcPr>
            <w:tcW w:w="2041" w:type="dxa"/>
            <w:gridSpan w:val="2"/>
            <w:tcBorders>
              <w:top w:val="single" w:color="auto" w:sz="4" w:space="0"/>
              <w:left w:val="nil"/>
              <w:bottom w:val="single" w:color="auto" w:sz="4" w:space="0"/>
              <w:right w:val="single" w:color="000000" w:sz="4" w:space="0"/>
            </w:tcBorders>
            <w:noWrap w:val="0"/>
            <w:vAlign w:val="center"/>
          </w:tcPr>
          <w:p w14:paraId="1805D52F">
            <w:pPr>
              <w:widowControl/>
              <w:spacing w:line="360" w:lineRule="exact"/>
              <w:jc w:val="center"/>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9.37</w:t>
            </w:r>
          </w:p>
        </w:tc>
      </w:tr>
      <w:tr w14:paraId="63B2B4D6">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24F8575A">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会议费、培训费</w:t>
            </w:r>
          </w:p>
        </w:tc>
        <w:tc>
          <w:tcPr>
            <w:tcW w:w="2038" w:type="dxa"/>
            <w:gridSpan w:val="2"/>
            <w:tcBorders>
              <w:top w:val="single" w:color="auto" w:sz="4" w:space="0"/>
              <w:left w:val="nil"/>
              <w:bottom w:val="single" w:color="auto" w:sz="4" w:space="0"/>
              <w:right w:val="single" w:color="000000" w:sz="4" w:space="0"/>
            </w:tcBorders>
            <w:noWrap w:val="0"/>
            <w:vAlign w:val="center"/>
          </w:tcPr>
          <w:p w14:paraId="0068555F">
            <w:pPr>
              <w:widowControl/>
              <w:spacing w:line="360" w:lineRule="exact"/>
              <w:jc w:val="center"/>
              <w:rPr>
                <w:rFonts w:hint="default" w:ascii="仿宋_GB2312" w:hAnsi="仿宋_GB2312" w:eastAsia="仿宋_GB2312" w:cs="仿宋_GB2312"/>
                <w:color w:val="auto"/>
                <w:sz w:val="20"/>
                <w:szCs w:val="20"/>
                <w:highlight w:val="none"/>
                <w:lang w:val="en-US" w:eastAsia="zh-CN"/>
              </w:rPr>
            </w:pPr>
            <w:r>
              <w:rPr>
                <w:rFonts w:hint="default" w:ascii="仿宋_GB2312" w:hAnsi="仿宋_GB2312" w:eastAsia="仿宋_GB2312" w:cs="仿宋_GB2312"/>
                <w:color w:val="auto"/>
                <w:sz w:val="20"/>
                <w:szCs w:val="20"/>
                <w:highlight w:val="none"/>
                <w:lang w:val="en"/>
              </w:rPr>
              <w:t>0</w:t>
            </w:r>
          </w:p>
        </w:tc>
        <w:tc>
          <w:tcPr>
            <w:tcW w:w="2240" w:type="dxa"/>
            <w:gridSpan w:val="2"/>
            <w:tcBorders>
              <w:top w:val="single" w:color="auto" w:sz="4" w:space="0"/>
              <w:left w:val="nil"/>
              <w:bottom w:val="single" w:color="auto" w:sz="4" w:space="0"/>
              <w:right w:val="single" w:color="000000" w:sz="4" w:space="0"/>
            </w:tcBorders>
            <w:noWrap w:val="0"/>
            <w:vAlign w:val="center"/>
          </w:tcPr>
          <w:p w14:paraId="44E47E9E">
            <w:pPr>
              <w:widowControl/>
              <w:spacing w:line="360" w:lineRule="exact"/>
              <w:jc w:val="center"/>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0.64</w:t>
            </w:r>
          </w:p>
        </w:tc>
        <w:tc>
          <w:tcPr>
            <w:tcW w:w="2041" w:type="dxa"/>
            <w:gridSpan w:val="2"/>
            <w:tcBorders>
              <w:top w:val="single" w:color="auto" w:sz="4" w:space="0"/>
              <w:left w:val="nil"/>
              <w:bottom w:val="single" w:color="auto" w:sz="4" w:space="0"/>
              <w:right w:val="single" w:color="000000" w:sz="4" w:space="0"/>
            </w:tcBorders>
            <w:noWrap w:val="0"/>
            <w:vAlign w:val="center"/>
          </w:tcPr>
          <w:p w14:paraId="4E08D0A3">
            <w:pPr>
              <w:widowControl/>
              <w:spacing w:line="360" w:lineRule="exact"/>
              <w:jc w:val="center"/>
              <w:rPr>
                <w:rFonts w:hint="default" w:ascii="仿宋_GB2312" w:hAnsi="仿宋_GB2312" w:eastAsia="仿宋_GB2312" w:cs="仿宋_GB2312"/>
                <w:color w:val="auto"/>
                <w:sz w:val="20"/>
                <w:szCs w:val="20"/>
                <w:highlight w:val="none"/>
                <w:lang w:val="en-US" w:eastAsia="zh-CN"/>
              </w:rPr>
            </w:pPr>
            <w:r>
              <w:rPr>
                <w:rFonts w:hint="default" w:ascii="仿宋_GB2312" w:hAnsi="仿宋_GB2312" w:eastAsia="仿宋_GB2312" w:cs="仿宋_GB2312"/>
                <w:color w:val="auto"/>
                <w:sz w:val="20"/>
                <w:szCs w:val="20"/>
                <w:highlight w:val="none"/>
                <w:lang w:val="en"/>
              </w:rPr>
              <w:t>0</w:t>
            </w:r>
            <w:r>
              <w:rPr>
                <w:rFonts w:hint="eastAsia" w:ascii="仿宋_GB2312" w:hAnsi="仿宋_GB2312" w:eastAsia="仿宋_GB2312" w:cs="仿宋_GB2312"/>
                <w:color w:val="auto"/>
                <w:sz w:val="20"/>
                <w:szCs w:val="20"/>
                <w:highlight w:val="none"/>
                <w:lang w:val="en-US" w:eastAsia="zh-CN"/>
              </w:rPr>
              <w:t>.64</w:t>
            </w:r>
          </w:p>
        </w:tc>
      </w:tr>
      <w:tr w14:paraId="5C2822B2">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0DEDDD76">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政府采购金额</w:t>
            </w:r>
          </w:p>
        </w:tc>
        <w:tc>
          <w:tcPr>
            <w:tcW w:w="2038" w:type="dxa"/>
            <w:gridSpan w:val="2"/>
            <w:tcBorders>
              <w:top w:val="single" w:color="auto" w:sz="4" w:space="0"/>
              <w:left w:val="nil"/>
              <w:bottom w:val="single" w:color="auto" w:sz="4" w:space="0"/>
              <w:right w:val="single" w:color="000000" w:sz="4" w:space="0"/>
            </w:tcBorders>
            <w:noWrap w:val="0"/>
            <w:vAlign w:val="center"/>
          </w:tcPr>
          <w:p w14:paraId="01101DCB">
            <w:pPr>
              <w:widowControl/>
              <w:spacing w:line="360" w:lineRule="exact"/>
              <w:jc w:val="center"/>
              <w:rPr>
                <w:rFonts w:hint="eastAsia" w:ascii="仿宋_GB2312" w:hAnsi="仿宋_GB2312" w:eastAsia="仿宋_GB2312" w:cs="仿宋_GB2312"/>
                <w:color w:val="auto"/>
                <w:sz w:val="20"/>
                <w:szCs w:val="20"/>
                <w:highlight w:val="none"/>
                <w:lang w:eastAsia="zh-CN"/>
              </w:rPr>
            </w:pPr>
            <w:r>
              <w:rPr>
                <w:rFonts w:hint="default" w:ascii="仿宋_GB2312" w:hAnsi="仿宋_GB2312" w:eastAsia="仿宋_GB2312" w:cs="仿宋_GB2312"/>
                <w:sz w:val="20"/>
                <w:szCs w:val="20"/>
                <w:highlight w:val="none"/>
                <w:lang w:val="en"/>
              </w:rPr>
              <w:t>5.87</w:t>
            </w:r>
          </w:p>
        </w:tc>
        <w:tc>
          <w:tcPr>
            <w:tcW w:w="2240" w:type="dxa"/>
            <w:gridSpan w:val="2"/>
            <w:tcBorders>
              <w:top w:val="single" w:color="auto" w:sz="4" w:space="0"/>
              <w:left w:val="nil"/>
              <w:bottom w:val="single" w:color="auto" w:sz="4" w:space="0"/>
              <w:right w:val="single" w:color="000000" w:sz="4" w:space="0"/>
            </w:tcBorders>
            <w:noWrap w:val="0"/>
            <w:vAlign w:val="center"/>
          </w:tcPr>
          <w:p w14:paraId="2B0CBD9E">
            <w:pPr>
              <w:widowControl/>
              <w:spacing w:line="36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11.86</w:t>
            </w:r>
          </w:p>
        </w:tc>
        <w:tc>
          <w:tcPr>
            <w:tcW w:w="2041" w:type="dxa"/>
            <w:gridSpan w:val="2"/>
            <w:tcBorders>
              <w:top w:val="single" w:color="auto" w:sz="4" w:space="0"/>
              <w:left w:val="nil"/>
              <w:bottom w:val="single" w:color="auto" w:sz="4" w:space="0"/>
              <w:right w:val="single" w:color="000000" w:sz="4" w:space="0"/>
            </w:tcBorders>
            <w:noWrap w:val="0"/>
            <w:vAlign w:val="center"/>
          </w:tcPr>
          <w:p w14:paraId="7FA84B00">
            <w:pPr>
              <w:widowControl/>
              <w:spacing w:line="36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11.86</w:t>
            </w:r>
          </w:p>
        </w:tc>
      </w:tr>
      <w:tr w14:paraId="059D2A61">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51FA4889">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部门基本支出预算调整 </w:t>
            </w:r>
          </w:p>
        </w:tc>
        <w:tc>
          <w:tcPr>
            <w:tcW w:w="2038" w:type="dxa"/>
            <w:gridSpan w:val="2"/>
            <w:tcBorders>
              <w:top w:val="single" w:color="auto" w:sz="4" w:space="0"/>
              <w:left w:val="nil"/>
              <w:bottom w:val="single" w:color="auto" w:sz="4" w:space="0"/>
              <w:right w:val="single" w:color="000000" w:sz="4" w:space="0"/>
            </w:tcBorders>
            <w:noWrap w:val="0"/>
            <w:vAlign w:val="center"/>
          </w:tcPr>
          <w:p w14:paraId="07077427">
            <w:pPr>
              <w:widowControl/>
              <w:spacing w:line="36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471.59</w:t>
            </w:r>
          </w:p>
        </w:tc>
        <w:tc>
          <w:tcPr>
            <w:tcW w:w="2240" w:type="dxa"/>
            <w:gridSpan w:val="2"/>
            <w:tcBorders>
              <w:top w:val="single" w:color="auto" w:sz="4" w:space="0"/>
              <w:left w:val="nil"/>
              <w:bottom w:val="single" w:color="auto" w:sz="4" w:space="0"/>
              <w:right w:val="single" w:color="000000" w:sz="4" w:space="0"/>
            </w:tcBorders>
            <w:noWrap w:val="0"/>
            <w:vAlign w:val="center"/>
          </w:tcPr>
          <w:p w14:paraId="74664569">
            <w:pPr>
              <w:widowControl/>
              <w:spacing w:line="36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531.00</w:t>
            </w:r>
          </w:p>
        </w:tc>
        <w:tc>
          <w:tcPr>
            <w:tcW w:w="2041" w:type="dxa"/>
            <w:gridSpan w:val="2"/>
            <w:tcBorders>
              <w:top w:val="single" w:color="auto" w:sz="4" w:space="0"/>
              <w:left w:val="nil"/>
              <w:bottom w:val="single" w:color="auto" w:sz="4" w:space="0"/>
              <w:right w:val="single" w:color="000000" w:sz="4" w:space="0"/>
            </w:tcBorders>
            <w:noWrap w:val="0"/>
            <w:vAlign w:val="center"/>
          </w:tcPr>
          <w:p w14:paraId="1003D009">
            <w:pPr>
              <w:widowControl/>
              <w:spacing w:line="36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517.40</w:t>
            </w:r>
          </w:p>
        </w:tc>
      </w:tr>
      <w:tr w14:paraId="14ACC0A0">
        <w:tblPrEx>
          <w:tblCellMar>
            <w:top w:w="0" w:type="dxa"/>
            <w:left w:w="108" w:type="dxa"/>
            <w:bottom w:w="0" w:type="dxa"/>
            <w:right w:w="108" w:type="dxa"/>
          </w:tblCellMar>
        </w:tblPrEx>
        <w:trPr>
          <w:trHeight w:val="0" w:hRule="atLeast"/>
          <w:jc w:val="center"/>
        </w:trPr>
        <w:tc>
          <w:tcPr>
            <w:tcW w:w="3354" w:type="dxa"/>
            <w:vMerge w:val="restart"/>
            <w:tcBorders>
              <w:top w:val="nil"/>
              <w:left w:val="single" w:color="auto" w:sz="4" w:space="0"/>
              <w:bottom w:val="single" w:color="auto" w:sz="4" w:space="0"/>
              <w:right w:val="single" w:color="auto" w:sz="4" w:space="0"/>
            </w:tcBorders>
            <w:noWrap w:val="0"/>
            <w:vAlign w:val="center"/>
          </w:tcPr>
          <w:p w14:paraId="1336FA24">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楼堂馆所控制情况</w:t>
            </w:r>
            <w:r>
              <w:rPr>
                <w:rFonts w:hint="eastAsia" w:ascii="仿宋_GB2312" w:hAnsi="仿宋_GB2312" w:eastAsia="仿宋_GB2312" w:cs="仿宋_GB2312"/>
                <w:sz w:val="20"/>
                <w:szCs w:val="20"/>
                <w:highlight w:val="none"/>
              </w:rPr>
              <w:br w:type="textWrapping"/>
            </w:r>
            <w:r>
              <w:rPr>
                <w:rFonts w:hint="eastAsia" w:ascii="仿宋_GB2312" w:hAnsi="仿宋_GB2312" w:eastAsia="仿宋_GB2312" w:cs="仿宋_GB2312"/>
                <w:sz w:val="20"/>
                <w:szCs w:val="20"/>
                <w:highlight w:val="none"/>
              </w:rPr>
              <w:t>（202</w:t>
            </w:r>
            <w:r>
              <w:rPr>
                <w:rFonts w:hint="default" w:ascii="仿宋_GB2312" w:hAnsi="仿宋_GB2312" w:eastAsia="仿宋_GB2312" w:cs="仿宋_GB2312"/>
                <w:sz w:val="20"/>
                <w:szCs w:val="20"/>
                <w:highlight w:val="none"/>
                <w:lang w:val="en"/>
              </w:rPr>
              <w:t>4</w:t>
            </w:r>
            <w:r>
              <w:rPr>
                <w:rFonts w:hint="eastAsia" w:ascii="仿宋_GB2312" w:hAnsi="仿宋_GB2312" w:eastAsia="仿宋_GB2312" w:cs="仿宋_GB2312"/>
                <w:sz w:val="20"/>
                <w:szCs w:val="20"/>
                <w:highlight w:val="none"/>
              </w:rPr>
              <w:t>年完工项目）</w:t>
            </w:r>
          </w:p>
        </w:tc>
        <w:tc>
          <w:tcPr>
            <w:tcW w:w="1189" w:type="dxa"/>
            <w:tcBorders>
              <w:top w:val="nil"/>
              <w:left w:val="nil"/>
              <w:bottom w:val="single" w:color="auto" w:sz="4" w:space="0"/>
              <w:right w:val="single" w:color="auto" w:sz="4" w:space="0"/>
            </w:tcBorders>
            <w:noWrap w:val="0"/>
            <w:vAlign w:val="center"/>
          </w:tcPr>
          <w:p w14:paraId="7E72AA2D">
            <w:pPr>
              <w:widowControl/>
              <w:spacing w:line="360" w:lineRule="exact"/>
              <w:jc w:val="center"/>
              <w:rPr>
                <w:rFonts w:hint="eastAsia" w:ascii="仿宋_GB2312" w:hAnsi="仿宋_GB2312" w:eastAsia="仿宋_GB2312" w:cs="仿宋_GB2312"/>
                <w:bCs/>
                <w:sz w:val="20"/>
                <w:szCs w:val="20"/>
                <w:highlight w:val="none"/>
              </w:rPr>
            </w:pPr>
            <w:r>
              <w:rPr>
                <w:rFonts w:hint="eastAsia" w:ascii="仿宋_GB2312" w:hAnsi="仿宋_GB2312" w:eastAsia="仿宋_GB2312" w:cs="仿宋_GB2312"/>
                <w:bCs/>
                <w:sz w:val="20"/>
                <w:szCs w:val="20"/>
                <w:highlight w:val="none"/>
              </w:rPr>
              <w:t>批复规模</w:t>
            </w:r>
            <w:r>
              <w:rPr>
                <w:rFonts w:hint="eastAsia" w:ascii="仿宋_GB2312" w:hAnsi="仿宋_GB2312" w:eastAsia="仿宋_GB2312" w:cs="仿宋_GB2312"/>
                <w:bCs/>
                <w:sz w:val="20"/>
                <w:szCs w:val="20"/>
                <w:highlight w:val="none"/>
              </w:rPr>
              <w:br w:type="textWrapping"/>
            </w:r>
            <w:r>
              <w:rPr>
                <w:rFonts w:hint="eastAsia" w:ascii="仿宋_GB2312" w:hAnsi="仿宋_GB2312" w:eastAsia="仿宋_GB2312" w:cs="仿宋_GB2312"/>
                <w:bCs/>
                <w:sz w:val="20"/>
                <w:szCs w:val="20"/>
                <w:highlight w:val="none"/>
              </w:rPr>
              <w:t>（㎡）</w:t>
            </w:r>
          </w:p>
        </w:tc>
        <w:tc>
          <w:tcPr>
            <w:tcW w:w="849" w:type="dxa"/>
            <w:tcBorders>
              <w:top w:val="nil"/>
              <w:left w:val="nil"/>
              <w:bottom w:val="single" w:color="auto" w:sz="4" w:space="0"/>
              <w:right w:val="single" w:color="auto" w:sz="4" w:space="0"/>
            </w:tcBorders>
            <w:noWrap w:val="0"/>
            <w:vAlign w:val="center"/>
          </w:tcPr>
          <w:p w14:paraId="19AD3CED">
            <w:pPr>
              <w:widowControl/>
              <w:spacing w:line="360" w:lineRule="exact"/>
              <w:jc w:val="center"/>
              <w:rPr>
                <w:rFonts w:hint="eastAsia" w:ascii="仿宋_GB2312" w:hAnsi="仿宋_GB2312" w:eastAsia="仿宋_GB2312" w:cs="仿宋_GB2312"/>
                <w:bCs/>
                <w:sz w:val="20"/>
                <w:szCs w:val="20"/>
                <w:highlight w:val="none"/>
              </w:rPr>
            </w:pPr>
            <w:r>
              <w:rPr>
                <w:rFonts w:hint="eastAsia" w:ascii="仿宋_GB2312" w:hAnsi="仿宋_GB2312" w:eastAsia="仿宋_GB2312" w:cs="仿宋_GB2312"/>
                <w:bCs/>
                <w:sz w:val="20"/>
                <w:szCs w:val="20"/>
                <w:highlight w:val="none"/>
              </w:rPr>
              <w:t>实际规模（㎡）</w:t>
            </w:r>
          </w:p>
        </w:tc>
        <w:tc>
          <w:tcPr>
            <w:tcW w:w="1129" w:type="dxa"/>
            <w:tcBorders>
              <w:top w:val="nil"/>
              <w:left w:val="nil"/>
              <w:bottom w:val="single" w:color="auto" w:sz="4" w:space="0"/>
              <w:right w:val="single" w:color="auto" w:sz="4" w:space="0"/>
            </w:tcBorders>
            <w:noWrap w:val="0"/>
            <w:vAlign w:val="center"/>
          </w:tcPr>
          <w:p w14:paraId="67F02086">
            <w:pPr>
              <w:widowControl/>
              <w:spacing w:line="360" w:lineRule="exact"/>
              <w:jc w:val="center"/>
              <w:rPr>
                <w:rFonts w:hint="eastAsia" w:ascii="仿宋_GB2312" w:hAnsi="仿宋_GB2312" w:eastAsia="仿宋_GB2312" w:cs="仿宋_GB2312"/>
                <w:bCs/>
                <w:sz w:val="20"/>
                <w:szCs w:val="20"/>
                <w:highlight w:val="none"/>
              </w:rPr>
            </w:pPr>
            <w:r>
              <w:rPr>
                <w:rFonts w:hint="eastAsia" w:ascii="仿宋_GB2312" w:hAnsi="仿宋_GB2312" w:eastAsia="仿宋_GB2312" w:cs="仿宋_GB2312"/>
                <w:bCs/>
                <w:sz w:val="20"/>
                <w:szCs w:val="20"/>
                <w:highlight w:val="none"/>
              </w:rPr>
              <w:t>规模控制率</w:t>
            </w:r>
          </w:p>
        </w:tc>
        <w:tc>
          <w:tcPr>
            <w:tcW w:w="1111" w:type="dxa"/>
            <w:tcBorders>
              <w:top w:val="nil"/>
              <w:left w:val="nil"/>
              <w:bottom w:val="single" w:color="auto" w:sz="4" w:space="0"/>
              <w:right w:val="single" w:color="auto" w:sz="4" w:space="0"/>
            </w:tcBorders>
            <w:noWrap w:val="0"/>
            <w:vAlign w:val="center"/>
          </w:tcPr>
          <w:p w14:paraId="4BCB6284">
            <w:pPr>
              <w:widowControl/>
              <w:spacing w:line="360" w:lineRule="exact"/>
              <w:jc w:val="center"/>
              <w:rPr>
                <w:rFonts w:hint="eastAsia" w:ascii="仿宋_GB2312" w:hAnsi="仿宋_GB2312" w:eastAsia="仿宋_GB2312" w:cs="仿宋_GB2312"/>
                <w:bCs/>
                <w:sz w:val="20"/>
                <w:szCs w:val="20"/>
                <w:highlight w:val="none"/>
              </w:rPr>
            </w:pPr>
            <w:r>
              <w:rPr>
                <w:rFonts w:hint="eastAsia" w:ascii="仿宋_GB2312" w:hAnsi="仿宋_GB2312" w:eastAsia="仿宋_GB2312" w:cs="仿宋_GB2312"/>
                <w:bCs/>
                <w:sz w:val="20"/>
                <w:szCs w:val="20"/>
                <w:highlight w:val="none"/>
              </w:rPr>
              <w:t>预算投资（万元）</w:t>
            </w:r>
          </w:p>
        </w:tc>
        <w:tc>
          <w:tcPr>
            <w:tcW w:w="1081" w:type="dxa"/>
            <w:tcBorders>
              <w:top w:val="nil"/>
              <w:left w:val="nil"/>
              <w:bottom w:val="single" w:color="auto" w:sz="4" w:space="0"/>
              <w:right w:val="single" w:color="auto" w:sz="4" w:space="0"/>
            </w:tcBorders>
            <w:noWrap w:val="0"/>
            <w:vAlign w:val="center"/>
          </w:tcPr>
          <w:p w14:paraId="0EA4F9FF">
            <w:pPr>
              <w:widowControl/>
              <w:spacing w:line="360" w:lineRule="exact"/>
              <w:jc w:val="center"/>
              <w:rPr>
                <w:rFonts w:hint="eastAsia" w:ascii="仿宋_GB2312" w:hAnsi="仿宋_GB2312" w:eastAsia="仿宋_GB2312" w:cs="仿宋_GB2312"/>
                <w:bCs/>
                <w:sz w:val="20"/>
                <w:szCs w:val="20"/>
                <w:highlight w:val="none"/>
              </w:rPr>
            </w:pPr>
            <w:r>
              <w:rPr>
                <w:rFonts w:hint="eastAsia" w:ascii="仿宋_GB2312" w:hAnsi="仿宋_GB2312" w:eastAsia="仿宋_GB2312" w:cs="仿宋_GB2312"/>
                <w:bCs/>
                <w:sz w:val="20"/>
                <w:szCs w:val="20"/>
                <w:highlight w:val="none"/>
              </w:rPr>
              <w:t>实际投资（万元）</w:t>
            </w:r>
          </w:p>
        </w:tc>
        <w:tc>
          <w:tcPr>
            <w:tcW w:w="960" w:type="dxa"/>
            <w:tcBorders>
              <w:top w:val="nil"/>
              <w:left w:val="nil"/>
              <w:bottom w:val="single" w:color="auto" w:sz="4" w:space="0"/>
              <w:right w:val="single" w:color="auto" w:sz="4" w:space="0"/>
            </w:tcBorders>
            <w:noWrap w:val="0"/>
            <w:vAlign w:val="center"/>
          </w:tcPr>
          <w:p w14:paraId="078C473B">
            <w:pPr>
              <w:widowControl/>
              <w:spacing w:line="360" w:lineRule="exact"/>
              <w:jc w:val="center"/>
              <w:rPr>
                <w:rFonts w:hint="eastAsia" w:ascii="仿宋_GB2312" w:hAnsi="仿宋_GB2312" w:eastAsia="仿宋_GB2312" w:cs="仿宋_GB2312"/>
                <w:bCs/>
                <w:sz w:val="20"/>
                <w:szCs w:val="20"/>
                <w:highlight w:val="none"/>
              </w:rPr>
            </w:pPr>
            <w:r>
              <w:rPr>
                <w:rFonts w:hint="eastAsia" w:ascii="仿宋_GB2312" w:hAnsi="仿宋_GB2312" w:eastAsia="仿宋_GB2312" w:cs="仿宋_GB2312"/>
                <w:bCs/>
                <w:sz w:val="20"/>
                <w:szCs w:val="20"/>
                <w:highlight w:val="none"/>
              </w:rPr>
              <w:t>投资概算控制率</w:t>
            </w:r>
          </w:p>
        </w:tc>
      </w:tr>
      <w:tr w14:paraId="7CD06187">
        <w:tblPrEx>
          <w:tblCellMar>
            <w:top w:w="0" w:type="dxa"/>
            <w:left w:w="108" w:type="dxa"/>
            <w:bottom w:w="0" w:type="dxa"/>
            <w:right w:w="108" w:type="dxa"/>
          </w:tblCellMar>
        </w:tblPrEx>
        <w:trPr>
          <w:trHeight w:val="0" w:hRule="atLeast"/>
          <w:jc w:val="center"/>
        </w:trPr>
        <w:tc>
          <w:tcPr>
            <w:tcW w:w="3354" w:type="dxa"/>
            <w:vMerge w:val="continue"/>
            <w:tcBorders>
              <w:top w:val="nil"/>
              <w:left w:val="single" w:color="auto" w:sz="4" w:space="0"/>
              <w:bottom w:val="single" w:color="auto" w:sz="4" w:space="0"/>
              <w:right w:val="single" w:color="auto" w:sz="4" w:space="0"/>
            </w:tcBorders>
            <w:noWrap w:val="0"/>
            <w:vAlign w:val="center"/>
          </w:tcPr>
          <w:p w14:paraId="5879840E">
            <w:pPr>
              <w:widowControl/>
              <w:spacing w:line="360" w:lineRule="exact"/>
              <w:jc w:val="left"/>
              <w:rPr>
                <w:rFonts w:hint="eastAsia" w:ascii="仿宋_GB2312" w:hAnsi="仿宋_GB2312" w:eastAsia="仿宋_GB2312" w:cs="仿宋_GB2312"/>
                <w:sz w:val="20"/>
                <w:szCs w:val="20"/>
                <w:highlight w:val="none"/>
              </w:rPr>
            </w:pPr>
          </w:p>
        </w:tc>
        <w:tc>
          <w:tcPr>
            <w:tcW w:w="1189" w:type="dxa"/>
            <w:tcBorders>
              <w:top w:val="nil"/>
              <w:left w:val="nil"/>
              <w:bottom w:val="single" w:color="auto" w:sz="4" w:space="0"/>
              <w:right w:val="single" w:color="auto" w:sz="4" w:space="0"/>
            </w:tcBorders>
            <w:noWrap w:val="0"/>
            <w:vAlign w:val="center"/>
          </w:tcPr>
          <w:p w14:paraId="74899F14">
            <w:pPr>
              <w:widowControl/>
              <w:spacing w:line="360" w:lineRule="exact"/>
              <w:jc w:val="center"/>
              <w:rPr>
                <w:rFonts w:hint="eastAsia" w:ascii="仿宋_GB2312" w:hAnsi="仿宋_GB2312" w:eastAsia="仿宋_GB2312" w:cs="仿宋_GB2312"/>
                <w:sz w:val="20"/>
                <w:szCs w:val="20"/>
                <w:highlight w:val="none"/>
              </w:rPr>
            </w:pPr>
            <w:r>
              <w:rPr>
                <w:rFonts w:hint="default" w:ascii="仿宋_GB2312" w:hAnsi="仿宋_GB2312" w:eastAsia="仿宋_GB2312" w:cs="仿宋_GB2312"/>
                <w:sz w:val="20"/>
                <w:szCs w:val="20"/>
                <w:highlight w:val="none"/>
                <w:lang w:val="en"/>
              </w:rPr>
              <w:t>0</w:t>
            </w:r>
            <w:r>
              <w:rPr>
                <w:rFonts w:hint="eastAsia" w:ascii="仿宋_GB2312" w:hAnsi="仿宋_GB2312" w:eastAsia="仿宋_GB2312" w:cs="仿宋_GB2312"/>
                <w:sz w:val="20"/>
                <w:szCs w:val="20"/>
                <w:highlight w:val="none"/>
              </w:rPr>
              <w:t>　</w:t>
            </w:r>
          </w:p>
        </w:tc>
        <w:tc>
          <w:tcPr>
            <w:tcW w:w="849" w:type="dxa"/>
            <w:tcBorders>
              <w:top w:val="nil"/>
              <w:left w:val="nil"/>
              <w:bottom w:val="single" w:color="auto" w:sz="4" w:space="0"/>
              <w:right w:val="single" w:color="auto" w:sz="4" w:space="0"/>
            </w:tcBorders>
            <w:noWrap w:val="0"/>
            <w:vAlign w:val="center"/>
          </w:tcPr>
          <w:p w14:paraId="5640F2F0">
            <w:pPr>
              <w:widowControl/>
              <w:spacing w:line="360" w:lineRule="exact"/>
              <w:jc w:val="left"/>
              <w:rPr>
                <w:rFonts w:hint="default" w:ascii="仿宋_GB2312" w:hAnsi="仿宋_GB2312" w:eastAsia="仿宋_GB2312" w:cs="仿宋_GB2312"/>
                <w:sz w:val="20"/>
                <w:szCs w:val="20"/>
                <w:highlight w:val="none"/>
                <w:lang w:val="en"/>
              </w:rPr>
            </w:pPr>
            <w:r>
              <w:rPr>
                <w:rFonts w:hint="eastAsia" w:ascii="仿宋_GB2312" w:hAnsi="仿宋_GB2312" w:eastAsia="仿宋_GB2312" w:cs="仿宋_GB2312"/>
                <w:sz w:val="20"/>
                <w:szCs w:val="20"/>
                <w:highlight w:val="none"/>
              </w:rPr>
              <w:t>　</w:t>
            </w:r>
            <w:r>
              <w:rPr>
                <w:rFonts w:hint="default" w:ascii="仿宋_GB2312" w:hAnsi="仿宋_GB2312" w:eastAsia="仿宋_GB2312" w:cs="仿宋_GB2312"/>
                <w:sz w:val="20"/>
                <w:szCs w:val="20"/>
                <w:highlight w:val="none"/>
                <w:lang w:val="en"/>
              </w:rPr>
              <w:t>0</w:t>
            </w:r>
          </w:p>
        </w:tc>
        <w:tc>
          <w:tcPr>
            <w:tcW w:w="1129" w:type="dxa"/>
            <w:tcBorders>
              <w:top w:val="nil"/>
              <w:left w:val="nil"/>
              <w:bottom w:val="single" w:color="auto" w:sz="4" w:space="0"/>
              <w:right w:val="single" w:color="auto" w:sz="4" w:space="0"/>
            </w:tcBorders>
            <w:noWrap w:val="0"/>
            <w:vAlign w:val="center"/>
          </w:tcPr>
          <w:p w14:paraId="58D19FEC">
            <w:pPr>
              <w:widowControl/>
              <w:spacing w:line="360" w:lineRule="exact"/>
              <w:jc w:val="left"/>
              <w:rPr>
                <w:rFonts w:hint="default" w:ascii="仿宋_GB2312" w:hAnsi="仿宋_GB2312" w:eastAsia="仿宋_GB2312" w:cs="仿宋_GB2312"/>
                <w:sz w:val="20"/>
                <w:szCs w:val="20"/>
                <w:highlight w:val="none"/>
                <w:lang w:val="en"/>
              </w:rPr>
            </w:pPr>
            <w:r>
              <w:rPr>
                <w:rFonts w:hint="eastAsia" w:ascii="仿宋_GB2312" w:hAnsi="仿宋_GB2312" w:eastAsia="仿宋_GB2312" w:cs="仿宋_GB2312"/>
                <w:sz w:val="20"/>
                <w:szCs w:val="20"/>
                <w:highlight w:val="none"/>
              </w:rPr>
              <w:t>　</w:t>
            </w:r>
            <w:r>
              <w:rPr>
                <w:rFonts w:hint="default" w:ascii="仿宋_GB2312" w:hAnsi="仿宋_GB2312" w:eastAsia="仿宋_GB2312" w:cs="仿宋_GB2312"/>
                <w:sz w:val="20"/>
                <w:szCs w:val="20"/>
                <w:highlight w:val="none"/>
                <w:lang w:val="en"/>
              </w:rPr>
              <w:t>0</w:t>
            </w:r>
          </w:p>
        </w:tc>
        <w:tc>
          <w:tcPr>
            <w:tcW w:w="1111" w:type="dxa"/>
            <w:tcBorders>
              <w:top w:val="nil"/>
              <w:left w:val="nil"/>
              <w:bottom w:val="single" w:color="auto" w:sz="4" w:space="0"/>
              <w:right w:val="single" w:color="auto" w:sz="4" w:space="0"/>
            </w:tcBorders>
            <w:noWrap w:val="0"/>
            <w:vAlign w:val="center"/>
          </w:tcPr>
          <w:p w14:paraId="0D1A4DE9">
            <w:pPr>
              <w:widowControl/>
              <w:spacing w:line="360" w:lineRule="exact"/>
              <w:jc w:val="left"/>
              <w:rPr>
                <w:rFonts w:hint="default" w:ascii="仿宋_GB2312" w:hAnsi="仿宋_GB2312" w:eastAsia="仿宋_GB2312" w:cs="仿宋_GB2312"/>
                <w:sz w:val="20"/>
                <w:szCs w:val="20"/>
                <w:highlight w:val="none"/>
                <w:lang w:val="en"/>
              </w:rPr>
            </w:pPr>
            <w:r>
              <w:rPr>
                <w:rFonts w:hint="eastAsia" w:ascii="仿宋_GB2312" w:hAnsi="仿宋_GB2312" w:eastAsia="仿宋_GB2312" w:cs="仿宋_GB2312"/>
                <w:sz w:val="20"/>
                <w:szCs w:val="20"/>
                <w:highlight w:val="none"/>
              </w:rPr>
              <w:t>　</w:t>
            </w:r>
            <w:r>
              <w:rPr>
                <w:rFonts w:hint="default" w:ascii="仿宋_GB2312" w:hAnsi="仿宋_GB2312" w:eastAsia="仿宋_GB2312" w:cs="仿宋_GB2312"/>
                <w:sz w:val="20"/>
                <w:szCs w:val="20"/>
                <w:highlight w:val="none"/>
                <w:lang w:val="en"/>
              </w:rPr>
              <w:t>0</w:t>
            </w:r>
          </w:p>
        </w:tc>
        <w:tc>
          <w:tcPr>
            <w:tcW w:w="1081" w:type="dxa"/>
            <w:tcBorders>
              <w:top w:val="nil"/>
              <w:left w:val="nil"/>
              <w:bottom w:val="single" w:color="auto" w:sz="4" w:space="0"/>
              <w:right w:val="single" w:color="auto" w:sz="4" w:space="0"/>
            </w:tcBorders>
            <w:noWrap w:val="0"/>
            <w:vAlign w:val="center"/>
          </w:tcPr>
          <w:p w14:paraId="28A75373">
            <w:pPr>
              <w:widowControl/>
              <w:spacing w:line="360" w:lineRule="exact"/>
              <w:jc w:val="left"/>
              <w:rPr>
                <w:rFonts w:hint="default" w:ascii="仿宋_GB2312" w:hAnsi="仿宋_GB2312" w:eastAsia="仿宋_GB2312" w:cs="仿宋_GB2312"/>
                <w:sz w:val="20"/>
                <w:szCs w:val="20"/>
                <w:highlight w:val="none"/>
                <w:lang w:val="en"/>
              </w:rPr>
            </w:pPr>
            <w:r>
              <w:rPr>
                <w:rFonts w:hint="eastAsia" w:ascii="仿宋_GB2312" w:hAnsi="仿宋_GB2312" w:eastAsia="仿宋_GB2312" w:cs="仿宋_GB2312"/>
                <w:sz w:val="20"/>
                <w:szCs w:val="20"/>
                <w:highlight w:val="none"/>
              </w:rPr>
              <w:t>　</w:t>
            </w:r>
            <w:r>
              <w:rPr>
                <w:rFonts w:hint="default" w:ascii="仿宋_GB2312" w:hAnsi="仿宋_GB2312" w:eastAsia="仿宋_GB2312" w:cs="仿宋_GB2312"/>
                <w:sz w:val="20"/>
                <w:szCs w:val="20"/>
                <w:highlight w:val="none"/>
                <w:lang w:val="en"/>
              </w:rPr>
              <w:t>0</w:t>
            </w:r>
          </w:p>
        </w:tc>
        <w:tc>
          <w:tcPr>
            <w:tcW w:w="960" w:type="dxa"/>
            <w:tcBorders>
              <w:top w:val="nil"/>
              <w:left w:val="nil"/>
              <w:bottom w:val="single" w:color="auto" w:sz="4" w:space="0"/>
              <w:right w:val="single" w:color="auto" w:sz="4" w:space="0"/>
            </w:tcBorders>
            <w:noWrap w:val="0"/>
            <w:vAlign w:val="center"/>
          </w:tcPr>
          <w:p w14:paraId="3CB5C084">
            <w:pPr>
              <w:widowControl/>
              <w:spacing w:line="360" w:lineRule="exact"/>
              <w:jc w:val="left"/>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rPr>
              <w:t>　</w:t>
            </w:r>
            <w:r>
              <w:rPr>
                <w:rFonts w:hint="eastAsia" w:ascii="仿宋_GB2312" w:hAnsi="仿宋_GB2312" w:eastAsia="仿宋_GB2312" w:cs="仿宋_GB2312"/>
                <w:sz w:val="20"/>
                <w:szCs w:val="20"/>
                <w:highlight w:val="none"/>
                <w:lang w:val="en-US" w:eastAsia="zh-CN"/>
              </w:rPr>
              <w:t>0</w:t>
            </w:r>
          </w:p>
        </w:tc>
      </w:tr>
      <w:tr w14:paraId="17FF9FB8">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11B684F4">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厉行节约保障措施</w:t>
            </w:r>
          </w:p>
        </w:tc>
        <w:tc>
          <w:tcPr>
            <w:tcW w:w="6319" w:type="dxa"/>
            <w:gridSpan w:val="6"/>
            <w:tcBorders>
              <w:top w:val="single" w:color="auto" w:sz="4" w:space="0"/>
              <w:left w:val="nil"/>
              <w:bottom w:val="single" w:color="auto" w:sz="4" w:space="0"/>
              <w:right w:val="single" w:color="000000" w:sz="4" w:space="0"/>
            </w:tcBorders>
            <w:noWrap w:val="0"/>
            <w:vAlign w:val="center"/>
          </w:tcPr>
          <w:p w14:paraId="3908C073">
            <w:pPr>
              <w:widowControl/>
              <w:spacing w:line="360" w:lineRule="exact"/>
              <w:jc w:val="left"/>
              <w:rPr>
                <w:rFonts w:hint="eastAsia" w:ascii="仿宋_GB2312" w:hAnsi="仿宋_GB2312" w:eastAsia="仿宋_GB2312" w:cs="仿宋_GB2312"/>
                <w:sz w:val="20"/>
                <w:szCs w:val="20"/>
                <w:highlight w:val="none"/>
              </w:rPr>
            </w:pPr>
            <w:r>
              <w:rPr>
                <w:rFonts w:hint="default" w:ascii="仿宋_GB2312" w:hAnsi="仿宋_GB2312" w:eastAsia="仿宋_GB2312" w:cs="仿宋_GB2312"/>
                <w:sz w:val="20"/>
                <w:szCs w:val="20"/>
                <w:lang w:val="en" w:eastAsia="zh-CN"/>
              </w:rPr>
              <w:t xml:space="preserve">    </w:t>
            </w:r>
            <w:r>
              <w:rPr>
                <w:rFonts w:hint="eastAsia" w:ascii="仿宋_GB2312" w:hAnsi="仿宋_GB2312" w:eastAsia="仿宋_GB2312" w:cs="仿宋_GB2312"/>
                <w:sz w:val="20"/>
                <w:szCs w:val="20"/>
                <w:lang w:val="en-US" w:eastAsia="zh-CN"/>
              </w:rPr>
              <w:t>进一步完善了单位财务管理和内控管理制度，</w:t>
            </w:r>
            <w:r>
              <w:rPr>
                <w:rFonts w:hint="eastAsia" w:ascii="仿宋_GB2312" w:hAnsi="仿宋_GB2312" w:eastAsia="仿宋_GB2312" w:cs="仿宋_GB2312"/>
                <w:bCs/>
                <w:sz w:val="20"/>
                <w:szCs w:val="20"/>
                <w:lang w:val="en-US" w:eastAsia="zh-CN"/>
              </w:rPr>
              <w:t>各部门严格遵守制订的《财务管理制度》、《内控管理制度》等规章制度。</w:t>
            </w:r>
            <w:r>
              <w:rPr>
                <w:rFonts w:hint="eastAsia" w:ascii="仿宋_GB2312" w:hAnsi="仿宋_GB2312" w:eastAsia="仿宋_GB2312" w:cs="仿宋_GB2312"/>
                <w:bCs/>
                <w:sz w:val="20"/>
                <w:szCs w:val="20"/>
                <w:highlight w:val="none"/>
                <w:lang w:val="en-US" w:eastAsia="zh-CN"/>
              </w:rPr>
              <w:t>加强了事前绩效评估管理，坚持先定事，再确定资金支出规模原则，压减一般性支出，进一步提升预算资金支出效益。定期开展资产清查工作，按照厉行节约、物尽其用的原则，闲置资产由办公室统一调整，合理流动，发挥其效益。</w:t>
            </w:r>
            <w:r>
              <w:rPr>
                <w:rFonts w:hint="eastAsia" w:ascii="仿宋_GB2312" w:hAnsi="仿宋_GB2312" w:eastAsia="仿宋_GB2312" w:cs="仿宋_GB2312"/>
                <w:sz w:val="20"/>
                <w:szCs w:val="20"/>
              </w:rPr>
              <w:t>　</w:t>
            </w:r>
            <w:r>
              <w:rPr>
                <w:rFonts w:hint="eastAsia" w:ascii="仿宋_GB2312" w:hAnsi="仿宋_GB2312" w:eastAsia="仿宋_GB2312" w:cs="仿宋_GB2312"/>
                <w:sz w:val="20"/>
                <w:szCs w:val="20"/>
                <w:highlight w:val="none"/>
              </w:rPr>
              <w:t>　</w:t>
            </w:r>
            <w:r>
              <w:rPr>
                <w:rFonts w:hint="eastAsia" w:ascii="仿宋_GB2312" w:hAnsi="仿宋_GB2312" w:eastAsia="仿宋_GB2312" w:cs="仿宋_GB2312"/>
                <w:bCs/>
                <w:sz w:val="20"/>
                <w:szCs w:val="20"/>
                <w:highlight w:val="none"/>
                <w:lang w:val="en-US" w:eastAsia="zh-CN"/>
              </w:rPr>
              <w:t>资产管理采取统一建账核算管理，每件固定资产使用明确保管职责，及时进行设备、用具的维护保养，保持良好的使用性能和功能，延长固定资产使用寿命，提升资产资源使用效益。</w:t>
            </w:r>
          </w:p>
        </w:tc>
      </w:tr>
    </w:tbl>
    <w:p w14:paraId="08DEB5BD">
      <w:pPr>
        <w:widowControl/>
        <w:spacing w:afterLines="0" w:line="400" w:lineRule="exact"/>
        <w:jc w:val="left"/>
        <w:rPr>
          <w:rFonts w:hint="default" w:ascii="Times New Roman" w:hAnsi="Times New Roman" w:eastAsia="仿宋_GB2312" w:cs="Times New Roman"/>
          <w:sz w:val="22"/>
          <w:highlight w:val="none"/>
        </w:rPr>
      </w:pPr>
    </w:p>
    <w:p w14:paraId="0C8FBAFB">
      <w:pPr>
        <w:widowControl/>
        <w:spacing w:after="0" w:afterLines="0" w:line="400" w:lineRule="exact"/>
        <w:jc w:val="left"/>
        <w:rPr>
          <w:rFonts w:hint="eastAsia" w:ascii="黑体" w:hAnsi="黑体" w:eastAsia="黑体" w:cs="黑体"/>
          <w:sz w:val="32"/>
          <w:szCs w:val="32"/>
          <w:highlight w:val="none"/>
          <w:lang w:eastAsia="zh-CN"/>
        </w:rPr>
      </w:pPr>
      <w:r>
        <w:rPr>
          <w:rFonts w:hint="default" w:ascii="Times New Roman" w:hAnsi="Times New Roman" w:eastAsia="仿宋_GB2312" w:cs="Times New Roman"/>
          <w:sz w:val="22"/>
          <w:highlight w:val="none"/>
        </w:rPr>
        <w:t>填表人：</w:t>
      </w:r>
      <w:r>
        <w:rPr>
          <w:rFonts w:hint="eastAsia" w:ascii="Times New Roman" w:hAnsi="Times New Roman" w:eastAsia="仿宋_GB2312" w:cs="Times New Roman"/>
          <w:sz w:val="22"/>
          <w:highlight w:val="none"/>
          <w:lang w:eastAsia="zh-CN"/>
        </w:rPr>
        <w:t>李翠</w:t>
      </w:r>
      <w:r>
        <w:rPr>
          <w:rFonts w:hint="default" w:ascii="Times New Roman" w:hAnsi="Times New Roman" w:eastAsia="仿宋_GB2312" w:cs="Times New Roman"/>
          <w:sz w:val="22"/>
          <w:highlight w:val="none"/>
        </w:rPr>
        <w:t xml:space="preserve">  填报日期：</w:t>
      </w:r>
      <w:r>
        <w:rPr>
          <w:rFonts w:hint="eastAsia" w:ascii="CESI仿宋-GB2312" w:hAnsi="CESI仿宋-GB2312" w:eastAsia="CESI仿宋-GB2312" w:cs="CESI仿宋-GB2312"/>
          <w:sz w:val="22"/>
          <w:highlight w:val="none"/>
          <w:lang w:val="en-US" w:eastAsia="zh-CN"/>
        </w:rPr>
        <w:t>2026.6.2</w:t>
      </w:r>
      <w:r>
        <w:rPr>
          <w:rFonts w:hint="default" w:ascii="CESI仿宋-GB2312" w:hAnsi="CESI仿宋-GB2312" w:eastAsia="CESI仿宋-GB2312" w:cs="CESI仿宋-GB2312"/>
          <w:sz w:val="22"/>
          <w:highlight w:val="none"/>
          <w:lang w:val="en" w:eastAsia="zh-CN"/>
        </w:rPr>
        <w:t>3</w:t>
      </w:r>
      <w:r>
        <w:rPr>
          <w:rFonts w:hint="eastAsia" w:ascii="CESI仿宋-GB2312" w:hAnsi="CESI仿宋-GB2312" w:eastAsia="CESI仿宋-GB2312" w:cs="CESI仿宋-GB2312"/>
          <w:sz w:val="22"/>
          <w:highlight w:val="none"/>
          <w:lang w:val="en-US" w:eastAsia="zh-CN"/>
        </w:rPr>
        <w:t xml:space="preserve"> </w:t>
      </w:r>
      <w:r>
        <w:rPr>
          <w:rFonts w:hint="default" w:ascii="Times New Roman" w:hAnsi="Times New Roman" w:eastAsia="仿宋_GB2312" w:cs="Times New Roman"/>
          <w:sz w:val="22"/>
          <w:highlight w:val="none"/>
        </w:rPr>
        <w:t>联系电话：</w:t>
      </w:r>
      <w:r>
        <w:rPr>
          <w:rFonts w:hint="eastAsia" w:ascii="CESI仿宋-GB2312" w:hAnsi="CESI仿宋-GB2312" w:eastAsia="CESI仿宋-GB2312" w:cs="CESI仿宋-GB2312"/>
          <w:sz w:val="22"/>
          <w:lang w:val="en-US" w:eastAsia="zh-CN"/>
        </w:rPr>
        <w:t>0730-3050775</w:t>
      </w:r>
      <w:r>
        <w:rPr>
          <w:rFonts w:hint="eastAsia" w:ascii="CESI仿宋-GB2312" w:hAnsi="CESI仿宋-GB2312" w:eastAsia="CESI仿宋-GB2312" w:cs="CESI仿宋-GB2312"/>
          <w:sz w:val="22"/>
          <w:highlight w:val="none"/>
        </w:rPr>
        <w:t xml:space="preserve">  </w:t>
      </w:r>
      <w:r>
        <w:rPr>
          <w:rFonts w:hint="default" w:ascii="Times New Roman" w:hAnsi="Times New Roman" w:eastAsia="仿宋_GB2312" w:cs="Times New Roman"/>
          <w:sz w:val="22"/>
          <w:highlight w:val="none"/>
        </w:rPr>
        <w:t>单位负责人：</w:t>
      </w:r>
      <w:r>
        <w:rPr>
          <w:rFonts w:hint="eastAsia" w:ascii="Times New Roman" w:hAnsi="Times New Roman" w:eastAsia="仿宋_GB2312" w:cs="Times New Roman"/>
          <w:sz w:val="22"/>
          <w:highlight w:val="none"/>
          <w:lang w:eastAsia="zh-CN"/>
        </w:rPr>
        <w:t>罗明飞</w:t>
      </w:r>
      <w:r>
        <w:rPr>
          <w:rFonts w:hint="default" w:ascii="Times New Roman" w:hAnsi="Times New Roman" w:eastAsia="仿宋_GB2312" w:cs="Times New Roman"/>
          <w:sz w:val="22"/>
          <w:highlight w:val="none"/>
        </w:rPr>
        <w:br w:type="page"/>
      </w:r>
      <w:r>
        <w:rPr>
          <w:rFonts w:hint="eastAsia" w:ascii="黑体" w:hAnsi="黑体" w:eastAsia="黑体" w:cs="黑体"/>
          <w:sz w:val="32"/>
          <w:szCs w:val="32"/>
          <w:highlight w:val="none"/>
        </w:rPr>
        <w:t>附件</w:t>
      </w:r>
      <w:r>
        <w:rPr>
          <w:rFonts w:hint="eastAsia" w:ascii="黑体" w:hAnsi="黑体" w:eastAsia="黑体" w:cs="黑体"/>
          <w:sz w:val="32"/>
          <w:szCs w:val="32"/>
          <w:highlight w:val="none"/>
          <w:lang w:val="en-US" w:eastAsia="zh-CN"/>
        </w:rPr>
        <w:t>2</w:t>
      </w:r>
    </w:p>
    <w:p w14:paraId="1E94BAB7">
      <w:pPr>
        <w:widowControl/>
        <w:spacing w:after="120" w:afterLines="50"/>
        <w:jc w:val="center"/>
        <w:rPr>
          <w:rFonts w:hint="eastAsia" w:ascii="方正小标宋简体" w:hAnsi="方正小标宋简体" w:eastAsia="方正小标宋简体" w:cs="方正小标宋简体"/>
          <w:color w:val="000000"/>
          <w:sz w:val="36"/>
          <w:szCs w:val="36"/>
          <w:highlight w:val="none"/>
        </w:rPr>
      </w:pPr>
      <w:r>
        <w:rPr>
          <w:rFonts w:hint="eastAsia" w:ascii="方正小标宋简体" w:hAnsi="方正小标宋简体" w:eastAsia="方正小标宋简体" w:cs="方正小标宋简体"/>
          <w:color w:val="000000"/>
          <w:sz w:val="36"/>
          <w:szCs w:val="36"/>
          <w:highlight w:val="none"/>
        </w:rPr>
        <w:t>202</w:t>
      </w:r>
      <w:r>
        <w:rPr>
          <w:rFonts w:hint="eastAsia" w:ascii="方正小标宋简体" w:hAnsi="方正小标宋简体" w:eastAsia="方正小标宋简体" w:cs="方正小标宋简体"/>
          <w:color w:val="000000"/>
          <w:sz w:val="36"/>
          <w:szCs w:val="36"/>
          <w:highlight w:val="none"/>
          <w:lang w:val="en-US" w:eastAsia="zh-CN"/>
        </w:rPr>
        <w:t>5</w:t>
      </w:r>
      <w:r>
        <w:rPr>
          <w:rFonts w:hint="eastAsia" w:ascii="方正小标宋简体" w:hAnsi="方正小标宋简体" w:eastAsia="方正小标宋简体" w:cs="方正小标宋简体"/>
          <w:color w:val="000000"/>
          <w:sz w:val="36"/>
          <w:szCs w:val="36"/>
          <w:highlight w:val="none"/>
        </w:rPr>
        <w:t>年度部门整体支出绩效自评表</w:t>
      </w:r>
    </w:p>
    <w:tbl>
      <w:tblPr>
        <w:tblStyle w:val="8"/>
        <w:tblW w:w="10079" w:type="dxa"/>
        <w:jc w:val="center"/>
        <w:tblLayout w:type="autofit"/>
        <w:tblCellMar>
          <w:top w:w="0" w:type="dxa"/>
          <w:left w:w="108" w:type="dxa"/>
          <w:bottom w:w="0" w:type="dxa"/>
          <w:right w:w="108" w:type="dxa"/>
        </w:tblCellMar>
      </w:tblPr>
      <w:tblGrid>
        <w:gridCol w:w="1080"/>
        <w:gridCol w:w="1080"/>
        <w:gridCol w:w="1034"/>
        <w:gridCol w:w="1270"/>
        <w:gridCol w:w="1311"/>
        <w:gridCol w:w="1269"/>
        <w:gridCol w:w="716"/>
        <w:gridCol w:w="873"/>
        <w:gridCol w:w="1446"/>
      </w:tblGrid>
      <w:tr w14:paraId="23465571">
        <w:tblPrEx>
          <w:tblCellMar>
            <w:top w:w="0" w:type="dxa"/>
            <w:left w:w="108" w:type="dxa"/>
            <w:bottom w:w="0" w:type="dxa"/>
            <w:right w:w="108" w:type="dxa"/>
          </w:tblCellMar>
        </w:tblPrEx>
        <w:trPr>
          <w:jc w:val="center"/>
        </w:trPr>
        <w:tc>
          <w:tcPr>
            <w:tcW w:w="1080" w:type="dxa"/>
            <w:tcBorders>
              <w:top w:val="single" w:color="auto" w:sz="4" w:space="0"/>
              <w:left w:val="single" w:color="auto" w:sz="4" w:space="0"/>
              <w:bottom w:val="single" w:color="auto" w:sz="4" w:space="0"/>
              <w:right w:val="single" w:color="auto" w:sz="4" w:space="0"/>
            </w:tcBorders>
            <w:noWrap w:val="0"/>
            <w:vAlign w:val="center"/>
          </w:tcPr>
          <w:p w14:paraId="3A774DB1">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市</w:t>
            </w:r>
            <w:r>
              <w:rPr>
                <w:rFonts w:hint="eastAsia" w:ascii="仿宋_GB2312" w:hAnsi="仿宋_GB2312" w:eastAsia="仿宋_GB2312" w:cs="仿宋_GB2312"/>
                <w:color w:val="000000"/>
                <w:sz w:val="20"/>
                <w:szCs w:val="20"/>
                <w:highlight w:val="none"/>
              </w:rPr>
              <w:t>级预算部门名称</w:t>
            </w:r>
          </w:p>
        </w:tc>
        <w:tc>
          <w:tcPr>
            <w:tcW w:w="8999" w:type="dxa"/>
            <w:gridSpan w:val="8"/>
            <w:tcBorders>
              <w:top w:val="single" w:color="auto" w:sz="4" w:space="0"/>
              <w:left w:val="nil"/>
              <w:bottom w:val="single" w:color="auto" w:sz="4" w:space="0"/>
              <w:right w:val="single" w:color="auto" w:sz="4" w:space="0"/>
            </w:tcBorders>
            <w:noWrap w:val="0"/>
            <w:vAlign w:val="center"/>
          </w:tcPr>
          <w:p w14:paraId="1F10352A">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b w:val="0"/>
                <w:bCs w:val="0"/>
                <w:color w:val="000000"/>
                <w:sz w:val="24"/>
                <w:szCs w:val="24"/>
              </w:rPr>
              <w:t>岳阳市城市管理和综合执法局湖南城陵矶新港区分局</w:t>
            </w:r>
            <w:r>
              <w:rPr>
                <w:rFonts w:hint="eastAsia" w:ascii="仿宋_GB2312" w:hAnsi="仿宋_GB2312" w:eastAsia="仿宋_GB2312" w:cs="仿宋_GB2312"/>
                <w:color w:val="000000"/>
                <w:sz w:val="20"/>
                <w:szCs w:val="20"/>
                <w:highlight w:val="none"/>
              </w:rPr>
              <w:t>　</w:t>
            </w:r>
          </w:p>
        </w:tc>
      </w:tr>
      <w:tr w14:paraId="403585F2">
        <w:tblPrEx>
          <w:tblCellMar>
            <w:top w:w="0" w:type="dxa"/>
            <w:left w:w="108" w:type="dxa"/>
            <w:bottom w:w="0" w:type="dxa"/>
            <w:right w:w="108" w:type="dxa"/>
          </w:tblCellMar>
        </w:tblPrEx>
        <w:trPr>
          <w:trHeight w:val="452" w:hRule="atLeast"/>
          <w:jc w:val="center"/>
        </w:trPr>
        <w:tc>
          <w:tcPr>
            <w:tcW w:w="1080" w:type="dxa"/>
            <w:vMerge w:val="restart"/>
            <w:tcBorders>
              <w:top w:val="nil"/>
              <w:left w:val="single" w:color="auto" w:sz="4" w:space="0"/>
              <w:right w:val="single" w:color="auto" w:sz="4" w:space="0"/>
            </w:tcBorders>
            <w:noWrap w:val="0"/>
            <w:vAlign w:val="center"/>
          </w:tcPr>
          <w:p w14:paraId="1FC98A11">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年度预</w:t>
            </w:r>
          </w:p>
          <w:p w14:paraId="32634CF8">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算申请</w:t>
            </w:r>
            <w:r>
              <w:rPr>
                <w:rFonts w:hint="eastAsia" w:ascii="仿宋_GB2312" w:hAnsi="仿宋_GB2312" w:eastAsia="仿宋_GB2312" w:cs="仿宋_GB2312"/>
                <w:color w:val="000000"/>
                <w:sz w:val="20"/>
                <w:szCs w:val="20"/>
                <w:highlight w:val="none"/>
              </w:rPr>
              <w:br w:type="textWrapping"/>
            </w:r>
            <w:r>
              <w:rPr>
                <w:rFonts w:hint="eastAsia" w:ascii="仿宋_GB2312" w:hAnsi="仿宋_GB2312" w:eastAsia="仿宋_GB2312" w:cs="仿宋_GB2312"/>
                <w:color w:val="000000"/>
                <w:sz w:val="20"/>
                <w:szCs w:val="20"/>
                <w:highlight w:val="none"/>
              </w:rPr>
              <w:t>（万元）</w:t>
            </w:r>
          </w:p>
        </w:tc>
        <w:tc>
          <w:tcPr>
            <w:tcW w:w="2114" w:type="dxa"/>
            <w:gridSpan w:val="2"/>
            <w:tcBorders>
              <w:top w:val="nil"/>
              <w:left w:val="nil"/>
              <w:bottom w:val="single" w:color="auto" w:sz="4" w:space="0"/>
              <w:right w:val="single" w:color="auto" w:sz="4" w:space="0"/>
            </w:tcBorders>
            <w:noWrap w:val="0"/>
            <w:vAlign w:val="center"/>
          </w:tcPr>
          <w:p w14:paraId="1B704417">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0"/>
                <w:szCs w:val="20"/>
                <w:highlight w:val="none"/>
              </w:rPr>
            </w:pPr>
          </w:p>
        </w:tc>
        <w:tc>
          <w:tcPr>
            <w:tcW w:w="1270" w:type="dxa"/>
            <w:tcBorders>
              <w:top w:val="nil"/>
              <w:left w:val="nil"/>
              <w:bottom w:val="single" w:color="auto" w:sz="4" w:space="0"/>
              <w:right w:val="single" w:color="auto" w:sz="4" w:space="0"/>
            </w:tcBorders>
            <w:noWrap w:val="0"/>
            <w:vAlign w:val="center"/>
          </w:tcPr>
          <w:p w14:paraId="0E1C4E76">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年初预算数</w:t>
            </w:r>
          </w:p>
        </w:tc>
        <w:tc>
          <w:tcPr>
            <w:tcW w:w="1311" w:type="dxa"/>
            <w:tcBorders>
              <w:top w:val="nil"/>
              <w:left w:val="nil"/>
              <w:bottom w:val="single" w:color="auto" w:sz="4" w:space="0"/>
              <w:right w:val="single" w:color="auto" w:sz="4" w:space="0"/>
            </w:tcBorders>
            <w:noWrap w:val="0"/>
            <w:vAlign w:val="center"/>
          </w:tcPr>
          <w:p w14:paraId="63DEBA91">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全年预算数</w:t>
            </w:r>
          </w:p>
        </w:tc>
        <w:tc>
          <w:tcPr>
            <w:tcW w:w="1269" w:type="dxa"/>
            <w:tcBorders>
              <w:top w:val="nil"/>
              <w:left w:val="nil"/>
              <w:bottom w:val="single" w:color="auto" w:sz="4" w:space="0"/>
              <w:right w:val="single" w:color="auto" w:sz="4" w:space="0"/>
            </w:tcBorders>
            <w:noWrap w:val="0"/>
            <w:vAlign w:val="center"/>
          </w:tcPr>
          <w:p w14:paraId="3AD79406">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全年执行数</w:t>
            </w:r>
          </w:p>
        </w:tc>
        <w:tc>
          <w:tcPr>
            <w:tcW w:w="716" w:type="dxa"/>
            <w:tcBorders>
              <w:top w:val="nil"/>
              <w:left w:val="nil"/>
              <w:bottom w:val="single" w:color="auto" w:sz="4" w:space="0"/>
              <w:right w:val="single" w:color="auto" w:sz="4" w:space="0"/>
            </w:tcBorders>
            <w:noWrap w:val="0"/>
            <w:vAlign w:val="center"/>
          </w:tcPr>
          <w:p w14:paraId="26E2D5BF">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分值</w:t>
            </w:r>
          </w:p>
        </w:tc>
        <w:tc>
          <w:tcPr>
            <w:tcW w:w="873" w:type="dxa"/>
            <w:tcBorders>
              <w:top w:val="nil"/>
              <w:left w:val="nil"/>
              <w:bottom w:val="single" w:color="auto" w:sz="4" w:space="0"/>
              <w:right w:val="single" w:color="auto" w:sz="4" w:space="0"/>
            </w:tcBorders>
            <w:noWrap w:val="0"/>
            <w:vAlign w:val="center"/>
          </w:tcPr>
          <w:p w14:paraId="50AEE744">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执行率</w:t>
            </w:r>
          </w:p>
        </w:tc>
        <w:tc>
          <w:tcPr>
            <w:tcW w:w="1446" w:type="dxa"/>
            <w:tcBorders>
              <w:top w:val="nil"/>
              <w:left w:val="nil"/>
              <w:bottom w:val="single" w:color="auto" w:sz="4" w:space="0"/>
              <w:right w:val="single" w:color="auto" w:sz="4" w:space="0"/>
            </w:tcBorders>
            <w:noWrap w:val="0"/>
            <w:vAlign w:val="center"/>
          </w:tcPr>
          <w:p w14:paraId="40B3F617">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得分</w:t>
            </w:r>
          </w:p>
        </w:tc>
      </w:tr>
      <w:tr w14:paraId="517007CF">
        <w:tblPrEx>
          <w:tblCellMar>
            <w:top w:w="0" w:type="dxa"/>
            <w:left w:w="108" w:type="dxa"/>
            <w:bottom w:w="0" w:type="dxa"/>
            <w:right w:w="108" w:type="dxa"/>
          </w:tblCellMar>
        </w:tblPrEx>
        <w:trPr>
          <w:trHeight w:val="428" w:hRule="atLeast"/>
          <w:jc w:val="center"/>
        </w:trPr>
        <w:tc>
          <w:tcPr>
            <w:tcW w:w="1080" w:type="dxa"/>
            <w:vMerge w:val="continue"/>
            <w:tcBorders>
              <w:top w:val="nil"/>
              <w:left w:val="single" w:color="auto" w:sz="4" w:space="0"/>
              <w:right w:val="single" w:color="auto" w:sz="4" w:space="0"/>
            </w:tcBorders>
            <w:noWrap w:val="0"/>
            <w:vAlign w:val="center"/>
          </w:tcPr>
          <w:p w14:paraId="5F2D2812">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p>
        </w:tc>
        <w:tc>
          <w:tcPr>
            <w:tcW w:w="2114" w:type="dxa"/>
            <w:gridSpan w:val="2"/>
            <w:tcBorders>
              <w:top w:val="nil"/>
              <w:left w:val="nil"/>
              <w:bottom w:val="single" w:color="auto" w:sz="4" w:space="0"/>
              <w:right w:val="single" w:color="auto" w:sz="4" w:space="0"/>
            </w:tcBorders>
            <w:noWrap w:val="0"/>
            <w:vAlign w:val="center"/>
          </w:tcPr>
          <w:p w14:paraId="38B597EE">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color w:val="000000"/>
                <w:sz w:val="20"/>
                <w:szCs w:val="20"/>
                <w:highlight w:val="none"/>
              </w:rPr>
              <w:t>年度资金总额</w:t>
            </w:r>
          </w:p>
        </w:tc>
        <w:tc>
          <w:tcPr>
            <w:tcW w:w="1270" w:type="dxa"/>
            <w:tcBorders>
              <w:top w:val="nil"/>
              <w:left w:val="nil"/>
              <w:bottom w:val="single" w:color="auto" w:sz="4" w:space="0"/>
              <w:right w:val="single" w:color="auto" w:sz="4" w:space="0"/>
            </w:tcBorders>
            <w:noWrap w:val="0"/>
            <w:vAlign w:val="center"/>
          </w:tcPr>
          <w:p w14:paraId="0AAD79AA">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335.69</w:t>
            </w:r>
          </w:p>
        </w:tc>
        <w:tc>
          <w:tcPr>
            <w:tcW w:w="1311" w:type="dxa"/>
            <w:tcBorders>
              <w:top w:val="nil"/>
              <w:left w:val="nil"/>
              <w:bottom w:val="single" w:color="auto" w:sz="4" w:space="0"/>
              <w:right w:val="single" w:color="auto" w:sz="4" w:space="0"/>
            </w:tcBorders>
            <w:noWrap w:val="0"/>
            <w:vAlign w:val="center"/>
          </w:tcPr>
          <w:p w14:paraId="47C9797D">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526.59</w:t>
            </w:r>
          </w:p>
        </w:tc>
        <w:tc>
          <w:tcPr>
            <w:tcW w:w="1269" w:type="dxa"/>
            <w:tcBorders>
              <w:top w:val="nil"/>
              <w:left w:val="nil"/>
              <w:bottom w:val="single" w:color="auto" w:sz="4" w:space="0"/>
              <w:right w:val="single" w:color="auto" w:sz="4" w:space="0"/>
            </w:tcBorders>
            <w:noWrap w:val="0"/>
            <w:vAlign w:val="center"/>
          </w:tcPr>
          <w:p w14:paraId="2F78BBB4">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519.08</w:t>
            </w:r>
          </w:p>
        </w:tc>
        <w:tc>
          <w:tcPr>
            <w:tcW w:w="716" w:type="dxa"/>
            <w:tcBorders>
              <w:top w:val="nil"/>
              <w:left w:val="nil"/>
              <w:bottom w:val="single" w:color="auto" w:sz="4" w:space="0"/>
              <w:right w:val="single" w:color="auto" w:sz="4" w:space="0"/>
            </w:tcBorders>
            <w:noWrap w:val="0"/>
            <w:vAlign w:val="center"/>
          </w:tcPr>
          <w:p w14:paraId="2A2B1E78">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10</w:t>
            </w:r>
          </w:p>
        </w:tc>
        <w:tc>
          <w:tcPr>
            <w:tcW w:w="873" w:type="dxa"/>
            <w:tcBorders>
              <w:top w:val="nil"/>
              <w:left w:val="nil"/>
              <w:bottom w:val="single" w:color="auto" w:sz="4" w:space="0"/>
              <w:right w:val="single" w:color="auto" w:sz="4" w:space="0"/>
            </w:tcBorders>
            <w:noWrap w:val="0"/>
            <w:vAlign w:val="center"/>
          </w:tcPr>
          <w:p w14:paraId="0A452168">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98.57%</w:t>
            </w:r>
          </w:p>
        </w:tc>
        <w:tc>
          <w:tcPr>
            <w:tcW w:w="1446" w:type="dxa"/>
            <w:tcBorders>
              <w:top w:val="nil"/>
              <w:left w:val="nil"/>
              <w:bottom w:val="single" w:color="auto" w:sz="4" w:space="0"/>
              <w:right w:val="single" w:color="auto" w:sz="4" w:space="0"/>
            </w:tcBorders>
            <w:noWrap w:val="0"/>
            <w:vAlign w:val="center"/>
          </w:tcPr>
          <w:p w14:paraId="2E9457E2">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9.86</w:t>
            </w:r>
          </w:p>
        </w:tc>
      </w:tr>
      <w:tr w14:paraId="14A5C7B3">
        <w:tblPrEx>
          <w:tblCellMar>
            <w:top w:w="0" w:type="dxa"/>
            <w:left w:w="108" w:type="dxa"/>
            <w:bottom w:w="0" w:type="dxa"/>
            <w:right w:w="108" w:type="dxa"/>
          </w:tblCellMar>
        </w:tblPrEx>
        <w:trPr>
          <w:trHeight w:val="370" w:hRule="atLeast"/>
          <w:jc w:val="center"/>
        </w:trPr>
        <w:tc>
          <w:tcPr>
            <w:tcW w:w="1080" w:type="dxa"/>
            <w:vMerge w:val="continue"/>
            <w:tcBorders>
              <w:left w:val="single" w:color="auto" w:sz="4" w:space="0"/>
              <w:right w:val="single" w:color="auto" w:sz="4" w:space="0"/>
            </w:tcBorders>
            <w:noWrap w:val="0"/>
            <w:vAlign w:val="center"/>
          </w:tcPr>
          <w:p w14:paraId="533929B0">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4695" w:type="dxa"/>
            <w:gridSpan w:val="4"/>
            <w:tcBorders>
              <w:top w:val="nil"/>
              <w:left w:val="nil"/>
              <w:bottom w:val="single" w:color="auto" w:sz="4" w:space="0"/>
              <w:right w:val="single" w:color="auto" w:sz="4" w:space="0"/>
            </w:tcBorders>
            <w:noWrap w:val="0"/>
            <w:vAlign w:val="center"/>
          </w:tcPr>
          <w:p w14:paraId="603DCE98">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按收入性质分：</w:t>
            </w:r>
          </w:p>
        </w:tc>
        <w:tc>
          <w:tcPr>
            <w:tcW w:w="4304" w:type="dxa"/>
            <w:gridSpan w:val="4"/>
            <w:tcBorders>
              <w:top w:val="nil"/>
              <w:left w:val="nil"/>
              <w:bottom w:val="single" w:color="auto" w:sz="4" w:space="0"/>
              <w:right w:val="single" w:color="auto" w:sz="4" w:space="0"/>
            </w:tcBorders>
            <w:noWrap w:val="0"/>
            <w:vAlign w:val="center"/>
          </w:tcPr>
          <w:p w14:paraId="295817D4">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按支出性质分：</w:t>
            </w:r>
          </w:p>
        </w:tc>
      </w:tr>
      <w:tr w14:paraId="2B2CAE91">
        <w:tblPrEx>
          <w:tblCellMar>
            <w:top w:w="0" w:type="dxa"/>
            <w:left w:w="108" w:type="dxa"/>
            <w:bottom w:w="0" w:type="dxa"/>
            <w:right w:w="108" w:type="dxa"/>
          </w:tblCellMar>
        </w:tblPrEx>
        <w:trPr>
          <w:trHeight w:val="370" w:hRule="atLeast"/>
          <w:jc w:val="center"/>
        </w:trPr>
        <w:tc>
          <w:tcPr>
            <w:tcW w:w="1080" w:type="dxa"/>
            <w:vMerge w:val="continue"/>
            <w:tcBorders>
              <w:left w:val="single" w:color="auto" w:sz="4" w:space="0"/>
              <w:right w:val="single" w:color="auto" w:sz="4" w:space="0"/>
            </w:tcBorders>
            <w:noWrap w:val="0"/>
            <w:vAlign w:val="center"/>
          </w:tcPr>
          <w:p w14:paraId="4DC0FF61">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4695" w:type="dxa"/>
            <w:gridSpan w:val="4"/>
            <w:tcBorders>
              <w:top w:val="nil"/>
              <w:left w:val="nil"/>
              <w:bottom w:val="single" w:color="auto" w:sz="4" w:space="0"/>
              <w:right w:val="single" w:color="auto" w:sz="4" w:space="0"/>
            </w:tcBorders>
            <w:noWrap w:val="0"/>
            <w:vAlign w:val="center"/>
          </w:tcPr>
          <w:p w14:paraId="38262FD1">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xml:space="preserve">  </w:t>
            </w:r>
            <w:r>
              <w:rPr>
                <w:rFonts w:hint="eastAsia" w:ascii="仿宋_GB2312" w:hAnsi="仿宋_GB2312" w:eastAsia="仿宋_GB2312" w:cs="仿宋_GB2312"/>
                <w:color w:val="000000"/>
                <w:sz w:val="20"/>
                <w:szCs w:val="20"/>
                <w:highlight w:val="none"/>
                <w:lang w:val="en-US" w:eastAsia="zh-CN"/>
              </w:rPr>
              <w:t xml:space="preserve">    </w:t>
            </w:r>
            <w:r>
              <w:rPr>
                <w:rFonts w:hint="eastAsia" w:ascii="仿宋_GB2312" w:hAnsi="仿宋_GB2312" w:eastAsia="仿宋_GB2312" w:cs="仿宋_GB2312"/>
                <w:color w:val="000000"/>
                <w:sz w:val="20"/>
                <w:szCs w:val="20"/>
                <w:highlight w:val="none"/>
              </w:rPr>
              <w:t>其中：  一般公共预算</w:t>
            </w:r>
            <w:r>
              <w:rPr>
                <w:rFonts w:hint="eastAsia" w:ascii="仿宋_GB2312" w:hAnsi="仿宋_GB2312" w:eastAsia="仿宋_GB2312" w:cs="仿宋_GB2312"/>
                <w:color w:val="000000"/>
                <w:sz w:val="20"/>
                <w:szCs w:val="20"/>
                <w:highlight w:val="none"/>
                <w:lang w:val="en-US" w:eastAsia="zh-CN"/>
              </w:rPr>
              <w:t>:403.79</w:t>
            </w:r>
          </w:p>
        </w:tc>
        <w:tc>
          <w:tcPr>
            <w:tcW w:w="4304" w:type="dxa"/>
            <w:gridSpan w:val="4"/>
            <w:tcBorders>
              <w:top w:val="nil"/>
              <w:left w:val="nil"/>
              <w:bottom w:val="single" w:color="auto" w:sz="4" w:space="0"/>
              <w:right w:val="single" w:color="auto" w:sz="4" w:space="0"/>
            </w:tcBorders>
            <w:noWrap w:val="0"/>
            <w:vAlign w:val="center"/>
          </w:tcPr>
          <w:p w14:paraId="68814697">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其中：基本支出</w:t>
            </w:r>
            <w:r>
              <w:rPr>
                <w:rFonts w:hint="eastAsia" w:ascii="仿宋_GB2312" w:hAnsi="仿宋_GB2312" w:eastAsia="仿宋_GB2312" w:cs="仿宋_GB2312"/>
                <w:color w:val="000000"/>
                <w:sz w:val="20"/>
                <w:szCs w:val="20"/>
                <w:highlight w:val="none"/>
                <w:lang w:eastAsia="zh-CN"/>
              </w:rPr>
              <w:t>：</w:t>
            </w:r>
            <w:r>
              <w:rPr>
                <w:rFonts w:hint="eastAsia" w:ascii="仿宋_GB2312" w:hAnsi="仿宋_GB2312" w:eastAsia="仿宋_GB2312" w:cs="仿宋_GB2312"/>
                <w:color w:val="000000"/>
                <w:sz w:val="20"/>
                <w:szCs w:val="20"/>
                <w:highlight w:val="none"/>
                <w:lang w:val="en-US" w:eastAsia="zh-CN"/>
              </w:rPr>
              <w:t>516.75</w:t>
            </w:r>
          </w:p>
        </w:tc>
      </w:tr>
      <w:tr w14:paraId="3902EC65">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57BE730F">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4695" w:type="dxa"/>
            <w:gridSpan w:val="4"/>
            <w:tcBorders>
              <w:top w:val="nil"/>
              <w:left w:val="nil"/>
              <w:bottom w:val="single" w:color="auto" w:sz="4" w:space="0"/>
              <w:right w:val="single" w:color="auto" w:sz="4" w:space="0"/>
            </w:tcBorders>
            <w:noWrap w:val="0"/>
            <w:vAlign w:val="center"/>
          </w:tcPr>
          <w:p w14:paraId="16418BA5">
            <w:pPr>
              <w:keepNext w:val="0"/>
              <w:keepLines w:val="0"/>
              <w:pageBreakBefore w:val="0"/>
              <w:widowControl/>
              <w:kinsoku/>
              <w:wordWrap/>
              <w:overflowPunct/>
              <w:topLinePunct w:val="0"/>
              <w:autoSpaceDE/>
              <w:autoSpaceDN/>
              <w:bidi w:val="0"/>
              <w:adjustRightInd/>
              <w:snapToGrid/>
              <w:spacing w:line="300" w:lineRule="exact"/>
              <w:ind w:firstLine="1200" w:firstLineChars="60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政府性基金拨款：</w:t>
            </w:r>
          </w:p>
        </w:tc>
        <w:tc>
          <w:tcPr>
            <w:tcW w:w="4304" w:type="dxa"/>
            <w:gridSpan w:val="4"/>
            <w:tcBorders>
              <w:top w:val="nil"/>
              <w:left w:val="nil"/>
              <w:bottom w:val="single" w:color="auto" w:sz="4" w:space="0"/>
              <w:right w:val="single" w:color="auto" w:sz="4" w:space="0"/>
            </w:tcBorders>
            <w:noWrap w:val="0"/>
            <w:vAlign w:val="center"/>
          </w:tcPr>
          <w:p w14:paraId="7A204712">
            <w:pPr>
              <w:keepNext w:val="0"/>
              <w:keepLines w:val="0"/>
              <w:pageBreakBefore w:val="0"/>
              <w:widowControl/>
              <w:kinsoku/>
              <w:wordWrap/>
              <w:overflowPunct/>
              <w:topLinePunct w:val="0"/>
              <w:autoSpaceDE/>
              <w:autoSpaceDN/>
              <w:bidi w:val="0"/>
              <w:adjustRightInd/>
              <w:snapToGrid/>
              <w:spacing w:line="300" w:lineRule="exact"/>
              <w:ind w:firstLine="600" w:firstLineChars="300"/>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项目支出：</w:t>
            </w:r>
            <w:r>
              <w:rPr>
                <w:rFonts w:hint="eastAsia" w:ascii="仿宋_GB2312" w:hAnsi="仿宋_GB2312" w:eastAsia="仿宋_GB2312" w:cs="仿宋_GB2312"/>
                <w:color w:val="000000"/>
                <w:sz w:val="20"/>
                <w:szCs w:val="20"/>
                <w:highlight w:val="none"/>
                <w:lang w:val="en-US" w:eastAsia="zh-CN"/>
              </w:rPr>
              <w:t>14.25</w:t>
            </w:r>
          </w:p>
        </w:tc>
      </w:tr>
      <w:tr w14:paraId="6A45B6AC">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1CD3BFE7">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4695" w:type="dxa"/>
            <w:gridSpan w:val="4"/>
            <w:tcBorders>
              <w:top w:val="nil"/>
              <w:left w:val="nil"/>
              <w:bottom w:val="single" w:color="auto" w:sz="4" w:space="0"/>
              <w:right w:val="single" w:color="auto" w:sz="4" w:space="0"/>
            </w:tcBorders>
            <w:noWrap w:val="0"/>
            <w:vAlign w:val="center"/>
          </w:tcPr>
          <w:p w14:paraId="176BF29B">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纳入专户管理的非税收入拨款：</w:t>
            </w:r>
          </w:p>
        </w:tc>
        <w:tc>
          <w:tcPr>
            <w:tcW w:w="4304" w:type="dxa"/>
            <w:gridSpan w:val="4"/>
            <w:tcBorders>
              <w:top w:val="nil"/>
              <w:left w:val="nil"/>
              <w:bottom w:val="single" w:color="auto" w:sz="4" w:space="0"/>
              <w:right w:val="single" w:color="auto" w:sz="4" w:space="0"/>
            </w:tcBorders>
            <w:noWrap w:val="0"/>
            <w:vAlign w:val="center"/>
          </w:tcPr>
          <w:p w14:paraId="33F85BBA">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r>
      <w:tr w14:paraId="057103ED">
        <w:tblPrEx>
          <w:tblCellMar>
            <w:top w:w="0" w:type="dxa"/>
            <w:left w:w="108" w:type="dxa"/>
            <w:bottom w:w="0" w:type="dxa"/>
            <w:right w:w="108" w:type="dxa"/>
          </w:tblCellMar>
        </w:tblPrEx>
        <w:trPr>
          <w:trHeight w:val="372" w:hRule="atLeast"/>
          <w:jc w:val="center"/>
        </w:trPr>
        <w:tc>
          <w:tcPr>
            <w:tcW w:w="1080" w:type="dxa"/>
            <w:vMerge w:val="continue"/>
            <w:tcBorders>
              <w:left w:val="single" w:color="auto" w:sz="4" w:space="0"/>
              <w:bottom w:val="single" w:color="000000" w:sz="4" w:space="0"/>
              <w:right w:val="single" w:color="auto" w:sz="4" w:space="0"/>
            </w:tcBorders>
            <w:noWrap w:val="0"/>
            <w:vAlign w:val="center"/>
          </w:tcPr>
          <w:p w14:paraId="195F80FF">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4695" w:type="dxa"/>
            <w:gridSpan w:val="4"/>
            <w:tcBorders>
              <w:top w:val="nil"/>
              <w:left w:val="nil"/>
              <w:bottom w:val="single" w:color="auto" w:sz="4" w:space="0"/>
              <w:right w:val="single" w:color="auto" w:sz="4" w:space="0"/>
            </w:tcBorders>
            <w:noWrap w:val="0"/>
            <w:vAlign w:val="center"/>
          </w:tcPr>
          <w:p w14:paraId="20181DB8">
            <w:pPr>
              <w:keepNext w:val="0"/>
              <w:keepLines w:val="0"/>
              <w:pageBreakBefore w:val="0"/>
              <w:widowControl/>
              <w:kinsoku/>
              <w:wordWrap/>
              <w:overflowPunct/>
              <w:topLinePunct w:val="0"/>
              <w:autoSpaceDE/>
              <w:autoSpaceDN/>
              <w:bidi w:val="0"/>
              <w:adjustRightInd/>
              <w:snapToGrid/>
              <w:spacing w:line="300" w:lineRule="exact"/>
              <w:ind w:firstLine="1800" w:firstLineChars="900"/>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其他资金：</w:t>
            </w:r>
            <w:r>
              <w:rPr>
                <w:rFonts w:hint="default" w:ascii="仿宋_GB2312" w:hAnsi="仿宋_GB2312" w:eastAsia="仿宋_GB2312" w:cs="仿宋_GB2312"/>
                <w:color w:val="000000"/>
                <w:sz w:val="20"/>
                <w:szCs w:val="20"/>
                <w:highlight w:val="none"/>
                <w:lang w:val="en"/>
              </w:rPr>
              <w:t>1</w:t>
            </w:r>
            <w:r>
              <w:rPr>
                <w:rFonts w:hint="eastAsia" w:ascii="仿宋_GB2312" w:hAnsi="仿宋_GB2312" w:eastAsia="仿宋_GB2312" w:cs="仿宋_GB2312"/>
                <w:color w:val="000000"/>
                <w:sz w:val="20"/>
                <w:szCs w:val="20"/>
                <w:highlight w:val="none"/>
                <w:lang w:val="en-US" w:eastAsia="zh-CN"/>
              </w:rPr>
              <w:t>22.80</w:t>
            </w:r>
          </w:p>
        </w:tc>
        <w:tc>
          <w:tcPr>
            <w:tcW w:w="4304" w:type="dxa"/>
            <w:gridSpan w:val="4"/>
            <w:tcBorders>
              <w:top w:val="nil"/>
              <w:left w:val="nil"/>
              <w:bottom w:val="single" w:color="auto" w:sz="4" w:space="0"/>
              <w:right w:val="single" w:color="auto" w:sz="4" w:space="0"/>
            </w:tcBorders>
            <w:noWrap w:val="0"/>
            <w:vAlign w:val="center"/>
          </w:tcPr>
          <w:p w14:paraId="74411766">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r>
      <w:tr w14:paraId="604E5FAE">
        <w:tblPrEx>
          <w:tblCellMar>
            <w:top w:w="0" w:type="dxa"/>
            <w:left w:w="108" w:type="dxa"/>
            <w:bottom w:w="0" w:type="dxa"/>
            <w:right w:w="108" w:type="dxa"/>
          </w:tblCellMar>
        </w:tblPrEx>
        <w:trPr>
          <w:trHeight w:val="492" w:hRule="atLeast"/>
          <w:jc w:val="center"/>
        </w:trPr>
        <w:tc>
          <w:tcPr>
            <w:tcW w:w="1080" w:type="dxa"/>
            <w:vMerge w:val="restart"/>
            <w:tcBorders>
              <w:top w:val="nil"/>
              <w:left w:val="single" w:color="auto" w:sz="4" w:space="0"/>
              <w:bottom w:val="single" w:color="000000" w:sz="4" w:space="0"/>
              <w:right w:val="single" w:color="auto" w:sz="4" w:space="0"/>
            </w:tcBorders>
            <w:noWrap w:val="0"/>
            <w:vAlign w:val="center"/>
          </w:tcPr>
          <w:p w14:paraId="6AC10100">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年度总体目标</w:t>
            </w:r>
          </w:p>
        </w:tc>
        <w:tc>
          <w:tcPr>
            <w:tcW w:w="4695" w:type="dxa"/>
            <w:gridSpan w:val="4"/>
            <w:tcBorders>
              <w:top w:val="single" w:color="auto" w:sz="4" w:space="0"/>
              <w:left w:val="nil"/>
              <w:bottom w:val="single" w:color="auto" w:sz="4" w:space="0"/>
              <w:right w:val="single" w:color="000000" w:sz="4" w:space="0"/>
            </w:tcBorders>
            <w:noWrap w:val="0"/>
            <w:vAlign w:val="center"/>
          </w:tcPr>
          <w:p w14:paraId="77AD2D5C">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预期目标</w:t>
            </w:r>
          </w:p>
        </w:tc>
        <w:tc>
          <w:tcPr>
            <w:tcW w:w="4304" w:type="dxa"/>
            <w:gridSpan w:val="4"/>
            <w:tcBorders>
              <w:top w:val="single" w:color="auto" w:sz="4" w:space="0"/>
              <w:left w:val="nil"/>
              <w:bottom w:val="single" w:color="auto" w:sz="4" w:space="0"/>
              <w:right w:val="single" w:color="auto" w:sz="4" w:space="0"/>
            </w:tcBorders>
            <w:noWrap w:val="0"/>
            <w:vAlign w:val="center"/>
          </w:tcPr>
          <w:p w14:paraId="3F8B02CF">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实际完成情况　</w:t>
            </w:r>
          </w:p>
        </w:tc>
      </w:tr>
      <w:tr w14:paraId="1E229C81">
        <w:tblPrEx>
          <w:tblCellMar>
            <w:top w:w="0" w:type="dxa"/>
            <w:left w:w="108" w:type="dxa"/>
            <w:bottom w:w="0" w:type="dxa"/>
            <w:right w:w="108" w:type="dxa"/>
          </w:tblCellMar>
        </w:tblPrEx>
        <w:trPr>
          <w:trHeight w:val="90" w:hRule="atLeast"/>
          <w:jc w:val="center"/>
        </w:trPr>
        <w:tc>
          <w:tcPr>
            <w:tcW w:w="1080" w:type="dxa"/>
            <w:vMerge w:val="continue"/>
            <w:tcBorders>
              <w:top w:val="nil"/>
              <w:left w:val="single" w:color="auto" w:sz="4" w:space="0"/>
              <w:bottom w:val="single" w:color="auto" w:sz="4" w:space="0"/>
              <w:right w:val="single" w:color="auto" w:sz="4" w:space="0"/>
            </w:tcBorders>
            <w:noWrap w:val="0"/>
            <w:vAlign w:val="center"/>
          </w:tcPr>
          <w:p w14:paraId="1C1502A0">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4695" w:type="dxa"/>
            <w:gridSpan w:val="4"/>
            <w:tcBorders>
              <w:top w:val="single" w:color="auto" w:sz="4" w:space="0"/>
              <w:left w:val="nil"/>
              <w:bottom w:val="single" w:color="auto" w:sz="4" w:space="0"/>
              <w:right w:val="single" w:color="000000" w:sz="4" w:space="0"/>
            </w:tcBorders>
            <w:noWrap w:val="0"/>
            <w:vAlign w:val="center"/>
          </w:tcPr>
          <w:p w14:paraId="5EA11D5B">
            <w:pPr>
              <w:keepNext w:val="0"/>
              <w:keepLines w:val="0"/>
              <w:pageBreakBefore w:val="0"/>
              <w:widowControl/>
              <w:numPr>
                <w:ilvl w:val="0"/>
                <w:numId w:val="0"/>
              </w:numPr>
              <w:kinsoku/>
              <w:wordWrap/>
              <w:overflowPunct/>
              <w:topLinePunct w:val="0"/>
              <w:autoSpaceDE/>
              <w:autoSpaceDN/>
              <w:bidi w:val="0"/>
              <w:adjustRightInd/>
              <w:snapToGrid/>
              <w:spacing w:line="300" w:lineRule="exact"/>
              <w:ind w:firstLine="400" w:firstLineChars="20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1、</w:t>
            </w:r>
            <w:r>
              <w:rPr>
                <w:rFonts w:hint="eastAsia" w:ascii="仿宋_GB2312" w:hAnsi="仿宋_GB2312" w:eastAsia="仿宋_GB2312" w:cs="仿宋_GB2312"/>
                <w:color w:val="000000"/>
                <w:sz w:val="20"/>
                <w:szCs w:val="20"/>
                <w:highlight w:val="none"/>
              </w:rPr>
              <w:t>提升维护管理工作，加大考评力度、提升维护质量、创新工作机制</w:t>
            </w:r>
            <w:r>
              <w:rPr>
                <w:rFonts w:hint="eastAsia" w:ascii="仿宋_GB2312" w:hAnsi="仿宋_GB2312" w:eastAsia="仿宋_GB2312" w:cs="仿宋_GB2312"/>
                <w:color w:val="000000"/>
                <w:sz w:val="20"/>
                <w:szCs w:val="20"/>
                <w:highlight w:val="none"/>
                <w:lang w:eastAsia="zh-CN"/>
              </w:rPr>
              <w:t>；</w:t>
            </w:r>
          </w:p>
          <w:p w14:paraId="01BC65C5">
            <w:pPr>
              <w:keepNext w:val="0"/>
              <w:keepLines w:val="0"/>
              <w:pageBreakBefore w:val="0"/>
              <w:widowControl/>
              <w:numPr>
                <w:ilvl w:val="0"/>
                <w:numId w:val="0"/>
              </w:numPr>
              <w:kinsoku/>
              <w:wordWrap/>
              <w:overflowPunct/>
              <w:topLinePunct w:val="0"/>
              <w:autoSpaceDE/>
              <w:autoSpaceDN/>
              <w:bidi w:val="0"/>
              <w:adjustRightInd/>
              <w:snapToGrid/>
              <w:spacing w:line="300" w:lineRule="exact"/>
              <w:ind w:firstLine="400" w:firstLineChars="200"/>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val="en-US" w:eastAsia="zh-CN"/>
              </w:rPr>
              <w:t>2、</w:t>
            </w:r>
            <w:r>
              <w:rPr>
                <w:rFonts w:hint="eastAsia" w:ascii="仿宋_GB2312" w:hAnsi="仿宋_GB2312" w:eastAsia="仿宋_GB2312" w:cs="仿宋_GB2312"/>
                <w:color w:val="000000"/>
                <w:sz w:val="20"/>
                <w:szCs w:val="20"/>
                <w:highlight w:val="none"/>
              </w:rPr>
              <w:t>单位负责的行政审批工作提效</w:t>
            </w:r>
            <w:r>
              <w:rPr>
                <w:rFonts w:hint="eastAsia" w:ascii="仿宋_GB2312" w:hAnsi="仿宋_GB2312" w:eastAsia="仿宋_GB2312" w:cs="仿宋_GB2312"/>
                <w:color w:val="000000"/>
                <w:sz w:val="20"/>
                <w:szCs w:val="20"/>
                <w:highlight w:val="none"/>
                <w:lang w:eastAsia="zh-CN"/>
              </w:rPr>
              <w:t>；</w:t>
            </w:r>
          </w:p>
          <w:p w14:paraId="3BDDA945">
            <w:pPr>
              <w:keepNext w:val="0"/>
              <w:keepLines w:val="0"/>
              <w:pageBreakBefore w:val="0"/>
              <w:widowControl/>
              <w:numPr>
                <w:ilvl w:val="0"/>
                <w:numId w:val="0"/>
              </w:numPr>
              <w:kinsoku/>
              <w:wordWrap/>
              <w:overflowPunct/>
              <w:topLinePunct w:val="0"/>
              <w:autoSpaceDE/>
              <w:autoSpaceDN/>
              <w:bidi w:val="0"/>
              <w:adjustRightInd/>
              <w:snapToGrid/>
              <w:spacing w:line="300" w:lineRule="exact"/>
              <w:ind w:firstLine="400" w:firstLineChars="200"/>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val="en-US" w:eastAsia="zh-CN"/>
              </w:rPr>
              <w:t>3、</w:t>
            </w:r>
            <w:r>
              <w:rPr>
                <w:rFonts w:hint="eastAsia" w:ascii="仿宋_GB2312" w:hAnsi="仿宋_GB2312" w:eastAsia="仿宋_GB2312" w:cs="仿宋_GB2312"/>
                <w:color w:val="000000"/>
                <w:sz w:val="20"/>
                <w:szCs w:val="20"/>
                <w:highlight w:val="none"/>
              </w:rPr>
              <w:t>大力推进环保和垃圾分类工作</w:t>
            </w:r>
            <w:r>
              <w:rPr>
                <w:rFonts w:hint="eastAsia" w:ascii="仿宋_GB2312" w:hAnsi="仿宋_GB2312" w:eastAsia="仿宋_GB2312" w:cs="仿宋_GB2312"/>
                <w:color w:val="000000"/>
                <w:sz w:val="20"/>
                <w:szCs w:val="20"/>
                <w:highlight w:val="none"/>
                <w:lang w:eastAsia="zh-CN"/>
              </w:rPr>
              <w:t>，</w:t>
            </w:r>
            <w:r>
              <w:rPr>
                <w:rFonts w:hint="eastAsia" w:ascii="仿宋_GB2312" w:hAnsi="仿宋_GB2312" w:eastAsia="仿宋_GB2312" w:cs="仿宋_GB2312"/>
                <w:color w:val="000000"/>
                <w:sz w:val="20"/>
                <w:szCs w:val="20"/>
                <w:highlight w:val="none"/>
              </w:rPr>
              <w:t>高效完成接待任务</w:t>
            </w:r>
            <w:r>
              <w:rPr>
                <w:rFonts w:hint="eastAsia" w:ascii="仿宋_GB2312" w:hAnsi="仿宋_GB2312" w:eastAsia="仿宋_GB2312" w:cs="仿宋_GB2312"/>
                <w:color w:val="000000"/>
                <w:sz w:val="20"/>
                <w:szCs w:val="20"/>
                <w:highlight w:val="none"/>
                <w:lang w:eastAsia="zh-CN"/>
              </w:rPr>
              <w:t>；</w:t>
            </w:r>
          </w:p>
          <w:p w14:paraId="69218752">
            <w:pPr>
              <w:keepNext w:val="0"/>
              <w:keepLines w:val="0"/>
              <w:pageBreakBefore w:val="0"/>
              <w:widowControl/>
              <w:numPr>
                <w:ilvl w:val="0"/>
                <w:numId w:val="0"/>
              </w:numPr>
              <w:kinsoku/>
              <w:wordWrap/>
              <w:overflowPunct/>
              <w:topLinePunct w:val="0"/>
              <w:autoSpaceDE/>
              <w:autoSpaceDN/>
              <w:bidi w:val="0"/>
              <w:adjustRightInd/>
              <w:snapToGrid/>
              <w:spacing w:line="300" w:lineRule="exact"/>
              <w:ind w:firstLine="400" w:firstLineChars="200"/>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val="en-US" w:eastAsia="zh-CN"/>
              </w:rPr>
              <w:t>4、</w:t>
            </w:r>
            <w:r>
              <w:rPr>
                <w:rFonts w:hint="eastAsia" w:ascii="仿宋_GB2312" w:hAnsi="仿宋_GB2312" w:eastAsia="仿宋_GB2312" w:cs="仿宋_GB2312"/>
                <w:color w:val="000000"/>
                <w:sz w:val="20"/>
                <w:szCs w:val="20"/>
                <w:highlight w:val="none"/>
              </w:rPr>
              <w:t>不断完善执法程序，持续开展综合整治，坚决抓好扬尘管控和禁燃禁放工作</w:t>
            </w:r>
            <w:r>
              <w:rPr>
                <w:rFonts w:hint="eastAsia" w:ascii="仿宋_GB2312" w:hAnsi="仿宋_GB2312" w:eastAsia="仿宋_GB2312" w:cs="仿宋_GB2312"/>
                <w:color w:val="000000"/>
                <w:sz w:val="20"/>
                <w:szCs w:val="20"/>
                <w:highlight w:val="none"/>
                <w:lang w:eastAsia="zh-CN"/>
              </w:rPr>
              <w:t>；</w:t>
            </w:r>
          </w:p>
          <w:p w14:paraId="36251E83">
            <w:pPr>
              <w:keepNext w:val="0"/>
              <w:keepLines w:val="0"/>
              <w:pageBreakBefore w:val="0"/>
              <w:widowControl/>
              <w:numPr>
                <w:ilvl w:val="0"/>
                <w:numId w:val="0"/>
              </w:numPr>
              <w:kinsoku/>
              <w:wordWrap/>
              <w:overflowPunct/>
              <w:topLinePunct w:val="0"/>
              <w:autoSpaceDE/>
              <w:autoSpaceDN/>
              <w:bidi w:val="0"/>
              <w:adjustRightInd/>
              <w:snapToGrid/>
              <w:spacing w:line="300" w:lineRule="exact"/>
              <w:ind w:firstLine="400" w:firstLineChars="20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5</w:t>
            </w:r>
            <w:r>
              <w:rPr>
                <w:rFonts w:hint="eastAsia" w:ascii="仿宋_GB2312" w:hAnsi="仿宋_GB2312" w:eastAsia="仿宋_GB2312" w:cs="仿宋_GB2312"/>
                <w:color w:val="000000"/>
                <w:sz w:val="20"/>
                <w:szCs w:val="20"/>
                <w:highlight w:val="none"/>
                <w:lang w:eastAsia="zh-CN"/>
              </w:rPr>
              <w:t>、</w:t>
            </w:r>
            <w:r>
              <w:rPr>
                <w:rFonts w:hint="eastAsia" w:ascii="仿宋_GB2312" w:hAnsi="仿宋_GB2312" w:eastAsia="仿宋_GB2312" w:cs="仿宋_GB2312"/>
                <w:color w:val="000000"/>
                <w:sz w:val="20"/>
                <w:szCs w:val="20"/>
                <w:highlight w:val="none"/>
              </w:rPr>
              <w:t>及时受理信访投诉。　　</w:t>
            </w:r>
          </w:p>
        </w:tc>
        <w:tc>
          <w:tcPr>
            <w:tcW w:w="4304" w:type="dxa"/>
            <w:gridSpan w:val="4"/>
            <w:tcBorders>
              <w:top w:val="single" w:color="auto" w:sz="4" w:space="0"/>
              <w:left w:val="nil"/>
              <w:bottom w:val="single" w:color="auto" w:sz="4" w:space="0"/>
              <w:right w:val="single" w:color="auto" w:sz="4" w:space="0"/>
            </w:tcBorders>
            <w:noWrap w:val="0"/>
            <w:vAlign w:val="center"/>
          </w:tcPr>
          <w:p w14:paraId="53667DC8">
            <w:pPr>
              <w:keepNext w:val="0"/>
              <w:keepLines w:val="0"/>
              <w:pageBreakBefore w:val="0"/>
              <w:widowControl w:val="0"/>
              <w:kinsoku/>
              <w:wordWrap/>
              <w:overflowPunct/>
              <w:topLinePunct w:val="0"/>
              <w:autoSpaceDE/>
              <w:autoSpaceDN/>
              <w:bidi w:val="0"/>
              <w:adjustRightInd/>
              <w:snapToGrid/>
              <w:spacing w:line="300" w:lineRule="exact"/>
              <w:ind w:firstLine="400" w:firstLineChars="200"/>
              <w:textAlignment w:val="auto"/>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1、</w:t>
            </w:r>
            <w:r>
              <w:rPr>
                <w:rFonts w:hint="eastAsia" w:ascii="仿宋_GB2312" w:hAnsi="仿宋_GB2312" w:eastAsia="仿宋_GB2312" w:cs="仿宋_GB2312"/>
                <w:sz w:val="20"/>
                <w:szCs w:val="20"/>
              </w:rPr>
              <w:t>提升</w:t>
            </w:r>
            <w:r>
              <w:rPr>
                <w:rFonts w:hint="eastAsia" w:ascii="仿宋_GB2312" w:hAnsi="仿宋_GB2312" w:eastAsia="仿宋_GB2312" w:cs="仿宋_GB2312"/>
                <w:sz w:val="20"/>
                <w:szCs w:val="20"/>
                <w:lang w:eastAsia="zh-CN"/>
              </w:rPr>
              <w:t>了</w:t>
            </w:r>
            <w:r>
              <w:rPr>
                <w:rFonts w:hint="eastAsia" w:ascii="仿宋_GB2312" w:hAnsi="仿宋_GB2312" w:eastAsia="仿宋_GB2312" w:cs="仿宋_GB2312"/>
                <w:sz w:val="20"/>
                <w:szCs w:val="20"/>
              </w:rPr>
              <w:t>维护管理工作</w:t>
            </w:r>
            <w:r>
              <w:rPr>
                <w:rFonts w:hint="eastAsia" w:ascii="仿宋_GB2312" w:hAnsi="仿宋_GB2312" w:eastAsia="仿宋_GB2312" w:cs="仿宋_GB2312"/>
                <w:sz w:val="20"/>
                <w:szCs w:val="20"/>
                <w:lang w:eastAsia="zh-CN"/>
              </w:rPr>
              <w:t>标准</w:t>
            </w:r>
            <w:r>
              <w:rPr>
                <w:rFonts w:hint="eastAsia" w:ascii="仿宋_GB2312" w:hAnsi="仿宋_GB2312" w:eastAsia="仿宋_GB2312" w:cs="仿宋_GB2312"/>
                <w:sz w:val="20"/>
                <w:szCs w:val="20"/>
              </w:rPr>
              <w:t>，加大</w:t>
            </w:r>
            <w:r>
              <w:rPr>
                <w:rFonts w:hint="eastAsia" w:ascii="仿宋_GB2312" w:hAnsi="仿宋_GB2312" w:eastAsia="仿宋_GB2312" w:cs="仿宋_GB2312"/>
                <w:sz w:val="20"/>
                <w:szCs w:val="20"/>
                <w:lang w:eastAsia="zh-CN"/>
              </w:rPr>
              <w:t>了</w:t>
            </w:r>
            <w:r>
              <w:rPr>
                <w:rFonts w:hint="eastAsia" w:ascii="仿宋_GB2312" w:hAnsi="仿宋_GB2312" w:eastAsia="仿宋_GB2312" w:cs="仿宋_GB2312"/>
                <w:sz w:val="20"/>
                <w:szCs w:val="20"/>
              </w:rPr>
              <w:t>考评力</w:t>
            </w:r>
            <w:r>
              <w:rPr>
                <w:rFonts w:hint="eastAsia" w:ascii="仿宋_GB2312" w:hAnsi="仿宋_GB2312" w:eastAsia="仿宋_GB2312" w:cs="仿宋_GB2312"/>
                <w:sz w:val="20"/>
                <w:szCs w:val="20"/>
                <w:lang w:eastAsia="zh-CN"/>
              </w:rPr>
              <w:t>度和</w:t>
            </w:r>
            <w:r>
              <w:rPr>
                <w:rFonts w:hint="eastAsia" w:ascii="仿宋_GB2312" w:hAnsi="仿宋_GB2312" w:eastAsia="仿宋_GB2312" w:cs="仿宋_GB2312"/>
                <w:sz w:val="20"/>
                <w:szCs w:val="20"/>
              </w:rPr>
              <w:t>创新工作机制</w:t>
            </w:r>
            <w:r>
              <w:rPr>
                <w:rFonts w:hint="eastAsia" w:ascii="仿宋_GB2312" w:hAnsi="仿宋_GB2312" w:eastAsia="仿宋_GB2312" w:cs="仿宋_GB2312"/>
                <w:sz w:val="20"/>
                <w:szCs w:val="20"/>
                <w:lang w:eastAsia="zh-CN"/>
              </w:rPr>
              <w:t>，</w:t>
            </w:r>
            <w:r>
              <w:rPr>
                <w:rFonts w:hint="eastAsia" w:ascii="仿宋_GB2312" w:hAnsi="仿宋_GB2312" w:eastAsia="仿宋_GB2312" w:cs="仿宋_GB2312"/>
                <w:sz w:val="20"/>
                <w:szCs w:val="20"/>
              </w:rPr>
              <w:t>维护质量</w:t>
            </w:r>
            <w:r>
              <w:rPr>
                <w:rFonts w:hint="eastAsia" w:ascii="仿宋_GB2312" w:hAnsi="仿宋_GB2312" w:eastAsia="仿宋_GB2312" w:cs="仿宋_GB2312"/>
                <w:sz w:val="20"/>
                <w:szCs w:val="20"/>
                <w:lang w:eastAsia="zh-CN"/>
              </w:rPr>
              <w:t>得到明显提升；</w:t>
            </w:r>
            <w:r>
              <w:rPr>
                <w:rFonts w:hint="eastAsia" w:ascii="仿宋_GB2312" w:hAnsi="仿宋_GB2312" w:eastAsia="仿宋_GB2312" w:cs="仿宋_GB2312"/>
                <w:sz w:val="20"/>
                <w:szCs w:val="20"/>
                <w:lang w:val="en-US" w:eastAsia="zh-CN"/>
              </w:rPr>
              <w:t xml:space="preserve">                                 </w:t>
            </w:r>
          </w:p>
          <w:p w14:paraId="05D8C7F8">
            <w:pPr>
              <w:keepNext w:val="0"/>
              <w:keepLines w:val="0"/>
              <w:pageBreakBefore w:val="0"/>
              <w:widowControl w:val="0"/>
              <w:kinsoku/>
              <w:wordWrap/>
              <w:overflowPunct/>
              <w:topLinePunct w:val="0"/>
              <w:autoSpaceDE/>
              <w:autoSpaceDN/>
              <w:bidi w:val="0"/>
              <w:adjustRightInd/>
              <w:snapToGrid/>
              <w:spacing w:line="300" w:lineRule="exact"/>
              <w:ind w:firstLine="400" w:firstLineChars="200"/>
              <w:textAlignment w:val="auto"/>
              <w:rPr>
                <w:rFonts w:hint="eastAsia" w:ascii="仿宋_GB2312" w:hAnsi="仿宋_GB2312" w:eastAsia="仿宋_GB2312" w:cs="仿宋_GB2312"/>
                <w:sz w:val="20"/>
                <w:szCs w:val="20"/>
                <w:lang w:eastAsia="zh-CN"/>
              </w:rPr>
            </w:pPr>
            <w:r>
              <w:rPr>
                <w:rFonts w:hint="default" w:ascii="仿宋_GB2312" w:hAnsi="仿宋_GB2312" w:eastAsia="仿宋_GB2312" w:cs="仿宋_GB2312"/>
                <w:sz w:val="20"/>
                <w:szCs w:val="20"/>
                <w:lang w:val="en" w:eastAsia="zh-CN"/>
              </w:rPr>
              <w:t>2</w:t>
            </w:r>
            <w:r>
              <w:rPr>
                <w:rFonts w:hint="eastAsia" w:ascii="仿宋_GB2312" w:hAnsi="仿宋_GB2312" w:eastAsia="仿宋_GB2312" w:cs="仿宋_GB2312"/>
                <w:sz w:val="20"/>
                <w:szCs w:val="20"/>
                <w:lang w:val="en-US" w:eastAsia="zh-CN"/>
              </w:rPr>
              <w:t>、</w:t>
            </w:r>
            <w:r>
              <w:rPr>
                <w:rFonts w:hint="eastAsia" w:ascii="仿宋_GB2312" w:hAnsi="仿宋_GB2312" w:eastAsia="仿宋_GB2312" w:cs="仿宋_GB2312"/>
                <w:sz w:val="20"/>
                <w:szCs w:val="20"/>
              </w:rPr>
              <w:t>单位负责的行政审批工作效</w:t>
            </w:r>
            <w:r>
              <w:rPr>
                <w:rFonts w:hint="eastAsia" w:ascii="仿宋_GB2312" w:hAnsi="仿宋_GB2312" w:eastAsia="仿宋_GB2312" w:cs="仿宋_GB2312"/>
                <w:sz w:val="20"/>
                <w:szCs w:val="20"/>
                <w:lang w:eastAsia="zh-CN"/>
              </w:rPr>
              <w:t>率明显提升；</w:t>
            </w:r>
          </w:p>
          <w:p w14:paraId="4DB2953C">
            <w:pPr>
              <w:keepNext w:val="0"/>
              <w:keepLines w:val="0"/>
              <w:pageBreakBefore w:val="0"/>
              <w:widowControl w:val="0"/>
              <w:kinsoku/>
              <w:wordWrap/>
              <w:overflowPunct/>
              <w:topLinePunct w:val="0"/>
              <w:autoSpaceDE/>
              <w:autoSpaceDN/>
              <w:bidi w:val="0"/>
              <w:adjustRightInd/>
              <w:snapToGrid/>
              <w:spacing w:line="300" w:lineRule="exact"/>
              <w:ind w:firstLine="400" w:firstLineChars="200"/>
              <w:textAlignment w:val="auto"/>
              <w:rPr>
                <w:rFonts w:hint="eastAsia" w:ascii="仿宋_GB2312" w:hAnsi="仿宋_GB2312" w:eastAsia="仿宋_GB2312" w:cs="仿宋_GB2312"/>
                <w:sz w:val="20"/>
                <w:szCs w:val="20"/>
                <w:lang w:eastAsia="zh-CN"/>
              </w:rPr>
            </w:pPr>
            <w:r>
              <w:rPr>
                <w:rFonts w:hint="eastAsia" w:ascii="仿宋_GB2312" w:hAnsi="仿宋_GB2312" w:eastAsia="仿宋_GB2312" w:cs="仿宋_GB2312"/>
                <w:sz w:val="20"/>
                <w:szCs w:val="20"/>
                <w:lang w:val="en-US" w:eastAsia="zh-CN"/>
              </w:rPr>
              <w:t>3、</w:t>
            </w:r>
            <w:r>
              <w:rPr>
                <w:rFonts w:hint="eastAsia" w:ascii="仿宋_GB2312" w:hAnsi="仿宋_GB2312" w:eastAsia="仿宋_GB2312" w:cs="仿宋_GB2312"/>
                <w:sz w:val="20"/>
                <w:szCs w:val="20"/>
              </w:rPr>
              <w:t>大力</w:t>
            </w:r>
            <w:r>
              <w:rPr>
                <w:rFonts w:hint="eastAsia" w:ascii="仿宋_GB2312" w:hAnsi="仿宋_GB2312" w:eastAsia="仿宋_GB2312" w:cs="仿宋_GB2312"/>
                <w:sz w:val="20"/>
                <w:szCs w:val="20"/>
                <w:lang w:eastAsia="zh-CN"/>
              </w:rPr>
              <w:t>了</w:t>
            </w:r>
            <w:r>
              <w:rPr>
                <w:rFonts w:hint="eastAsia" w:ascii="仿宋_GB2312" w:hAnsi="仿宋_GB2312" w:eastAsia="仿宋_GB2312" w:cs="仿宋_GB2312"/>
                <w:sz w:val="20"/>
                <w:szCs w:val="20"/>
              </w:rPr>
              <w:t>推进环保和垃圾分类工作</w:t>
            </w:r>
            <w:r>
              <w:rPr>
                <w:rFonts w:hint="eastAsia" w:ascii="仿宋_GB2312" w:hAnsi="仿宋_GB2312" w:eastAsia="仿宋_GB2312" w:cs="仿宋_GB2312"/>
                <w:sz w:val="20"/>
                <w:szCs w:val="20"/>
                <w:lang w:eastAsia="zh-CN"/>
              </w:rPr>
              <w:t>，港区城市环境明显改善，</w:t>
            </w:r>
            <w:r>
              <w:rPr>
                <w:rFonts w:hint="eastAsia" w:ascii="仿宋_GB2312" w:hAnsi="仿宋_GB2312" w:eastAsia="仿宋_GB2312" w:cs="仿宋_GB2312"/>
                <w:sz w:val="20"/>
                <w:szCs w:val="20"/>
              </w:rPr>
              <w:t>高效完成</w:t>
            </w:r>
            <w:r>
              <w:rPr>
                <w:rFonts w:hint="eastAsia" w:ascii="仿宋_GB2312" w:hAnsi="仿宋_GB2312" w:eastAsia="仿宋_GB2312" w:cs="仿宋_GB2312"/>
                <w:sz w:val="20"/>
                <w:szCs w:val="20"/>
                <w:lang w:eastAsia="zh-CN"/>
              </w:rPr>
              <w:t>了各项</w:t>
            </w:r>
            <w:r>
              <w:rPr>
                <w:rFonts w:hint="eastAsia" w:ascii="仿宋_GB2312" w:hAnsi="仿宋_GB2312" w:eastAsia="仿宋_GB2312" w:cs="仿宋_GB2312"/>
                <w:sz w:val="20"/>
                <w:szCs w:val="20"/>
              </w:rPr>
              <w:t>接待任务</w:t>
            </w:r>
            <w:r>
              <w:rPr>
                <w:rFonts w:hint="eastAsia" w:ascii="仿宋_GB2312" w:hAnsi="仿宋_GB2312" w:eastAsia="仿宋_GB2312" w:cs="仿宋_GB2312"/>
                <w:sz w:val="20"/>
                <w:szCs w:val="20"/>
                <w:lang w:eastAsia="zh-CN"/>
              </w:rPr>
              <w:t>；</w:t>
            </w:r>
          </w:p>
          <w:p w14:paraId="29210AED">
            <w:pPr>
              <w:keepNext w:val="0"/>
              <w:keepLines w:val="0"/>
              <w:pageBreakBefore w:val="0"/>
              <w:widowControl w:val="0"/>
              <w:kinsoku/>
              <w:wordWrap/>
              <w:overflowPunct/>
              <w:topLinePunct w:val="0"/>
              <w:autoSpaceDE/>
              <w:autoSpaceDN/>
              <w:bidi w:val="0"/>
              <w:adjustRightInd/>
              <w:snapToGrid/>
              <w:spacing w:line="300" w:lineRule="exact"/>
              <w:ind w:firstLine="400" w:firstLineChars="200"/>
              <w:textAlignment w:val="auto"/>
              <w:rPr>
                <w:rFonts w:hint="eastAsia" w:ascii="仿宋_GB2312" w:hAnsi="仿宋_GB2312" w:eastAsia="仿宋_GB2312" w:cs="仿宋_GB2312"/>
                <w:sz w:val="20"/>
                <w:szCs w:val="20"/>
                <w:lang w:eastAsia="zh-CN"/>
              </w:rPr>
            </w:pPr>
            <w:r>
              <w:rPr>
                <w:rFonts w:hint="eastAsia" w:ascii="仿宋_GB2312" w:hAnsi="仿宋_GB2312" w:eastAsia="仿宋_GB2312" w:cs="仿宋_GB2312"/>
                <w:sz w:val="20"/>
                <w:szCs w:val="20"/>
                <w:lang w:val="en-US" w:eastAsia="zh-CN"/>
              </w:rPr>
              <w:t>4、</w:t>
            </w:r>
            <w:r>
              <w:rPr>
                <w:rFonts w:hint="eastAsia" w:ascii="仿宋_GB2312" w:hAnsi="仿宋_GB2312" w:eastAsia="仿宋_GB2312" w:cs="仿宋_GB2312"/>
                <w:sz w:val="20"/>
                <w:szCs w:val="20"/>
              </w:rPr>
              <w:t>执法程序</w:t>
            </w:r>
            <w:r>
              <w:rPr>
                <w:rFonts w:hint="eastAsia" w:ascii="仿宋_GB2312" w:hAnsi="仿宋_GB2312" w:eastAsia="仿宋_GB2312" w:cs="仿宋_GB2312"/>
                <w:sz w:val="20"/>
                <w:szCs w:val="20"/>
                <w:lang w:eastAsia="zh-CN"/>
              </w:rPr>
              <w:t>得到了</w:t>
            </w:r>
            <w:r>
              <w:rPr>
                <w:rFonts w:hint="eastAsia" w:ascii="仿宋_GB2312" w:hAnsi="仿宋_GB2312" w:eastAsia="仿宋_GB2312" w:cs="仿宋_GB2312"/>
                <w:sz w:val="20"/>
                <w:szCs w:val="20"/>
                <w:lang w:val="en-US" w:eastAsia="zh-CN"/>
              </w:rPr>
              <w:t>进一步</w:t>
            </w:r>
            <w:r>
              <w:rPr>
                <w:rFonts w:hint="eastAsia" w:ascii="仿宋_GB2312" w:hAnsi="仿宋_GB2312" w:eastAsia="仿宋_GB2312" w:cs="仿宋_GB2312"/>
                <w:sz w:val="20"/>
                <w:szCs w:val="20"/>
                <w:lang w:eastAsia="zh-CN"/>
              </w:rPr>
              <w:t>优化</w:t>
            </w:r>
            <w:r>
              <w:rPr>
                <w:rFonts w:hint="eastAsia" w:ascii="仿宋_GB2312" w:hAnsi="仿宋_GB2312" w:eastAsia="仿宋_GB2312" w:cs="仿宋_GB2312"/>
                <w:sz w:val="20"/>
                <w:szCs w:val="20"/>
              </w:rPr>
              <w:t>，持续开展综合整治</w:t>
            </w:r>
            <w:r>
              <w:rPr>
                <w:rFonts w:hint="eastAsia" w:ascii="仿宋_GB2312" w:hAnsi="仿宋_GB2312" w:eastAsia="仿宋_GB2312" w:cs="仿宋_GB2312"/>
                <w:sz w:val="20"/>
                <w:szCs w:val="20"/>
                <w:lang w:eastAsia="zh-CN"/>
              </w:rPr>
              <w:t>工作</w:t>
            </w:r>
            <w:r>
              <w:rPr>
                <w:rFonts w:hint="eastAsia" w:ascii="仿宋_GB2312" w:hAnsi="仿宋_GB2312" w:eastAsia="仿宋_GB2312" w:cs="仿宋_GB2312"/>
                <w:sz w:val="20"/>
                <w:szCs w:val="20"/>
              </w:rPr>
              <w:t>，</w:t>
            </w:r>
            <w:r>
              <w:rPr>
                <w:rFonts w:hint="eastAsia" w:ascii="仿宋_GB2312" w:hAnsi="仿宋_GB2312" w:eastAsia="仿宋_GB2312" w:cs="仿宋_GB2312"/>
                <w:sz w:val="20"/>
                <w:szCs w:val="20"/>
                <w:lang w:eastAsia="zh-CN"/>
              </w:rPr>
              <w:t>港区</w:t>
            </w:r>
            <w:r>
              <w:rPr>
                <w:rFonts w:hint="eastAsia" w:ascii="仿宋_GB2312" w:hAnsi="仿宋_GB2312" w:eastAsia="仿宋_GB2312" w:cs="仿宋_GB2312"/>
                <w:sz w:val="20"/>
                <w:szCs w:val="20"/>
              </w:rPr>
              <w:t>扬尘管控和禁燃禁放工作</w:t>
            </w:r>
            <w:r>
              <w:rPr>
                <w:rFonts w:hint="eastAsia" w:ascii="仿宋_GB2312" w:hAnsi="仿宋_GB2312" w:eastAsia="仿宋_GB2312" w:cs="仿宋_GB2312"/>
                <w:sz w:val="20"/>
                <w:szCs w:val="20"/>
                <w:lang w:eastAsia="zh-CN"/>
              </w:rPr>
              <w:t>成效明显；</w:t>
            </w:r>
          </w:p>
          <w:p w14:paraId="4B9B8DC7">
            <w:pPr>
              <w:keepNext w:val="0"/>
              <w:keepLines w:val="0"/>
              <w:pageBreakBefore w:val="0"/>
              <w:widowControl w:val="0"/>
              <w:kinsoku/>
              <w:wordWrap/>
              <w:overflowPunct/>
              <w:topLinePunct w:val="0"/>
              <w:autoSpaceDE/>
              <w:autoSpaceDN/>
              <w:bidi w:val="0"/>
              <w:adjustRightInd/>
              <w:snapToGrid/>
              <w:spacing w:line="300" w:lineRule="exact"/>
              <w:ind w:firstLine="400" w:firstLineChars="200"/>
              <w:textAlignment w:val="auto"/>
              <w:rPr>
                <w:rFonts w:hint="eastAsia" w:ascii="CESI仿宋-GB2312" w:hAnsi="CESI仿宋-GB2312" w:eastAsia="CESI仿宋-GB2312" w:cs="CESI仿宋-GB2312"/>
                <w:sz w:val="20"/>
                <w:szCs w:val="20"/>
                <w:lang w:val="en-US" w:eastAsia="zh-CN"/>
              </w:rPr>
            </w:pPr>
            <w:r>
              <w:rPr>
                <w:rFonts w:hint="eastAsia" w:ascii="仿宋_GB2312" w:hAnsi="仿宋_GB2312" w:eastAsia="仿宋_GB2312" w:cs="仿宋_GB2312"/>
                <w:sz w:val="20"/>
                <w:szCs w:val="20"/>
              </w:rPr>
              <w:t>5</w:t>
            </w:r>
            <w:r>
              <w:rPr>
                <w:rFonts w:hint="eastAsia" w:ascii="仿宋_GB2312" w:hAnsi="仿宋_GB2312" w:eastAsia="仿宋_GB2312" w:cs="仿宋_GB2312"/>
                <w:sz w:val="20"/>
                <w:szCs w:val="20"/>
                <w:lang w:eastAsia="zh-CN"/>
              </w:rPr>
              <w:t>、</w:t>
            </w:r>
            <w:r>
              <w:rPr>
                <w:rFonts w:hint="eastAsia" w:ascii="仿宋_GB2312" w:hAnsi="仿宋_GB2312" w:eastAsia="仿宋_GB2312" w:cs="仿宋_GB2312"/>
                <w:sz w:val="20"/>
                <w:szCs w:val="20"/>
              </w:rPr>
              <w:t>及时受理</w:t>
            </w:r>
            <w:r>
              <w:rPr>
                <w:rFonts w:hint="eastAsia" w:ascii="仿宋_GB2312" w:hAnsi="仿宋_GB2312" w:eastAsia="仿宋_GB2312" w:cs="仿宋_GB2312"/>
                <w:sz w:val="20"/>
                <w:szCs w:val="20"/>
                <w:lang w:eastAsia="zh-CN"/>
              </w:rPr>
              <w:t>，并妥善处置了</w:t>
            </w:r>
            <w:r>
              <w:rPr>
                <w:rFonts w:hint="eastAsia" w:ascii="仿宋_GB2312" w:hAnsi="仿宋_GB2312" w:eastAsia="仿宋_GB2312" w:cs="仿宋_GB2312"/>
                <w:sz w:val="20"/>
                <w:szCs w:val="20"/>
              </w:rPr>
              <w:t>信访投诉</w:t>
            </w:r>
            <w:r>
              <w:rPr>
                <w:rFonts w:hint="eastAsia" w:ascii="仿宋_GB2312" w:hAnsi="仿宋_GB2312" w:eastAsia="仿宋_GB2312" w:cs="仿宋_GB2312"/>
                <w:sz w:val="20"/>
                <w:szCs w:val="20"/>
                <w:lang w:eastAsia="zh-CN"/>
              </w:rPr>
              <w:t>事件</w:t>
            </w:r>
            <w:r>
              <w:rPr>
                <w:rFonts w:hint="eastAsia" w:ascii="仿宋_GB2312" w:hAnsi="仿宋_GB2312" w:eastAsia="仿宋_GB2312" w:cs="仿宋_GB2312"/>
                <w:sz w:val="20"/>
                <w:szCs w:val="20"/>
              </w:rPr>
              <w:t>。</w:t>
            </w:r>
            <w:r>
              <w:rPr>
                <w:rFonts w:hint="eastAsia" w:ascii="CESI仿宋-GB2312" w:hAnsi="CESI仿宋-GB2312" w:eastAsia="CESI仿宋-GB2312" w:cs="CESI仿宋-GB2312"/>
                <w:sz w:val="20"/>
                <w:szCs w:val="20"/>
              </w:rPr>
              <w:t>　　</w:t>
            </w:r>
          </w:p>
        </w:tc>
      </w:tr>
      <w:tr w14:paraId="26BACF28">
        <w:tblPrEx>
          <w:tblCellMar>
            <w:top w:w="0" w:type="dxa"/>
            <w:left w:w="108" w:type="dxa"/>
            <w:bottom w:w="0" w:type="dxa"/>
            <w:right w:w="108" w:type="dxa"/>
          </w:tblCellMar>
        </w:tblPrEx>
        <w:trPr>
          <w:jc w:val="center"/>
        </w:trPr>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4D18156E">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绩</w:t>
            </w:r>
          </w:p>
          <w:p w14:paraId="3A8167B4">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效</w:t>
            </w:r>
          </w:p>
          <w:p w14:paraId="36FFDC4B">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w:t>
            </w:r>
          </w:p>
          <w:p w14:paraId="5BF8CD24">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标</w:t>
            </w:r>
          </w:p>
          <w:p w14:paraId="5229F9CD">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50FE3524">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一级指标</w:t>
            </w:r>
          </w:p>
        </w:tc>
        <w:tc>
          <w:tcPr>
            <w:tcW w:w="1034" w:type="dxa"/>
            <w:tcBorders>
              <w:top w:val="single" w:color="auto" w:sz="4" w:space="0"/>
              <w:left w:val="single" w:color="auto" w:sz="4" w:space="0"/>
              <w:bottom w:val="single" w:color="auto" w:sz="4" w:space="0"/>
              <w:right w:val="single" w:color="auto" w:sz="4" w:space="0"/>
            </w:tcBorders>
            <w:noWrap w:val="0"/>
            <w:vAlign w:val="center"/>
          </w:tcPr>
          <w:p w14:paraId="0476B6C9">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二级指标</w:t>
            </w:r>
          </w:p>
        </w:tc>
        <w:tc>
          <w:tcPr>
            <w:tcW w:w="1270" w:type="dxa"/>
            <w:tcBorders>
              <w:top w:val="single" w:color="auto" w:sz="4" w:space="0"/>
              <w:left w:val="single" w:color="auto" w:sz="4" w:space="0"/>
              <w:bottom w:val="single" w:color="auto" w:sz="4" w:space="0"/>
              <w:right w:val="single" w:color="auto" w:sz="4" w:space="0"/>
            </w:tcBorders>
            <w:noWrap w:val="0"/>
            <w:vAlign w:val="center"/>
          </w:tcPr>
          <w:p w14:paraId="5CE7B476">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三级指标</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7541C652">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年度指标值</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01125E1A">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实际完成值</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183D71CD">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分值</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7DAF91ED">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得分</w:t>
            </w:r>
          </w:p>
        </w:tc>
        <w:tc>
          <w:tcPr>
            <w:tcW w:w="1446" w:type="dxa"/>
            <w:tcBorders>
              <w:top w:val="single" w:color="auto" w:sz="4" w:space="0"/>
              <w:left w:val="single" w:color="auto" w:sz="4" w:space="0"/>
              <w:bottom w:val="single" w:color="auto" w:sz="4" w:space="0"/>
              <w:right w:val="single" w:color="auto" w:sz="4" w:space="0"/>
            </w:tcBorders>
            <w:noWrap w:val="0"/>
            <w:vAlign w:val="center"/>
          </w:tcPr>
          <w:p w14:paraId="4873203A">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偏差原因分析及改进措施</w:t>
            </w:r>
          </w:p>
        </w:tc>
      </w:tr>
      <w:tr w14:paraId="0013855E">
        <w:tblPrEx>
          <w:tblCellMar>
            <w:top w:w="0" w:type="dxa"/>
            <w:left w:w="108" w:type="dxa"/>
            <w:bottom w:w="0" w:type="dxa"/>
            <w:right w:w="108" w:type="dxa"/>
          </w:tblCellMar>
        </w:tblPrEx>
        <w:trPr>
          <w:trHeight w:val="2399"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52207EBD">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32FD1F8C">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产出指标</w:t>
            </w:r>
          </w:p>
          <w:p w14:paraId="67EEBE00">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p>
          <w:p w14:paraId="2C75204F">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(50分)</w:t>
            </w:r>
          </w:p>
        </w:tc>
        <w:tc>
          <w:tcPr>
            <w:tcW w:w="1034" w:type="dxa"/>
            <w:vMerge w:val="restart"/>
            <w:tcBorders>
              <w:top w:val="single" w:color="auto" w:sz="4" w:space="0"/>
              <w:left w:val="single" w:color="auto" w:sz="4" w:space="0"/>
              <w:bottom w:val="single" w:color="auto" w:sz="4" w:space="0"/>
              <w:right w:val="single" w:color="auto" w:sz="4" w:space="0"/>
            </w:tcBorders>
            <w:noWrap w:val="0"/>
            <w:vAlign w:val="center"/>
          </w:tcPr>
          <w:p w14:paraId="2F6F1AC5">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数量指标</w:t>
            </w:r>
          </w:p>
        </w:tc>
        <w:tc>
          <w:tcPr>
            <w:tcW w:w="1270" w:type="dxa"/>
            <w:tcBorders>
              <w:top w:val="single" w:color="auto" w:sz="4" w:space="0"/>
              <w:left w:val="single" w:color="auto" w:sz="4" w:space="0"/>
              <w:bottom w:val="single" w:color="auto" w:sz="4" w:space="0"/>
              <w:right w:val="single" w:color="auto" w:sz="4" w:space="0"/>
            </w:tcBorders>
            <w:noWrap w:val="0"/>
            <w:vAlign w:val="center"/>
          </w:tcPr>
          <w:p w14:paraId="50AA0835">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lang w:eastAsia="zh-CN"/>
              </w:rPr>
              <w:t>加强执法力度，落实"721"工作法，依法及时行政执法</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45A025FC">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仿宋_GB2312" w:hAnsi="仿宋_GB2312" w:eastAsia="仿宋_GB2312" w:cs="仿宋_GB2312"/>
                <w:color w:val="000000"/>
                <w:sz w:val="20"/>
                <w:szCs w:val="20"/>
                <w:highlight w:val="none"/>
                <w:lang w:val="en-US"/>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lang w:val="en-US" w:eastAsia="zh-CN"/>
              </w:rPr>
              <w:t>365天</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14C2A58A">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365天</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060A331B">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4</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0E477AE6">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4</w:t>
            </w:r>
          </w:p>
        </w:tc>
        <w:tc>
          <w:tcPr>
            <w:tcW w:w="1446" w:type="dxa"/>
            <w:tcBorders>
              <w:top w:val="single" w:color="auto" w:sz="4" w:space="0"/>
              <w:left w:val="single" w:color="auto" w:sz="4" w:space="0"/>
              <w:bottom w:val="single" w:color="auto" w:sz="4" w:space="0"/>
              <w:right w:val="single" w:color="auto" w:sz="4" w:space="0"/>
            </w:tcBorders>
            <w:noWrap w:val="0"/>
            <w:vAlign w:val="center"/>
          </w:tcPr>
          <w:p w14:paraId="214D96B3">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62C3EA07">
        <w:tblPrEx>
          <w:tblCellMar>
            <w:top w:w="0" w:type="dxa"/>
            <w:left w:w="108" w:type="dxa"/>
            <w:bottom w:w="0" w:type="dxa"/>
            <w:right w:w="108" w:type="dxa"/>
          </w:tblCellMar>
        </w:tblPrEx>
        <w:trPr>
          <w:trHeight w:val="1153"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074CCDCE">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162D7552">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center"/>
          </w:tcPr>
          <w:p w14:paraId="6738FFFA">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p>
        </w:tc>
        <w:tc>
          <w:tcPr>
            <w:tcW w:w="1270" w:type="dxa"/>
            <w:tcBorders>
              <w:top w:val="single" w:color="auto" w:sz="4" w:space="0"/>
              <w:left w:val="single" w:color="auto" w:sz="4" w:space="0"/>
              <w:bottom w:val="single" w:color="auto" w:sz="4" w:space="0"/>
              <w:right w:val="single" w:color="auto" w:sz="4" w:space="0"/>
            </w:tcBorders>
            <w:noWrap w:val="0"/>
            <w:vAlign w:val="center"/>
          </w:tcPr>
          <w:p w14:paraId="57269406">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lang w:eastAsia="zh-CN"/>
              </w:rPr>
              <w:t>依法及时办理行政审批事项</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7EDB6A19">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仿宋_GB2312" w:hAnsi="仿宋_GB2312" w:eastAsia="仿宋_GB2312" w:cs="仿宋_GB2312"/>
                <w:color w:val="000000"/>
                <w:sz w:val="20"/>
                <w:szCs w:val="20"/>
                <w:highlight w:val="none"/>
                <w:lang w:val="en-US"/>
              </w:rPr>
            </w:pPr>
            <w:r>
              <w:rPr>
                <w:rFonts w:hint="eastAsia" w:ascii="仿宋_GB2312" w:hAnsi="仿宋_GB2312" w:eastAsia="仿宋_GB2312" w:cs="仿宋_GB2312"/>
                <w:color w:val="000000"/>
                <w:sz w:val="20"/>
                <w:szCs w:val="20"/>
                <w:highlight w:val="none"/>
                <w:lang w:eastAsia="zh-CN"/>
              </w:rPr>
              <w:t>及时</w:t>
            </w:r>
            <w:r>
              <w:rPr>
                <w:rFonts w:hint="eastAsia" w:ascii="仿宋_GB2312" w:hAnsi="仿宋_GB2312" w:eastAsia="仿宋_GB2312" w:cs="仿宋_GB2312"/>
                <w:color w:val="000000"/>
                <w:sz w:val="20"/>
                <w:szCs w:val="20"/>
                <w:lang w:val="en-US" w:eastAsia="zh-CN"/>
              </w:rPr>
              <w:t>依法依规办理审批事项</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3AE00092">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102件</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70AF580F">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4</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5A455077">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4</w:t>
            </w:r>
          </w:p>
        </w:tc>
        <w:tc>
          <w:tcPr>
            <w:tcW w:w="1446" w:type="dxa"/>
            <w:tcBorders>
              <w:top w:val="single" w:color="auto" w:sz="4" w:space="0"/>
              <w:left w:val="single" w:color="auto" w:sz="4" w:space="0"/>
              <w:bottom w:val="single" w:color="auto" w:sz="4" w:space="0"/>
              <w:right w:val="single" w:color="auto" w:sz="4" w:space="0"/>
            </w:tcBorders>
            <w:noWrap w:val="0"/>
            <w:vAlign w:val="center"/>
          </w:tcPr>
          <w:p w14:paraId="260444A4">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0E300D0A">
        <w:tblPrEx>
          <w:tblCellMar>
            <w:top w:w="0" w:type="dxa"/>
            <w:left w:w="108" w:type="dxa"/>
            <w:bottom w:w="0" w:type="dxa"/>
            <w:right w:w="108" w:type="dxa"/>
          </w:tblCellMar>
        </w:tblPrEx>
        <w:trPr>
          <w:trHeight w:val="2120"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1B535FD2">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51E86AC1">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center"/>
          </w:tcPr>
          <w:p w14:paraId="63C1BFAD">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p>
        </w:tc>
        <w:tc>
          <w:tcPr>
            <w:tcW w:w="1270" w:type="dxa"/>
            <w:tcBorders>
              <w:top w:val="single" w:color="auto" w:sz="4" w:space="0"/>
              <w:left w:val="single" w:color="auto" w:sz="4" w:space="0"/>
              <w:bottom w:val="single" w:color="auto" w:sz="4" w:space="0"/>
              <w:right w:val="single" w:color="auto" w:sz="4" w:space="0"/>
            </w:tcBorders>
            <w:noWrap w:val="0"/>
            <w:vAlign w:val="center"/>
          </w:tcPr>
          <w:p w14:paraId="56F53B6C">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rPr>
            </w:pPr>
            <w:r>
              <w:rPr>
                <w:rFonts w:hint="eastAsia" w:ascii="仿宋_GB2312" w:hAnsi="仿宋_GB2312" w:eastAsia="仿宋_GB2312" w:cs="仿宋_GB2312"/>
                <w:bCs/>
                <w:sz w:val="20"/>
                <w:szCs w:val="20"/>
                <w:lang w:val="en-US" w:eastAsia="zh-CN"/>
              </w:rPr>
              <w:t>对各类养护单位开展日常考核、错时考核、专项考核和定期考核</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4E78FE2A">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仿宋_GB2312" w:hAnsi="仿宋_GB2312" w:eastAsia="仿宋_GB2312" w:cs="仿宋_GB2312"/>
                <w:color w:val="000000"/>
                <w:sz w:val="20"/>
                <w:szCs w:val="20"/>
                <w:lang w:val="en-US"/>
              </w:rPr>
            </w:pPr>
            <w:r>
              <w:rPr>
                <w:rFonts w:hint="eastAsia" w:ascii="仿宋_GB2312" w:hAnsi="仿宋_GB2312" w:eastAsia="仿宋_GB2312" w:cs="仿宋_GB2312"/>
                <w:color w:val="000000"/>
                <w:sz w:val="20"/>
                <w:szCs w:val="20"/>
                <w:lang w:val="en-US" w:eastAsia="zh-CN"/>
              </w:rPr>
              <w:t>102次</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20845FD2">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lang w:val="en-US" w:eastAsia="zh-CN"/>
              </w:rPr>
              <w:t>112次</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2D7D5BBC">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4</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7CF80BE8">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4</w:t>
            </w:r>
          </w:p>
        </w:tc>
        <w:tc>
          <w:tcPr>
            <w:tcW w:w="1446" w:type="dxa"/>
            <w:tcBorders>
              <w:top w:val="single" w:color="auto" w:sz="4" w:space="0"/>
              <w:left w:val="single" w:color="auto" w:sz="4" w:space="0"/>
              <w:bottom w:val="single" w:color="auto" w:sz="4" w:space="0"/>
              <w:right w:val="single" w:color="auto" w:sz="4" w:space="0"/>
            </w:tcBorders>
            <w:noWrap w:val="0"/>
            <w:vAlign w:val="center"/>
          </w:tcPr>
          <w:p w14:paraId="4EB1E241">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r>
      <w:tr w14:paraId="702C17E6">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629587BD">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63E86A02">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center"/>
          </w:tcPr>
          <w:p w14:paraId="33E0DD9E">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p>
        </w:tc>
        <w:tc>
          <w:tcPr>
            <w:tcW w:w="1270" w:type="dxa"/>
            <w:tcBorders>
              <w:top w:val="single" w:color="auto" w:sz="4" w:space="0"/>
              <w:left w:val="single" w:color="auto" w:sz="4" w:space="0"/>
              <w:bottom w:val="single" w:color="auto" w:sz="4" w:space="0"/>
              <w:right w:val="single" w:color="auto" w:sz="4" w:space="0"/>
            </w:tcBorders>
            <w:noWrap w:val="0"/>
            <w:vAlign w:val="center"/>
          </w:tcPr>
          <w:p w14:paraId="0C0902F5">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rPr>
              <w:t>及时受理信访投诉</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56650B8C">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rPr>
              <w:t>及时受理信访投诉</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1598A025">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kern w:val="2"/>
                <w:sz w:val="20"/>
                <w:szCs w:val="20"/>
                <w:lang w:val="en-US" w:eastAsia="zh-CN" w:bidi="ar-SA"/>
              </w:rPr>
              <w:t>办理智慧平台交办案件12716件，市长信箱案件19件，12345案件108件。</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5D9FCD57">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4</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109DEDBE">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4</w:t>
            </w:r>
          </w:p>
        </w:tc>
        <w:tc>
          <w:tcPr>
            <w:tcW w:w="1446" w:type="dxa"/>
            <w:tcBorders>
              <w:top w:val="single" w:color="auto" w:sz="4" w:space="0"/>
              <w:left w:val="single" w:color="auto" w:sz="4" w:space="0"/>
              <w:bottom w:val="single" w:color="auto" w:sz="4" w:space="0"/>
              <w:right w:val="single" w:color="auto" w:sz="4" w:space="0"/>
            </w:tcBorders>
            <w:noWrap w:val="0"/>
            <w:vAlign w:val="center"/>
          </w:tcPr>
          <w:p w14:paraId="56EEF0BF">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41DDBA59">
        <w:tblPrEx>
          <w:tblCellMar>
            <w:top w:w="0" w:type="dxa"/>
            <w:left w:w="108" w:type="dxa"/>
            <w:bottom w:w="0" w:type="dxa"/>
            <w:right w:w="108" w:type="dxa"/>
          </w:tblCellMar>
        </w:tblPrEx>
        <w:trPr>
          <w:trHeight w:val="2150"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7765EA60">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3D7C26B2">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34" w:type="dxa"/>
            <w:vMerge w:val="restart"/>
            <w:tcBorders>
              <w:top w:val="single" w:color="auto" w:sz="4" w:space="0"/>
              <w:left w:val="single" w:color="auto" w:sz="4" w:space="0"/>
              <w:bottom w:val="single" w:color="auto" w:sz="4" w:space="0"/>
              <w:right w:val="single" w:color="auto" w:sz="4" w:space="0"/>
            </w:tcBorders>
            <w:noWrap w:val="0"/>
            <w:vAlign w:val="center"/>
          </w:tcPr>
          <w:p w14:paraId="061AA274">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质量指标</w:t>
            </w:r>
          </w:p>
        </w:tc>
        <w:tc>
          <w:tcPr>
            <w:tcW w:w="1270" w:type="dxa"/>
            <w:tcBorders>
              <w:top w:val="single" w:color="auto" w:sz="4" w:space="0"/>
              <w:left w:val="single" w:color="auto" w:sz="4" w:space="0"/>
              <w:bottom w:val="single" w:color="auto" w:sz="4" w:space="0"/>
              <w:right w:val="single" w:color="auto" w:sz="4" w:space="0"/>
            </w:tcBorders>
            <w:noWrap w:val="0"/>
            <w:vAlign w:val="center"/>
          </w:tcPr>
          <w:p w14:paraId="2B0EBAEA">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lang w:val="en-US" w:eastAsia="zh-CN"/>
              </w:rPr>
              <w:t>达到国家园林城市相关标准</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02C77EF4">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kern w:val="0"/>
                <w:sz w:val="20"/>
                <w:szCs w:val="20"/>
                <w:lang w:val="en-US" w:eastAsia="zh-CN" w:bidi="ar-SA"/>
              </w:rPr>
            </w:pPr>
            <w:r>
              <w:rPr>
                <w:rFonts w:hint="default" w:ascii="仿宋_GB2312" w:hAnsi="仿宋_GB2312" w:eastAsia="仿宋_GB2312" w:cs="仿宋_GB2312"/>
                <w:color w:val="000000"/>
                <w:sz w:val="20"/>
                <w:szCs w:val="20"/>
                <w:lang w:val="en-US" w:eastAsia="zh-CN"/>
              </w:rPr>
              <w:t>达到</w:t>
            </w:r>
            <w:r>
              <w:rPr>
                <w:rFonts w:hint="eastAsia" w:ascii="仿宋_GB2312" w:hAnsi="仿宋_GB2312" w:eastAsia="仿宋_GB2312" w:cs="仿宋_GB2312"/>
                <w:color w:val="000000"/>
                <w:sz w:val="20"/>
                <w:szCs w:val="20"/>
                <w:lang w:val="en-US" w:eastAsia="zh-CN"/>
              </w:rPr>
              <w:t>国家园林城市</w:t>
            </w:r>
            <w:r>
              <w:rPr>
                <w:rFonts w:hint="default" w:ascii="仿宋_GB2312" w:hAnsi="仿宋_GB2312" w:eastAsia="仿宋_GB2312" w:cs="仿宋_GB2312"/>
                <w:color w:val="000000"/>
                <w:sz w:val="20"/>
                <w:szCs w:val="20"/>
                <w:lang w:val="en-US" w:eastAsia="zh-CN"/>
              </w:rPr>
              <w:t>相关标准</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73D99D12">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lang w:val="en-US" w:eastAsia="zh-CN"/>
              </w:rPr>
              <w:t>符合相关标准</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6B660E41">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4</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7E7E6B3B">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4</w:t>
            </w:r>
          </w:p>
        </w:tc>
        <w:tc>
          <w:tcPr>
            <w:tcW w:w="1446" w:type="dxa"/>
            <w:tcBorders>
              <w:top w:val="single" w:color="auto" w:sz="4" w:space="0"/>
              <w:left w:val="single" w:color="auto" w:sz="4" w:space="0"/>
              <w:bottom w:val="single" w:color="auto" w:sz="4" w:space="0"/>
              <w:right w:val="single" w:color="auto" w:sz="4" w:space="0"/>
            </w:tcBorders>
            <w:noWrap w:val="0"/>
            <w:vAlign w:val="center"/>
          </w:tcPr>
          <w:p w14:paraId="53101F75">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751533C9">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1FDCA4DB">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5243A65A">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center"/>
          </w:tcPr>
          <w:p w14:paraId="281B6B78">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p>
        </w:tc>
        <w:tc>
          <w:tcPr>
            <w:tcW w:w="1270" w:type="dxa"/>
            <w:tcBorders>
              <w:top w:val="single" w:color="auto" w:sz="4" w:space="0"/>
              <w:left w:val="single" w:color="auto" w:sz="4" w:space="0"/>
              <w:bottom w:val="single" w:color="auto" w:sz="4" w:space="0"/>
              <w:right w:val="single" w:color="auto" w:sz="4" w:space="0"/>
            </w:tcBorders>
            <w:noWrap w:val="0"/>
            <w:vAlign w:val="center"/>
          </w:tcPr>
          <w:p w14:paraId="58A2FA9C">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lang w:val="en-US" w:eastAsia="zh-CN"/>
              </w:rPr>
              <w:t>达到建设全国文明城市标准</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524FA8D2">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lang w:val="en-US" w:eastAsia="zh-CN"/>
              </w:rPr>
              <w:t>达到建设全国文明城市标准</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44F24B52">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lang w:val="en-US" w:eastAsia="zh-CN"/>
              </w:rPr>
              <w:t>为建设全国文明城市奠定基础</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574E95F2">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4</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210BFDD3">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3</w:t>
            </w:r>
          </w:p>
        </w:tc>
        <w:tc>
          <w:tcPr>
            <w:tcW w:w="1446" w:type="dxa"/>
            <w:tcBorders>
              <w:top w:val="single" w:color="auto" w:sz="4" w:space="0"/>
              <w:left w:val="single" w:color="auto" w:sz="4" w:space="0"/>
              <w:bottom w:val="single" w:color="auto" w:sz="4" w:space="0"/>
              <w:right w:val="single" w:color="auto" w:sz="4" w:space="0"/>
            </w:tcBorders>
            <w:noWrap w:val="0"/>
            <w:vAlign w:val="center"/>
          </w:tcPr>
          <w:p w14:paraId="3EF943C9">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部分管理还有待加强，下一步加大管理力度，提升城市整体形象。</w:t>
            </w:r>
          </w:p>
        </w:tc>
      </w:tr>
      <w:tr w14:paraId="25D1D46D">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5C4F3729">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68E06B78">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center"/>
          </w:tcPr>
          <w:p w14:paraId="5410D9A5">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p>
        </w:tc>
        <w:tc>
          <w:tcPr>
            <w:tcW w:w="1270" w:type="dxa"/>
            <w:tcBorders>
              <w:top w:val="single" w:color="auto" w:sz="4" w:space="0"/>
              <w:left w:val="single" w:color="auto" w:sz="4" w:space="0"/>
              <w:bottom w:val="single" w:color="auto" w:sz="4" w:space="0"/>
              <w:right w:val="single" w:color="auto" w:sz="4" w:space="0"/>
            </w:tcBorders>
            <w:noWrap w:val="0"/>
            <w:vAlign w:val="center"/>
          </w:tcPr>
          <w:p w14:paraId="0D9F2928">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rPr>
              <w:t>达到国家卫生城市</w:t>
            </w:r>
            <w:r>
              <w:rPr>
                <w:rFonts w:hint="eastAsia" w:ascii="仿宋_GB2312" w:hAnsi="仿宋_GB2312" w:eastAsia="仿宋_GB2312" w:cs="仿宋_GB2312"/>
                <w:color w:val="000000"/>
                <w:sz w:val="20"/>
                <w:szCs w:val="20"/>
                <w:lang w:eastAsia="zh-CN"/>
              </w:rPr>
              <w:t>标准</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55AD4FB2">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rPr>
              <w:t>达到国家卫生城市</w:t>
            </w:r>
            <w:r>
              <w:rPr>
                <w:rFonts w:hint="eastAsia" w:ascii="仿宋_GB2312" w:hAnsi="仿宋_GB2312" w:eastAsia="仿宋_GB2312" w:cs="仿宋_GB2312"/>
                <w:color w:val="000000"/>
                <w:sz w:val="20"/>
                <w:szCs w:val="20"/>
                <w:lang w:eastAsia="zh-CN"/>
              </w:rPr>
              <w:t>考核标准，</w:t>
            </w:r>
            <w:r>
              <w:rPr>
                <w:rFonts w:hint="eastAsia" w:ascii="仿宋_GB2312" w:hAnsi="仿宋_GB2312" w:eastAsia="仿宋_GB2312" w:cs="仿宋_GB2312"/>
                <w:color w:val="000000"/>
                <w:sz w:val="20"/>
                <w:szCs w:val="20"/>
              </w:rPr>
              <w:t>确保卫生整洁</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643850AF">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lang w:val="en-US" w:eastAsia="zh-CN"/>
              </w:rPr>
              <w:t>符合相关标准</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4FE1B488">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4</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1F3DC0F8">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4</w:t>
            </w:r>
          </w:p>
        </w:tc>
        <w:tc>
          <w:tcPr>
            <w:tcW w:w="1446" w:type="dxa"/>
            <w:tcBorders>
              <w:top w:val="single" w:color="auto" w:sz="4" w:space="0"/>
              <w:left w:val="single" w:color="auto" w:sz="4" w:space="0"/>
              <w:bottom w:val="single" w:color="auto" w:sz="4" w:space="0"/>
              <w:right w:val="single" w:color="auto" w:sz="4" w:space="0"/>
            </w:tcBorders>
            <w:noWrap w:val="0"/>
            <w:vAlign w:val="center"/>
          </w:tcPr>
          <w:p w14:paraId="24426933">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仿宋_GB2312" w:hAnsi="仿宋_GB2312" w:eastAsia="仿宋_GB2312" w:cs="仿宋_GB2312"/>
                <w:color w:val="000000"/>
                <w:sz w:val="20"/>
                <w:szCs w:val="20"/>
                <w:highlight w:val="none"/>
                <w:lang w:val="en-US" w:eastAsia="zh-CN"/>
              </w:rPr>
            </w:pPr>
          </w:p>
        </w:tc>
      </w:tr>
      <w:tr w14:paraId="5DC42597">
        <w:tblPrEx>
          <w:tblCellMar>
            <w:top w:w="0" w:type="dxa"/>
            <w:left w:w="108" w:type="dxa"/>
            <w:bottom w:w="0" w:type="dxa"/>
            <w:right w:w="108" w:type="dxa"/>
          </w:tblCellMar>
        </w:tblPrEx>
        <w:trPr>
          <w:trHeight w:val="1115"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70C37CF6">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1B9BA4D7">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34" w:type="dxa"/>
            <w:vMerge w:val="restart"/>
            <w:tcBorders>
              <w:top w:val="single" w:color="auto" w:sz="4" w:space="0"/>
              <w:left w:val="single" w:color="auto" w:sz="4" w:space="0"/>
              <w:bottom w:val="single" w:color="auto" w:sz="4" w:space="0"/>
              <w:right w:val="single" w:color="auto" w:sz="4" w:space="0"/>
            </w:tcBorders>
            <w:noWrap w:val="0"/>
            <w:vAlign w:val="center"/>
          </w:tcPr>
          <w:p w14:paraId="255CA802">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时效指标</w:t>
            </w:r>
          </w:p>
        </w:tc>
        <w:tc>
          <w:tcPr>
            <w:tcW w:w="1270" w:type="dxa"/>
            <w:tcBorders>
              <w:top w:val="single" w:color="auto" w:sz="4" w:space="0"/>
              <w:left w:val="single" w:color="auto" w:sz="4" w:space="0"/>
              <w:bottom w:val="single" w:color="auto" w:sz="4" w:space="0"/>
              <w:right w:val="single" w:color="auto" w:sz="4" w:space="0"/>
            </w:tcBorders>
            <w:noWrap w:val="0"/>
            <w:vAlign w:val="center"/>
          </w:tcPr>
          <w:p w14:paraId="047810A5">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lang w:val="en-US" w:eastAsia="zh-CN"/>
              </w:rPr>
              <w:t>工作完成情况</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7792B005">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rPr>
              <w:t>各项工作按年初计划如期完成</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5B1AE47C">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lang w:val="en-US" w:eastAsia="zh-CN"/>
              </w:rPr>
              <w:t>均如期完成</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3EE7058F">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4</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4BB2C404">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4</w:t>
            </w:r>
          </w:p>
        </w:tc>
        <w:tc>
          <w:tcPr>
            <w:tcW w:w="1446" w:type="dxa"/>
            <w:tcBorders>
              <w:top w:val="single" w:color="auto" w:sz="4" w:space="0"/>
              <w:left w:val="single" w:color="auto" w:sz="4" w:space="0"/>
              <w:bottom w:val="single" w:color="auto" w:sz="4" w:space="0"/>
              <w:right w:val="single" w:color="auto" w:sz="4" w:space="0"/>
            </w:tcBorders>
            <w:noWrap w:val="0"/>
            <w:vAlign w:val="center"/>
          </w:tcPr>
          <w:p w14:paraId="064422F9">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1C874D80">
        <w:tblPrEx>
          <w:tblCellMar>
            <w:top w:w="0" w:type="dxa"/>
            <w:left w:w="108" w:type="dxa"/>
            <w:bottom w:w="0" w:type="dxa"/>
            <w:right w:w="108" w:type="dxa"/>
          </w:tblCellMar>
        </w:tblPrEx>
        <w:trPr>
          <w:trHeight w:val="936"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6B8FF375">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634B2869">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center"/>
          </w:tcPr>
          <w:p w14:paraId="63956D4A">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p>
        </w:tc>
        <w:tc>
          <w:tcPr>
            <w:tcW w:w="1270" w:type="dxa"/>
            <w:tcBorders>
              <w:top w:val="single" w:color="auto" w:sz="4" w:space="0"/>
              <w:left w:val="single" w:color="auto" w:sz="4" w:space="0"/>
              <w:bottom w:val="single" w:color="auto" w:sz="4" w:space="0"/>
              <w:right w:val="single" w:color="auto" w:sz="4" w:space="0"/>
            </w:tcBorders>
            <w:noWrap w:val="0"/>
            <w:vAlign w:val="center"/>
          </w:tcPr>
          <w:p w14:paraId="32D0F10D">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信访投诉处置时限</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604BA792">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规定时间内完成</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7BDB034A">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均在规定时间内办结</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393C0F46">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4</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3AF08C3D">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4</w:t>
            </w:r>
          </w:p>
        </w:tc>
        <w:tc>
          <w:tcPr>
            <w:tcW w:w="1446" w:type="dxa"/>
            <w:tcBorders>
              <w:top w:val="single" w:color="auto" w:sz="4" w:space="0"/>
              <w:left w:val="single" w:color="auto" w:sz="4" w:space="0"/>
              <w:bottom w:val="single" w:color="auto" w:sz="4" w:space="0"/>
              <w:right w:val="single" w:color="auto" w:sz="4" w:space="0"/>
            </w:tcBorders>
            <w:noWrap w:val="0"/>
            <w:vAlign w:val="center"/>
          </w:tcPr>
          <w:p w14:paraId="5EB810FF">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47481C2C">
        <w:tblPrEx>
          <w:tblCellMar>
            <w:top w:w="0" w:type="dxa"/>
            <w:left w:w="108" w:type="dxa"/>
            <w:bottom w:w="0" w:type="dxa"/>
            <w:right w:w="108" w:type="dxa"/>
          </w:tblCellMar>
        </w:tblPrEx>
        <w:trPr>
          <w:trHeight w:val="1228"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3ACF8BBC">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28711993">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center"/>
          </w:tcPr>
          <w:p w14:paraId="3DD562A2">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p>
        </w:tc>
        <w:tc>
          <w:tcPr>
            <w:tcW w:w="1270" w:type="dxa"/>
            <w:tcBorders>
              <w:top w:val="single" w:color="auto" w:sz="4" w:space="0"/>
              <w:left w:val="single" w:color="auto" w:sz="4" w:space="0"/>
              <w:bottom w:val="single" w:color="auto" w:sz="4" w:space="0"/>
              <w:right w:val="single" w:color="auto" w:sz="4" w:space="0"/>
            </w:tcBorders>
            <w:noWrap w:val="0"/>
            <w:vAlign w:val="center"/>
          </w:tcPr>
          <w:p w14:paraId="45B6F035">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城管信息平台案件处置时限</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3E326848">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及时有效处置</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478EF66D">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均及时有效处置</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7E670D2C">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4</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727D184C">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4</w:t>
            </w:r>
          </w:p>
        </w:tc>
        <w:tc>
          <w:tcPr>
            <w:tcW w:w="1446" w:type="dxa"/>
            <w:tcBorders>
              <w:top w:val="single" w:color="auto" w:sz="4" w:space="0"/>
              <w:left w:val="single" w:color="auto" w:sz="4" w:space="0"/>
              <w:bottom w:val="single" w:color="auto" w:sz="4" w:space="0"/>
              <w:right w:val="single" w:color="auto" w:sz="4" w:space="0"/>
            </w:tcBorders>
            <w:noWrap w:val="0"/>
            <w:vAlign w:val="center"/>
          </w:tcPr>
          <w:p w14:paraId="36C94A3F">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58B58156">
        <w:tblPrEx>
          <w:tblCellMar>
            <w:top w:w="0" w:type="dxa"/>
            <w:left w:w="108" w:type="dxa"/>
            <w:bottom w:w="0" w:type="dxa"/>
            <w:right w:w="108" w:type="dxa"/>
          </w:tblCellMar>
        </w:tblPrEx>
        <w:trPr>
          <w:trHeight w:val="1265"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7566DF26">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04CDB62A">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34" w:type="dxa"/>
            <w:vMerge w:val="restart"/>
            <w:tcBorders>
              <w:top w:val="single" w:color="auto" w:sz="4" w:space="0"/>
              <w:left w:val="single" w:color="auto" w:sz="4" w:space="0"/>
              <w:bottom w:val="single" w:color="auto" w:sz="4" w:space="0"/>
              <w:right w:val="single" w:color="auto" w:sz="4" w:space="0"/>
            </w:tcBorders>
            <w:noWrap w:val="0"/>
            <w:vAlign w:val="center"/>
          </w:tcPr>
          <w:p w14:paraId="79BF2418">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成本指标</w:t>
            </w:r>
          </w:p>
        </w:tc>
        <w:tc>
          <w:tcPr>
            <w:tcW w:w="1270" w:type="dxa"/>
            <w:tcBorders>
              <w:top w:val="single" w:color="auto" w:sz="4" w:space="0"/>
              <w:left w:val="single" w:color="auto" w:sz="4" w:space="0"/>
              <w:bottom w:val="single" w:color="auto" w:sz="4" w:space="0"/>
              <w:right w:val="single" w:color="auto" w:sz="4" w:space="0"/>
            </w:tcBorders>
            <w:noWrap w:val="0"/>
            <w:vAlign w:val="center"/>
          </w:tcPr>
          <w:p w14:paraId="06DDDCC2">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年支出金额不超过预算金额</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5EDEE358">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lang w:val="en-US" w:eastAsia="zh-CN"/>
              </w:rPr>
              <w:t>控制在年度预算526.59万元内</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6B55BB14">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kern w:val="0"/>
                <w:sz w:val="20"/>
                <w:szCs w:val="20"/>
                <w:lang w:val="en-US" w:eastAsia="zh-CN" w:bidi="ar-SA"/>
              </w:rPr>
              <w:t>年度决算为519.08万元</w:t>
            </w:r>
            <w:bookmarkStart w:id="1" w:name="_GoBack"/>
            <w:bookmarkEnd w:id="1"/>
          </w:p>
        </w:tc>
        <w:tc>
          <w:tcPr>
            <w:tcW w:w="716" w:type="dxa"/>
            <w:tcBorders>
              <w:top w:val="single" w:color="auto" w:sz="4" w:space="0"/>
              <w:left w:val="single" w:color="auto" w:sz="4" w:space="0"/>
              <w:bottom w:val="single" w:color="auto" w:sz="4" w:space="0"/>
              <w:right w:val="single" w:color="auto" w:sz="4" w:space="0"/>
            </w:tcBorders>
            <w:noWrap w:val="0"/>
            <w:vAlign w:val="center"/>
          </w:tcPr>
          <w:p w14:paraId="4AAE225B">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6</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2BD245CF">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6</w:t>
            </w:r>
          </w:p>
        </w:tc>
        <w:tc>
          <w:tcPr>
            <w:tcW w:w="1446" w:type="dxa"/>
            <w:tcBorders>
              <w:top w:val="single" w:color="auto" w:sz="4" w:space="0"/>
              <w:left w:val="single" w:color="auto" w:sz="4" w:space="0"/>
              <w:bottom w:val="single" w:color="auto" w:sz="4" w:space="0"/>
              <w:right w:val="single" w:color="auto" w:sz="4" w:space="0"/>
            </w:tcBorders>
            <w:noWrap w:val="0"/>
            <w:vAlign w:val="center"/>
          </w:tcPr>
          <w:p w14:paraId="38D1D702">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3EAB7F39">
        <w:tblPrEx>
          <w:tblCellMar>
            <w:top w:w="0" w:type="dxa"/>
            <w:left w:w="108" w:type="dxa"/>
            <w:bottom w:w="0" w:type="dxa"/>
            <w:right w:w="108" w:type="dxa"/>
          </w:tblCellMar>
        </w:tblPrEx>
        <w:trPr>
          <w:trHeight w:val="1330"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4B54414A">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6B47E53B">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center"/>
          </w:tcPr>
          <w:p w14:paraId="3562F6FE">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270" w:type="dxa"/>
            <w:tcBorders>
              <w:top w:val="single" w:color="auto" w:sz="4" w:space="0"/>
              <w:left w:val="single" w:color="auto" w:sz="4" w:space="0"/>
              <w:bottom w:val="single" w:color="auto" w:sz="4" w:space="0"/>
              <w:right w:val="single" w:color="auto" w:sz="4" w:space="0"/>
            </w:tcBorders>
            <w:noWrap w:val="0"/>
            <w:vAlign w:val="center"/>
          </w:tcPr>
          <w:p w14:paraId="2B07FD59">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对社会环境产生负面影响</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6CA69089">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无负面影响</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64344E98">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无负面影响</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53264FB8">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61BF907C">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w:t>
            </w:r>
          </w:p>
        </w:tc>
        <w:tc>
          <w:tcPr>
            <w:tcW w:w="1446" w:type="dxa"/>
            <w:tcBorders>
              <w:top w:val="single" w:color="auto" w:sz="4" w:space="0"/>
              <w:left w:val="single" w:color="auto" w:sz="4" w:space="0"/>
              <w:bottom w:val="single" w:color="auto" w:sz="4" w:space="0"/>
              <w:right w:val="single" w:color="auto" w:sz="4" w:space="0"/>
            </w:tcBorders>
            <w:noWrap w:val="0"/>
            <w:vAlign w:val="center"/>
          </w:tcPr>
          <w:p w14:paraId="6BD3B44E">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12E30CE5">
        <w:tblPrEx>
          <w:tblCellMar>
            <w:top w:w="0" w:type="dxa"/>
            <w:left w:w="108" w:type="dxa"/>
            <w:bottom w:w="0" w:type="dxa"/>
            <w:right w:w="108" w:type="dxa"/>
          </w:tblCellMar>
        </w:tblPrEx>
        <w:trPr>
          <w:trHeight w:val="1171"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490EA756">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5BBC9252">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center"/>
          </w:tcPr>
          <w:p w14:paraId="264BC509">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270" w:type="dxa"/>
            <w:tcBorders>
              <w:top w:val="single" w:color="auto" w:sz="4" w:space="0"/>
              <w:left w:val="single" w:color="auto" w:sz="4" w:space="0"/>
              <w:bottom w:val="single" w:color="auto" w:sz="4" w:space="0"/>
              <w:right w:val="single" w:color="auto" w:sz="4" w:space="0"/>
            </w:tcBorders>
            <w:noWrap w:val="0"/>
            <w:vAlign w:val="center"/>
          </w:tcPr>
          <w:p w14:paraId="2214962A">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对生态环境产生负面影响</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3B8EFACA">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无负面影响</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082DB57E">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无负面影响</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33B62E80">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50DAE907">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w:t>
            </w:r>
          </w:p>
        </w:tc>
        <w:tc>
          <w:tcPr>
            <w:tcW w:w="1446" w:type="dxa"/>
            <w:tcBorders>
              <w:top w:val="single" w:color="auto" w:sz="4" w:space="0"/>
              <w:left w:val="single" w:color="auto" w:sz="4" w:space="0"/>
              <w:bottom w:val="single" w:color="auto" w:sz="4" w:space="0"/>
              <w:right w:val="single" w:color="auto" w:sz="4" w:space="0"/>
            </w:tcBorders>
            <w:noWrap w:val="0"/>
            <w:vAlign w:val="center"/>
          </w:tcPr>
          <w:p w14:paraId="3FE642F6">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71DFBED3">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1F2D9F42">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4985903C">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效益指标</w:t>
            </w:r>
          </w:p>
          <w:p w14:paraId="25CD8443">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p w14:paraId="0A270B78">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（30分）</w:t>
            </w:r>
          </w:p>
          <w:p w14:paraId="2F63FD6D">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034" w:type="dxa"/>
            <w:vMerge w:val="restart"/>
            <w:tcBorders>
              <w:top w:val="single" w:color="auto" w:sz="4" w:space="0"/>
              <w:left w:val="single" w:color="auto" w:sz="4" w:space="0"/>
              <w:bottom w:val="single" w:color="auto" w:sz="4" w:space="0"/>
              <w:right w:val="single" w:color="auto" w:sz="4" w:space="0"/>
            </w:tcBorders>
            <w:noWrap w:val="0"/>
            <w:vAlign w:val="center"/>
          </w:tcPr>
          <w:p w14:paraId="4FCE0FF5">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经济效</w:t>
            </w:r>
          </w:p>
          <w:p w14:paraId="1161D36C">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270" w:type="dxa"/>
            <w:tcBorders>
              <w:top w:val="single" w:color="auto" w:sz="4" w:space="0"/>
              <w:left w:val="single" w:color="auto" w:sz="4" w:space="0"/>
              <w:bottom w:val="single" w:color="auto" w:sz="4" w:space="0"/>
              <w:right w:val="single" w:color="auto" w:sz="4" w:space="0"/>
            </w:tcBorders>
            <w:noWrap w:val="0"/>
            <w:vAlign w:val="center"/>
          </w:tcPr>
          <w:p w14:paraId="7A71EBB7">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城市维护成本管控</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682E8A95">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有效管控，降低维护成本。</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1F3EB8DA">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得到有效管控</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23DF47E0">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3</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539F918F">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3</w:t>
            </w:r>
          </w:p>
        </w:tc>
        <w:tc>
          <w:tcPr>
            <w:tcW w:w="1446" w:type="dxa"/>
            <w:tcBorders>
              <w:top w:val="single" w:color="auto" w:sz="4" w:space="0"/>
              <w:left w:val="single" w:color="auto" w:sz="4" w:space="0"/>
              <w:bottom w:val="single" w:color="auto" w:sz="4" w:space="0"/>
              <w:right w:val="single" w:color="auto" w:sz="4" w:space="0"/>
            </w:tcBorders>
            <w:noWrap w:val="0"/>
            <w:vAlign w:val="center"/>
          </w:tcPr>
          <w:p w14:paraId="0F3E2E32">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4E7B2A7C">
        <w:tblPrEx>
          <w:tblCellMar>
            <w:top w:w="0" w:type="dxa"/>
            <w:left w:w="108" w:type="dxa"/>
            <w:bottom w:w="0" w:type="dxa"/>
            <w:right w:w="108" w:type="dxa"/>
          </w:tblCellMar>
        </w:tblPrEx>
        <w:trPr>
          <w:trHeight w:val="1003"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262751DA">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1D3F936F">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center"/>
          </w:tcPr>
          <w:p w14:paraId="57837F75">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p>
        </w:tc>
        <w:tc>
          <w:tcPr>
            <w:tcW w:w="1270" w:type="dxa"/>
            <w:tcBorders>
              <w:top w:val="single" w:color="auto" w:sz="4" w:space="0"/>
              <w:left w:val="single" w:color="auto" w:sz="4" w:space="0"/>
              <w:bottom w:val="single" w:color="auto" w:sz="4" w:space="0"/>
              <w:right w:val="single" w:color="auto" w:sz="4" w:space="0"/>
            </w:tcBorders>
            <w:noWrap w:val="0"/>
            <w:vAlign w:val="center"/>
          </w:tcPr>
          <w:p w14:paraId="21C3DEDA">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产生一定的间接经济效益</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0381C363">
            <w:pPr>
              <w:keepNext w:val="0"/>
              <w:keepLines w:val="0"/>
              <w:pageBreakBefore w:val="0"/>
              <w:widowControl/>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eastAsia" w:ascii="仿宋_GB2312" w:hAnsi="仿宋_GB2312" w:eastAsia="仿宋_GB2312" w:cs="仿宋_GB2312"/>
                <w:color w:val="000000"/>
                <w:kern w:val="0"/>
                <w:sz w:val="20"/>
                <w:szCs w:val="20"/>
                <w:lang w:val="en-US" w:eastAsia="zh-CN" w:bidi="ar-SA"/>
              </w:rPr>
            </w:pPr>
            <w:r>
              <w:rPr>
                <w:rFonts w:hint="eastAsia" w:eastAsia="仿宋_GB2312"/>
                <w:kern w:val="0"/>
                <w:sz w:val="20"/>
                <w:szCs w:val="20"/>
              </w:rPr>
              <w:t>优化港区营商环境</w:t>
            </w:r>
            <w:r>
              <w:rPr>
                <w:rFonts w:hint="eastAsia" w:eastAsia="仿宋_GB2312"/>
                <w:kern w:val="0"/>
                <w:sz w:val="20"/>
                <w:szCs w:val="20"/>
                <w:lang w:eastAsia="zh-CN"/>
              </w:rPr>
              <w:t>，助力经济发展。</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26E20EA6">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kern w:val="0"/>
                <w:sz w:val="20"/>
                <w:szCs w:val="20"/>
                <w:lang w:val="en-US" w:eastAsia="zh-CN" w:bidi="ar-SA"/>
              </w:rPr>
            </w:pPr>
            <w:r>
              <w:rPr>
                <w:rFonts w:hint="eastAsia" w:eastAsia="仿宋_GB2312"/>
                <w:kern w:val="0"/>
                <w:sz w:val="20"/>
                <w:szCs w:val="20"/>
              </w:rPr>
              <w:t>优化了港区营商环境</w:t>
            </w:r>
            <w:r>
              <w:rPr>
                <w:rFonts w:hint="eastAsia" w:eastAsia="仿宋_GB2312"/>
                <w:kern w:val="0"/>
                <w:sz w:val="20"/>
                <w:szCs w:val="20"/>
                <w:lang w:eastAsia="zh-CN"/>
              </w:rPr>
              <w:t>，有效</w:t>
            </w:r>
            <w:r>
              <w:rPr>
                <w:rFonts w:hint="eastAsia" w:eastAsia="仿宋_GB2312"/>
                <w:kern w:val="0"/>
                <w:sz w:val="20"/>
                <w:szCs w:val="20"/>
                <w:lang w:val="en-US" w:eastAsia="zh-CN"/>
              </w:rPr>
              <w:t>助力经济发展。</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052093B8">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3</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4B765F41">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3</w:t>
            </w:r>
          </w:p>
        </w:tc>
        <w:tc>
          <w:tcPr>
            <w:tcW w:w="1446" w:type="dxa"/>
            <w:tcBorders>
              <w:top w:val="single" w:color="auto" w:sz="4" w:space="0"/>
              <w:left w:val="single" w:color="auto" w:sz="4" w:space="0"/>
              <w:bottom w:val="single" w:color="auto" w:sz="4" w:space="0"/>
              <w:right w:val="single" w:color="auto" w:sz="4" w:space="0"/>
            </w:tcBorders>
            <w:noWrap w:val="0"/>
            <w:vAlign w:val="center"/>
          </w:tcPr>
          <w:p w14:paraId="480004AA">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64F18533">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1A258522">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50E176B5">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34" w:type="dxa"/>
            <w:vMerge w:val="restart"/>
            <w:tcBorders>
              <w:top w:val="single" w:color="auto" w:sz="4" w:space="0"/>
              <w:left w:val="single" w:color="auto" w:sz="4" w:space="0"/>
              <w:bottom w:val="single" w:color="auto" w:sz="4" w:space="0"/>
              <w:right w:val="single" w:color="auto" w:sz="4" w:space="0"/>
            </w:tcBorders>
            <w:noWrap w:val="0"/>
            <w:vAlign w:val="center"/>
          </w:tcPr>
          <w:p w14:paraId="068014AB">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社会效</w:t>
            </w:r>
          </w:p>
          <w:p w14:paraId="5F78A5F8">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270" w:type="dxa"/>
            <w:tcBorders>
              <w:top w:val="single" w:color="auto" w:sz="4" w:space="0"/>
              <w:left w:val="single" w:color="auto" w:sz="4" w:space="0"/>
              <w:bottom w:val="single" w:color="auto" w:sz="4" w:space="0"/>
              <w:right w:val="single" w:color="auto" w:sz="4" w:space="0"/>
            </w:tcBorders>
            <w:noWrap w:val="0"/>
            <w:vAlign w:val="center"/>
          </w:tcPr>
          <w:p w14:paraId="505EEC6F">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lang w:val="en-US" w:eastAsia="zh-CN"/>
              </w:rPr>
              <w:t>改善市民居住环境</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647DE6FE">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lang w:val="en-US" w:eastAsia="zh-CN"/>
              </w:rPr>
              <w:t>改善市民居住环境</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24EB3D2A">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lang w:val="en-US" w:eastAsia="zh-CN"/>
              </w:rPr>
              <w:t>有效改善</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3E460722">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4</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2810EE38">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4</w:t>
            </w:r>
          </w:p>
        </w:tc>
        <w:tc>
          <w:tcPr>
            <w:tcW w:w="1446" w:type="dxa"/>
            <w:tcBorders>
              <w:top w:val="single" w:color="auto" w:sz="4" w:space="0"/>
              <w:left w:val="single" w:color="auto" w:sz="4" w:space="0"/>
              <w:bottom w:val="single" w:color="auto" w:sz="4" w:space="0"/>
              <w:right w:val="single" w:color="auto" w:sz="4" w:space="0"/>
            </w:tcBorders>
            <w:noWrap w:val="0"/>
            <w:vAlign w:val="center"/>
          </w:tcPr>
          <w:p w14:paraId="640EA8C9">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6708D501">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6E8E4ADF">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42509E28">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center"/>
          </w:tcPr>
          <w:p w14:paraId="75CA3156">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p>
        </w:tc>
        <w:tc>
          <w:tcPr>
            <w:tcW w:w="1270" w:type="dxa"/>
            <w:tcBorders>
              <w:top w:val="single" w:color="auto" w:sz="4" w:space="0"/>
              <w:left w:val="single" w:color="auto" w:sz="4" w:space="0"/>
              <w:bottom w:val="single" w:color="auto" w:sz="4" w:space="0"/>
              <w:right w:val="single" w:color="auto" w:sz="4" w:space="0"/>
            </w:tcBorders>
            <w:noWrap w:val="0"/>
            <w:vAlign w:val="center"/>
          </w:tcPr>
          <w:p w14:paraId="2F3CB8C6">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lang w:val="en-US" w:eastAsia="zh-CN"/>
              </w:rPr>
              <w:t>提升港区城市形象</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4A88DE0B">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lang w:val="en-US" w:eastAsia="zh-CN"/>
              </w:rPr>
              <w:t>提升港区城市形象</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5BCF82EC">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lang w:val="en-US" w:eastAsia="zh-CN"/>
              </w:rPr>
              <w:t>港区城市整体形象不断提升</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5D348FF1">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4</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0FCDD807">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3</w:t>
            </w:r>
          </w:p>
        </w:tc>
        <w:tc>
          <w:tcPr>
            <w:tcW w:w="1446" w:type="dxa"/>
            <w:tcBorders>
              <w:top w:val="single" w:color="auto" w:sz="4" w:space="0"/>
              <w:left w:val="single" w:color="auto" w:sz="4" w:space="0"/>
              <w:bottom w:val="single" w:color="auto" w:sz="4" w:space="0"/>
              <w:right w:val="single" w:color="auto" w:sz="4" w:space="0"/>
            </w:tcBorders>
            <w:noWrap w:val="0"/>
            <w:vAlign w:val="center"/>
          </w:tcPr>
          <w:p w14:paraId="090601B6">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标准还有待进一步提高，下一步加大管理力度，提升城市综合管理水平。</w:t>
            </w:r>
          </w:p>
        </w:tc>
      </w:tr>
      <w:tr w14:paraId="499D87DD">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213D387B">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6A098D95">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34" w:type="dxa"/>
            <w:vMerge w:val="restart"/>
            <w:tcBorders>
              <w:top w:val="single" w:color="auto" w:sz="4" w:space="0"/>
              <w:left w:val="single" w:color="auto" w:sz="4" w:space="0"/>
              <w:bottom w:val="single" w:color="auto" w:sz="4" w:space="0"/>
              <w:right w:val="single" w:color="auto" w:sz="4" w:space="0"/>
            </w:tcBorders>
            <w:noWrap w:val="0"/>
            <w:vAlign w:val="center"/>
          </w:tcPr>
          <w:p w14:paraId="7A20562C">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生态效</w:t>
            </w:r>
          </w:p>
          <w:p w14:paraId="3C4127D5">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270" w:type="dxa"/>
            <w:tcBorders>
              <w:top w:val="single" w:color="auto" w:sz="4" w:space="0"/>
              <w:left w:val="single" w:color="auto" w:sz="4" w:space="0"/>
              <w:bottom w:val="single" w:color="auto" w:sz="4" w:space="0"/>
              <w:right w:val="single" w:color="auto" w:sz="4" w:space="0"/>
            </w:tcBorders>
            <w:noWrap w:val="0"/>
            <w:vAlign w:val="center"/>
          </w:tcPr>
          <w:p w14:paraId="0EE2BC9C">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lang w:val="en-US" w:eastAsia="zh-CN"/>
              </w:rPr>
              <w:t>改善城区生态环境</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177C966A">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lang w:val="en-US" w:eastAsia="zh-CN"/>
              </w:rPr>
              <w:t>提升扬尘整治水平</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543CDC6D">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lang w:val="en-US" w:eastAsia="zh-CN"/>
              </w:rPr>
              <w:t>扬尘污染源得到有效管控</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131EC397">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4</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1DF13F89">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4</w:t>
            </w:r>
          </w:p>
        </w:tc>
        <w:tc>
          <w:tcPr>
            <w:tcW w:w="1446" w:type="dxa"/>
            <w:tcBorders>
              <w:top w:val="single" w:color="auto" w:sz="4" w:space="0"/>
              <w:left w:val="single" w:color="auto" w:sz="4" w:space="0"/>
              <w:bottom w:val="single" w:color="auto" w:sz="4" w:space="0"/>
              <w:right w:val="single" w:color="auto" w:sz="4" w:space="0"/>
            </w:tcBorders>
            <w:noWrap w:val="0"/>
            <w:vAlign w:val="center"/>
          </w:tcPr>
          <w:p w14:paraId="7265E24B">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2D37E08E">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45FAACED">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1C0FFEF5">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center"/>
          </w:tcPr>
          <w:p w14:paraId="5AC6FA02">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270" w:type="dxa"/>
            <w:tcBorders>
              <w:top w:val="single" w:color="auto" w:sz="4" w:space="0"/>
              <w:left w:val="single" w:color="auto" w:sz="4" w:space="0"/>
              <w:bottom w:val="single" w:color="auto" w:sz="4" w:space="0"/>
              <w:right w:val="single" w:color="auto" w:sz="4" w:space="0"/>
            </w:tcBorders>
            <w:noWrap w:val="0"/>
            <w:vAlign w:val="center"/>
          </w:tcPr>
          <w:p w14:paraId="1F0A40C9">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改善城区生态居住环境</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74C08111">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lang w:val="en-US" w:eastAsia="zh-CN"/>
              </w:rPr>
              <w:t>有效管控秸秆燃烧</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537E22CF">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lang w:val="en-US" w:eastAsia="zh-CN"/>
              </w:rPr>
              <w:t>得到有效管控，空气质量好。</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3A9A8EF4">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4</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4169932F">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4</w:t>
            </w:r>
          </w:p>
        </w:tc>
        <w:tc>
          <w:tcPr>
            <w:tcW w:w="1446" w:type="dxa"/>
            <w:tcBorders>
              <w:top w:val="single" w:color="auto" w:sz="4" w:space="0"/>
              <w:left w:val="single" w:color="auto" w:sz="4" w:space="0"/>
              <w:bottom w:val="single" w:color="auto" w:sz="4" w:space="0"/>
              <w:right w:val="single" w:color="auto" w:sz="4" w:space="0"/>
            </w:tcBorders>
            <w:noWrap w:val="0"/>
            <w:vAlign w:val="center"/>
          </w:tcPr>
          <w:p w14:paraId="15435033">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2FF262BF">
        <w:tblPrEx>
          <w:tblCellMar>
            <w:top w:w="0" w:type="dxa"/>
            <w:left w:w="108" w:type="dxa"/>
            <w:bottom w:w="0" w:type="dxa"/>
            <w:right w:w="108" w:type="dxa"/>
          </w:tblCellMar>
        </w:tblPrEx>
        <w:trPr>
          <w:trHeight w:val="290"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1BAD8CD9">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4D58E91C">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34" w:type="dxa"/>
            <w:vMerge w:val="restart"/>
            <w:tcBorders>
              <w:top w:val="single" w:color="auto" w:sz="4" w:space="0"/>
              <w:left w:val="single" w:color="auto" w:sz="4" w:space="0"/>
              <w:bottom w:val="single" w:color="auto" w:sz="4" w:space="0"/>
              <w:right w:val="single" w:color="auto" w:sz="4" w:space="0"/>
            </w:tcBorders>
            <w:noWrap w:val="0"/>
            <w:vAlign w:val="center"/>
          </w:tcPr>
          <w:p w14:paraId="0BEA60DB">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可持续影响指标</w:t>
            </w:r>
          </w:p>
        </w:tc>
        <w:tc>
          <w:tcPr>
            <w:tcW w:w="1270" w:type="dxa"/>
            <w:tcBorders>
              <w:top w:val="single" w:color="auto" w:sz="4" w:space="0"/>
              <w:left w:val="single" w:color="auto" w:sz="4" w:space="0"/>
              <w:bottom w:val="single" w:color="auto" w:sz="4" w:space="0"/>
              <w:right w:val="single" w:color="auto" w:sz="4" w:space="0"/>
            </w:tcBorders>
            <w:noWrap w:val="0"/>
            <w:vAlign w:val="center"/>
          </w:tcPr>
          <w:p w14:paraId="3B0FF917">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rPr>
              <w:t>推进港区城市管理规范化、精细化、常态化、制度化、</w:t>
            </w:r>
            <w:r>
              <w:rPr>
                <w:rFonts w:hint="eastAsia" w:ascii="仿宋_GB2312" w:hAnsi="仿宋_GB2312" w:eastAsia="仿宋_GB2312" w:cs="仿宋_GB2312"/>
                <w:color w:val="000000"/>
                <w:sz w:val="20"/>
                <w:szCs w:val="20"/>
                <w:lang w:eastAsia="zh-CN"/>
              </w:rPr>
              <w:t>法治化</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6F304483">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kern w:val="0"/>
                <w:sz w:val="20"/>
                <w:szCs w:val="20"/>
                <w:lang w:val="en-US" w:eastAsia="zh-CN" w:bidi="ar-SA"/>
              </w:rPr>
            </w:pPr>
            <w:r>
              <w:rPr>
                <w:rFonts w:hint="default" w:ascii="仿宋_GB2312" w:hAnsi="仿宋_GB2312" w:eastAsia="仿宋_GB2312" w:cs="仿宋_GB2312"/>
                <w:color w:val="000000"/>
                <w:sz w:val="20"/>
                <w:szCs w:val="20"/>
                <w:lang w:val="en-US" w:eastAsia="zh-CN"/>
              </w:rPr>
              <w:t>推进港区城市管理规范化、精细化、常态化、制度化、</w:t>
            </w:r>
            <w:r>
              <w:rPr>
                <w:rFonts w:hint="eastAsia" w:ascii="仿宋_GB2312" w:hAnsi="仿宋_GB2312" w:eastAsia="仿宋_GB2312" w:cs="仿宋_GB2312"/>
                <w:color w:val="000000"/>
                <w:sz w:val="20"/>
                <w:szCs w:val="20"/>
                <w:lang w:val="en-US" w:eastAsia="zh-CN"/>
              </w:rPr>
              <w:t>法治化</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0C34E1DC">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kern w:val="0"/>
                <w:sz w:val="20"/>
                <w:szCs w:val="20"/>
                <w:lang w:val="en-US" w:eastAsia="zh-CN" w:bidi="ar-SA"/>
              </w:rPr>
            </w:pPr>
            <w:r>
              <w:rPr>
                <w:rFonts w:hint="default" w:ascii="仿宋_GB2312" w:hAnsi="仿宋_GB2312" w:eastAsia="仿宋_GB2312" w:cs="仿宋_GB2312"/>
                <w:color w:val="000000"/>
                <w:sz w:val="20"/>
                <w:szCs w:val="20"/>
                <w:lang w:val="en-US" w:eastAsia="zh-CN"/>
              </w:rPr>
              <w:t>港区城市</w:t>
            </w:r>
            <w:r>
              <w:rPr>
                <w:rFonts w:hint="eastAsia" w:ascii="仿宋_GB2312" w:hAnsi="仿宋_GB2312" w:eastAsia="仿宋_GB2312" w:cs="仿宋_GB2312"/>
                <w:color w:val="000000"/>
                <w:sz w:val="20"/>
                <w:szCs w:val="20"/>
                <w:lang w:val="en-US" w:eastAsia="zh-CN"/>
              </w:rPr>
              <w:t>管理水平不断提升</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378EBE0A">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4</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25FDC37D">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4</w:t>
            </w:r>
          </w:p>
        </w:tc>
        <w:tc>
          <w:tcPr>
            <w:tcW w:w="1446" w:type="dxa"/>
            <w:tcBorders>
              <w:top w:val="single" w:color="auto" w:sz="4" w:space="0"/>
              <w:left w:val="single" w:color="auto" w:sz="4" w:space="0"/>
              <w:bottom w:val="single" w:color="auto" w:sz="4" w:space="0"/>
              <w:right w:val="single" w:color="auto" w:sz="4" w:space="0"/>
            </w:tcBorders>
            <w:noWrap w:val="0"/>
            <w:vAlign w:val="center"/>
          </w:tcPr>
          <w:p w14:paraId="5E4A15F2">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09061BAD">
        <w:tblPrEx>
          <w:tblCellMar>
            <w:top w:w="0" w:type="dxa"/>
            <w:left w:w="108" w:type="dxa"/>
            <w:bottom w:w="0" w:type="dxa"/>
            <w:right w:w="108" w:type="dxa"/>
          </w:tblCellMar>
        </w:tblPrEx>
        <w:trPr>
          <w:trHeight w:val="270"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065F1149">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221723F0">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center"/>
          </w:tcPr>
          <w:p w14:paraId="59494CD4">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270" w:type="dxa"/>
            <w:tcBorders>
              <w:top w:val="single" w:color="auto" w:sz="4" w:space="0"/>
              <w:left w:val="single" w:color="auto" w:sz="4" w:space="0"/>
              <w:bottom w:val="single" w:color="auto" w:sz="4" w:space="0"/>
              <w:right w:val="single" w:color="auto" w:sz="4" w:space="0"/>
            </w:tcBorders>
            <w:noWrap w:val="0"/>
            <w:vAlign w:val="center"/>
          </w:tcPr>
          <w:p w14:paraId="1AE63496">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改善城区环境，优化营商环境</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0FFA62F8">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不断改善城区环境，吸引企业投资</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39B6F9F7">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城区环境得到不断改善，创造了良好的营商环境。</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5A532663">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4</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053F9326">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4</w:t>
            </w:r>
          </w:p>
        </w:tc>
        <w:tc>
          <w:tcPr>
            <w:tcW w:w="1446" w:type="dxa"/>
            <w:tcBorders>
              <w:top w:val="single" w:color="auto" w:sz="4" w:space="0"/>
              <w:left w:val="single" w:color="auto" w:sz="4" w:space="0"/>
              <w:bottom w:val="single" w:color="auto" w:sz="4" w:space="0"/>
              <w:right w:val="single" w:color="auto" w:sz="4" w:space="0"/>
            </w:tcBorders>
            <w:noWrap w:val="0"/>
            <w:vAlign w:val="center"/>
          </w:tcPr>
          <w:p w14:paraId="6EF898E5">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7207D6F4">
        <w:tblPrEx>
          <w:tblCellMar>
            <w:top w:w="0" w:type="dxa"/>
            <w:left w:w="108" w:type="dxa"/>
            <w:bottom w:w="0" w:type="dxa"/>
            <w:right w:w="108" w:type="dxa"/>
          </w:tblCellMar>
        </w:tblPrEx>
        <w:trPr>
          <w:trHeight w:val="330"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3D6469D9">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7F138EB5">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满意度</w:t>
            </w:r>
          </w:p>
          <w:p w14:paraId="31CD434E">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指标</w:t>
            </w:r>
          </w:p>
          <w:p w14:paraId="55ACEE0D">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（10分）</w:t>
            </w:r>
          </w:p>
        </w:tc>
        <w:tc>
          <w:tcPr>
            <w:tcW w:w="1034" w:type="dxa"/>
            <w:tcBorders>
              <w:top w:val="single" w:color="auto" w:sz="4" w:space="0"/>
              <w:left w:val="single" w:color="auto" w:sz="4" w:space="0"/>
              <w:bottom w:val="single" w:color="auto" w:sz="4" w:space="0"/>
              <w:right w:val="single" w:color="auto" w:sz="4" w:space="0"/>
            </w:tcBorders>
            <w:noWrap w:val="0"/>
            <w:vAlign w:val="center"/>
          </w:tcPr>
          <w:p w14:paraId="17D3EC0B">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服务对象满意度指标</w:t>
            </w:r>
          </w:p>
        </w:tc>
        <w:tc>
          <w:tcPr>
            <w:tcW w:w="1270" w:type="dxa"/>
            <w:tcBorders>
              <w:top w:val="single" w:color="auto" w:sz="4" w:space="0"/>
              <w:left w:val="single" w:color="auto" w:sz="4" w:space="0"/>
              <w:bottom w:val="single" w:color="auto" w:sz="4" w:space="0"/>
              <w:right w:val="single" w:color="auto" w:sz="4" w:space="0"/>
            </w:tcBorders>
            <w:noWrap w:val="0"/>
            <w:vAlign w:val="center"/>
          </w:tcPr>
          <w:p w14:paraId="3CB68361">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群众满意度</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2B4BF4CB">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95%以上</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2373061E">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96.5%</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5AD26F0F">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10</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1CB76ABE">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10</w:t>
            </w:r>
          </w:p>
        </w:tc>
        <w:tc>
          <w:tcPr>
            <w:tcW w:w="1446" w:type="dxa"/>
            <w:tcBorders>
              <w:top w:val="single" w:color="auto" w:sz="4" w:space="0"/>
              <w:left w:val="single" w:color="auto" w:sz="4" w:space="0"/>
              <w:bottom w:val="single" w:color="auto" w:sz="4" w:space="0"/>
              <w:right w:val="single" w:color="auto" w:sz="4" w:space="0"/>
            </w:tcBorders>
            <w:noWrap w:val="0"/>
            <w:vAlign w:val="center"/>
          </w:tcPr>
          <w:p w14:paraId="5DEF6C7E">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0D3CA1DD">
        <w:tblPrEx>
          <w:tblCellMar>
            <w:top w:w="0" w:type="dxa"/>
            <w:left w:w="108" w:type="dxa"/>
            <w:bottom w:w="0" w:type="dxa"/>
            <w:right w:w="108" w:type="dxa"/>
          </w:tblCellMar>
        </w:tblPrEx>
        <w:trPr>
          <w:trHeight w:val="420" w:hRule="atLeast"/>
          <w:jc w:val="center"/>
        </w:trPr>
        <w:tc>
          <w:tcPr>
            <w:tcW w:w="7044" w:type="dxa"/>
            <w:gridSpan w:val="6"/>
            <w:tcBorders>
              <w:top w:val="single" w:color="auto" w:sz="4" w:space="0"/>
              <w:left w:val="single" w:color="auto" w:sz="4" w:space="0"/>
              <w:bottom w:val="single" w:color="auto" w:sz="4" w:space="0"/>
              <w:right w:val="single" w:color="auto" w:sz="4" w:space="0"/>
            </w:tcBorders>
            <w:noWrap w:val="0"/>
            <w:vAlign w:val="center"/>
          </w:tcPr>
          <w:p w14:paraId="0F740584">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总分</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2980BE69">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100</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79C240DE">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97.86</w:t>
            </w:r>
          </w:p>
        </w:tc>
        <w:tc>
          <w:tcPr>
            <w:tcW w:w="1446" w:type="dxa"/>
            <w:tcBorders>
              <w:top w:val="single" w:color="auto" w:sz="4" w:space="0"/>
              <w:left w:val="single" w:color="auto" w:sz="4" w:space="0"/>
              <w:bottom w:val="single" w:color="auto" w:sz="4" w:space="0"/>
              <w:right w:val="single" w:color="auto" w:sz="4" w:space="0"/>
            </w:tcBorders>
            <w:noWrap w:val="0"/>
            <w:vAlign w:val="center"/>
          </w:tcPr>
          <w:p w14:paraId="0875DD98">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bl>
    <w:p w14:paraId="3D7D8BDD">
      <w:pPr>
        <w:keepNext w:val="0"/>
        <w:keepLines w:val="0"/>
        <w:pageBreakBefore w:val="0"/>
        <w:widowControl w:val="0"/>
        <w:kinsoku/>
        <w:wordWrap/>
        <w:overflowPunct/>
        <w:topLinePunct w:val="0"/>
        <w:autoSpaceDE/>
        <w:autoSpaceDN/>
        <w:bidi w:val="0"/>
        <w:adjustRightInd/>
        <w:snapToGrid/>
        <w:spacing w:afterLines="0" w:line="300" w:lineRule="exact"/>
        <w:ind w:right="0" w:rightChars="0"/>
        <w:jc w:val="both"/>
        <w:textAlignment w:val="auto"/>
        <w:rPr>
          <w:rFonts w:hint="eastAsia" w:ascii="仿宋_GB2312" w:hAnsi="仿宋_GB2312" w:eastAsia="仿宋_GB2312" w:cs="仿宋_GB2312"/>
          <w:sz w:val="32"/>
          <w:szCs w:val="32"/>
          <w:highlight w:val="none"/>
          <w:lang w:eastAsia="zh-CN"/>
        </w:rPr>
      </w:pPr>
      <w:r>
        <w:rPr>
          <w:rFonts w:hint="default" w:ascii="Times New Roman" w:hAnsi="Times New Roman" w:eastAsia="仿宋_GB2312" w:cs="Times New Roman"/>
          <w:sz w:val="22"/>
          <w:highlight w:val="none"/>
        </w:rPr>
        <w:t>填表人：</w:t>
      </w:r>
      <w:r>
        <w:rPr>
          <w:rFonts w:hint="eastAsia" w:ascii="Times New Roman" w:hAnsi="Times New Roman" w:eastAsia="仿宋_GB2312" w:cs="Times New Roman"/>
          <w:sz w:val="22"/>
          <w:highlight w:val="none"/>
          <w:lang w:eastAsia="zh-CN"/>
        </w:rPr>
        <w:t>李翠</w:t>
      </w:r>
      <w:r>
        <w:rPr>
          <w:rFonts w:hint="default" w:ascii="Times New Roman" w:hAnsi="Times New Roman" w:eastAsia="仿宋_GB2312" w:cs="Times New Roman"/>
          <w:sz w:val="22"/>
          <w:highlight w:val="none"/>
        </w:rPr>
        <w:t xml:space="preserve">  填报日期：</w:t>
      </w:r>
      <w:r>
        <w:rPr>
          <w:rFonts w:hint="eastAsia" w:ascii="CESI仿宋-GB2312" w:hAnsi="CESI仿宋-GB2312" w:eastAsia="CESI仿宋-GB2312" w:cs="CESI仿宋-GB2312"/>
          <w:sz w:val="22"/>
          <w:highlight w:val="none"/>
          <w:lang w:val="en-US" w:eastAsia="zh-CN"/>
        </w:rPr>
        <w:t>2026.6.2</w:t>
      </w:r>
      <w:r>
        <w:rPr>
          <w:rFonts w:hint="default" w:ascii="CESI仿宋-GB2312" w:hAnsi="CESI仿宋-GB2312" w:eastAsia="CESI仿宋-GB2312" w:cs="CESI仿宋-GB2312"/>
          <w:sz w:val="22"/>
          <w:highlight w:val="none"/>
          <w:lang w:val="en" w:eastAsia="zh-CN"/>
        </w:rPr>
        <w:t>3</w:t>
      </w:r>
      <w:r>
        <w:rPr>
          <w:rFonts w:hint="eastAsia" w:ascii="CESI仿宋-GB2312" w:hAnsi="CESI仿宋-GB2312" w:eastAsia="CESI仿宋-GB2312" w:cs="CESI仿宋-GB2312"/>
          <w:sz w:val="22"/>
          <w:highlight w:val="none"/>
          <w:lang w:val="en-US" w:eastAsia="zh-CN"/>
        </w:rPr>
        <w:t xml:space="preserve"> </w:t>
      </w:r>
      <w:r>
        <w:rPr>
          <w:rFonts w:hint="default" w:ascii="Times New Roman" w:hAnsi="Times New Roman" w:eastAsia="仿宋_GB2312" w:cs="Times New Roman"/>
          <w:sz w:val="22"/>
          <w:highlight w:val="none"/>
        </w:rPr>
        <w:t>联系电话：</w:t>
      </w:r>
      <w:r>
        <w:rPr>
          <w:rFonts w:hint="eastAsia" w:ascii="CESI仿宋-GB2312" w:hAnsi="CESI仿宋-GB2312" w:eastAsia="CESI仿宋-GB2312" w:cs="CESI仿宋-GB2312"/>
          <w:sz w:val="22"/>
          <w:lang w:val="en-US" w:eastAsia="zh-CN"/>
        </w:rPr>
        <w:t>0730-3050775</w:t>
      </w:r>
      <w:r>
        <w:rPr>
          <w:rFonts w:hint="eastAsia" w:ascii="CESI仿宋-GB2312" w:hAnsi="CESI仿宋-GB2312" w:eastAsia="CESI仿宋-GB2312" w:cs="CESI仿宋-GB2312"/>
          <w:sz w:val="22"/>
          <w:highlight w:val="none"/>
        </w:rPr>
        <w:t xml:space="preserve"> </w:t>
      </w:r>
      <w:r>
        <w:rPr>
          <w:rFonts w:hint="eastAsia" w:ascii="CESI仿宋-GB2312" w:hAnsi="CESI仿宋-GB2312" w:eastAsia="CESI仿宋-GB2312" w:cs="CESI仿宋-GB2312"/>
          <w:sz w:val="22"/>
          <w:highlight w:val="none"/>
          <w:lang w:val="en-US" w:eastAsia="zh-CN"/>
        </w:rPr>
        <w:t xml:space="preserve"> </w:t>
      </w:r>
      <w:r>
        <w:rPr>
          <w:rFonts w:hint="default" w:ascii="Times New Roman" w:hAnsi="Times New Roman" w:eastAsia="仿宋_GB2312" w:cs="Times New Roman"/>
          <w:sz w:val="22"/>
          <w:highlight w:val="none"/>
        </w:rPr>
        <w:t>单位负责人：</w:t>
      </w:r>
      <w:r>
        <w:rPr>
          <w:rFonts w:hint="eastAsia" w:ascii="Times New Roman" w:hAnsi="Times New Roman" w:eastAsia="仿宋_GB2312" w:cs="Times New Roman"/>
          <w:sz w:val="22"/>
          <w:highlight w:val="none"/>
          <w:lang w:eastAsia="zh-CN"/>
        </w:rPr>
        <w:t>罗明飞</w:t>
      </w:r>
    </w:p>
    <w:sectPr>
      <w:footerReference r:id="rId3"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方正小标宋_GBK">
    <w:altName w:val="Arial Unicode MS"/>
    <w:panose1 w:val="02000000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ESI仿宋-GB2312">
    <w:altName w:val="仿宋"/>
    <w:panose1 w:val="02000500000000000000"/>
    <w:charset w:val="86"/>
    <w:family w:val="auto"/>
    <w:pitch w:val="default"/>
    <w:sig w:usb0="00000000" w:usb1="00000000" w:usb2="00000010"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725E11">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0015C3">
                          <w:pPr>
                            <w:pStyle w:val="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10015C3">
                    <w:pPr>
                      <w:pStyle w:val="6"/>
                    </w:pPr>
                    <w:r>
                      <w:fldChar w:fldCharType="begin"/>
                    </w:r>
                    <w:r>
                      <w:instrText xml:space="preserve"> PAGE  \* MERGEFORMAT </w:instrText>
                    </w:r>
                    <w:r>
                      <w:fldChar w:fldCharType="separate"/>
                    </w:r>
                    <w:r>
                      <w:t>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AD64ED"/>
    <w:multiLevelType w:val="singleLevel"/>
    <w:tmpl w:val="8CAD64ED"/>
    <w:lvl w:ilvl="0" w:tentative="0">
      <w:start w:val="2"/>
      <w:numFmt w:val="chineseCounting"/>
      <w:suff w:val="nothing"/>
      <w:lvlText w:val="（%1）"/>
      <w:lvlJc w:val="left"/>
      <w:pPr>
        <w:ind w:left="-83"/>
      </w:pPr>
      <w:rPr>
        <w:rFonts w:hint="eastAsia"/>
      </w:rPr>
    </w:lvl>
  </w:abstractNum>
  <w:abstractNum w:abstractNumId="1">
    <w:nsid w:val="8EB9B3EC"/>
    <w:multiLevelType w:val="singleLevel"/>
    <w:tmpl w:val="8EB9B3EC"/>
    <w:lvl w:ilvl="0" w:tentative="0">
      <w:start w:val="1"/>
      <w:numFmt w:val="chineseCounting"/>
      <w:suff w:val="nothing"/>
      <w:lvlText w:val="%1、"/>
      <w:lvlJc w:val="left"/>
      <w:rPr>
        <w:rFonts w:hint="eastAsia"/>
      </w:rPr>
    </w:lvl>
  </w:abstractNum>
  <w:abstractNum w:abstractNumId="2">
    <w:nsid w:val="CE135C99"/>
    <w:multiLevelType w:val="singleLevel"/>
    <w:tmpl w:val="CE135C99"/>
    <w:lvl w:ilvl="0" w:tentative="0">
      <w:start w:val="4"/>
      <w:numFmt w:val="chineseCounting"/>
      <w:suff w:val="nothing"/>
      <w:lvlText w:val="%1、"/>
      <w:lvlJc w:val="left"/>
      <w:rPr>
        <w:rFonts w:hint="eastAsia" w:ascii="黑体" w:hAnsi="黑体" w:eastAsia="黑体" w:cs="黑体"/>
        <w:b/>
        <w:bCs/>
      </w:rPr>
    </w:lvl>
  </w:abstractNum>
  <w:abstractNum w:abstractNumId="3">
    <w:nsid w:val="DD7CC189"/>
    <w:multiLevelType w:val="singleLevel"/>
    <w:tmpl w:val="DD7CC189"/>
    <w:lvl w:ilvl="0" w:tentative="0">
      <w:start w:val="6"/>
      <w:numFmt w:val="chineseCounting"/>
      <w:suff w:val="nothing"/>
      <w:lvlText w:val="%1、"/>
      <w:lvlJc w:val="left"/>
      <w:rPr>
        <w:rFonts w:hint="eastAsia"/>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Q5OTBlMjkxOGJkZTY2YWVjYTkxNWZjODEzNjkwZDcifQ=="/>
  </w:docVars>
  <w:rsids>
    <w:rsidRoot w:val="59886344"/>
    <w:rsid w:val="012B4701"/>
    <w:rsid w:val="0264611C"/>
    <w:rsid w:val="02901FCC"/>
    <w:rsid w:val="033C2338"/>
    <w:rsid w:val="037979A5"/>
    <w:rsid w:val="052E47BF"/>
    <w:rsid w:val="062545CC"/>
    <w:rsid w:val="06BF28E5"/>
    <w:rsid w:val="08234384"/>
    <w:rsid w:val="08C16076"/>
    <w:rsid w:val="09630EDC"/>
    <w:rsid w:val="0AE53B72"/>
    <w:rsid w:val="0BD22C7A"/>
    <w:rsid w:val="0BEF1743"/>
    <w:rsid w:val="0C807FF6"/>
    <w:rsid w:val="0CEE4F60"/>
    <w:rsid w:val="0CF75BDD"/>
    <w:rsid w:val="0DD5E01B"/>
    <w:rsid w:val="0E794CFD"/>
    <w:rsid w:val="0F3A0F53"/>
    <w:rsid w:val="0FADFF6C"/>
    <w:rsid w:val="10C574E3"/>
    <w:rsid w:val="13743CE5"/>
    <w:rsid w:val="13F05194"/>
    <w:rsid w:val="15CD96DC"/>
    <w:rsid w:val="15DC29EE"/>
    <w:rsid w:val="17D7B887"/>
    <w:rsid w:val="17E64CBE"/>
    <w:rsid w:val="17FFBF07"/>
    <w:rsid w:val="187B1EDD"/>
    <w:rsid w:val="19BE3F0C"/>
    <w:rsid w:val="19DF2514"/>
    <w:rsid w:val="1BAF3E80"/>
    <w:rsid w:val="1BF9BE6F"/>
    <w:rsid w:val="1CFF2DD1"/>
    <w:rsid w:val="1E9A1B16"/>
    <w:rsid w:val="1EB06519"/>
    <w:rsid w:val="1F7755BE"/>
    <w:rsid w:val="1FBF5E94"/>
    <w:rsid w:val="1FF7FC17"/>
    <w:rsid w:val="21274A8D"/>
    <w:rsid w:val="215D225D"/>
    <w:rsid w:val="219F9AC1"/>
    <w:rsid w:val="21A97250"/>
    <w:rsid w:val="22C36FD0"/>
    <w:rsid w:val="2556149D"/>
    <w:rsid w:val="25E12AFC"/>
    <w:rsid w:val="26256CDC"/>
    <w:rsid w:val="27C7136D"/>
    <w:rsid w:val="29EC56D7"/>
    <w:rsid w:val="2B2A7E7C"/>
    <w:rsid w:val="2BFA84C4"/>
    <w:rsid w:val="2CC3566A"/>
    <w:rsid w:val="2CE81574"/>
    <w:rsid w:val="2DDF768F"/>
    <w:rsid w:val="2EF7B2DE"/>
    <w:rsid w:val="2F2E9119"/>
    <w:rsid w:val="2FBF7CD0"/>
    <w:rsid w:val="30A9726C"/>
    <w:rsid w:val="31BF7CF9"/>
    <w:rsid w:val="32122865"/>
    <w:rsid w:val="335E1421"/>
    <w:rsid w:val="344C6EAD"/>
    <w:rsid w:val="344D6161"/>
    <w:rsid w:val="344E3B07"/>
    <w:rsid w:val="357BA9D3"/>
    <w:rsid w:val="35D61478"/>
    <w:rsid w:val="367B939B"/>
    <w:rsid w:val="36FC9F49"/>
    <w:rsid w:val="37957ECC"/>
    <w:rsid w:val="379FCFAB"/>
    <w:rsid w:val="37E1E070"/>
    <w:rsid w:val="37EB7DE5"/>
    <w:rsid w:val="37F76218"/>
    <w:rsid w:val="37FDA7BF"/>
    <w:rsid w:val="37FEF7B4"/>
    <w:rsid w:val="38DF7DF4"/>
    <w:rsid w:val="3950297B"/>
    <w:rsid w:val="39FF85D8"/>
    <w:rsid w:val="3A03179B"/>
    <w:rsid w:val="3A7D9288"/>
    <w:rsid w:val="3AFDA944"/>
    <w:rsid w:val="3B351E28"/>
    <w:rsid w:val="3B7D732B"/>
    <w:rsid w:val="3B97D99F"/>
    <w:rsid w:val="3BBE89CC"/>
    <w:rsid w:val="3BCF3072"/>
    <w:rsid w:val="3CDE4D1A"/>
    <w:rsid w:val="3D6F3B95"/>
    <w:rsid w:val="3D876E0F"/>
    <w:rsid w:val="3DBFF112"/>
    <w:rsid w:val="3E737064"/>
    <w:rsid w:val="3ED961EA"/>
    <w:rsid w:val="3EFF351B"/>
    <w:rsid w:val="3F8F0888"/>
    <w:rsid w:val="3F9AD62A"/>
    <w:rsid w:val="3FBB24D4"/>
    <w:rsid w:val="3FD977CB"/>
    <w:rsid w:val="3FFF4EF2"/>
    <w:rsid w:val="3FFFE6F3"/>
    <w:rsid w:val="418238EE"/>
    <w:rsid w:val="42AE24C0"/>
    <w:rsid w:val="44F248E6"/>
    <w:rsid w:val="471072A6"/>
    <w:rsid w:val="475F2681"/>
    <w:rsid w:val="47BFC2FF"/>
    <w:rsid w:val="49F35390"/>
    <w:rsid w:val="4A674C5A"/>
    <w:rsid w:val="4ABD7744"/>
    <w:rsid w:val="4BDFD373"/>
    <w:rsid w:val="4C407B15"/>
    <w:rsid w:val="4C5E0AB3"/>
    <w:rsid w:val="4D75C3BE"/>
    <w:rsid w:val="4EE5726A"/>
    <w:rsid w:val="4EFEE9D1"/>
    <w:rsid w:val="4F6F2888"/>
    <w:rsid w:val="4F7B482C"/>
    <w:rsid w:val="4F7E07B7"/>
    <w:rsid w:val="4FAD422B"/>
    <w:rsid w:val="4FDF9329"/>
    <w:rsid w:val="4FEFE88E"/>
    <w:rsid w:val="4FFD5EB6"/>
    <w:rsid w:val="4FFF74C3"/>
    <w:rsid w:val="51BC6CB3"/>
    <w:rsid w:val="52263E21"/>
    <w:rsid w:val="52293911"/>
    <w:rsid w:val="523F42B2"/>
    <w:rsid w:val="524E5126"/>
    <w:rsid w:val="53441F5F"/>
    <w:rsid w:val="536030EF"/>
    <w:rsid w:val="53FB649C"/>
    <w:rsid w:val="56F53FAD"/>
    <w:rsid w:val="571F56B4"/>
    <w:rsid w:val="57394B76"/>
    <w:rsid w:val="573F8125"/>
    <w:rsid w:val="575FABE5"/>
    <w:rsid w:val="577FA651"/>
    <w:rsid w:val="57F681D6"/>
    <w:rsid w:val="57FEFF87"/>
    <w:rsid w:val="585A4825"/>
    <w:rsid w:val="58EC1714"/>
    <w:rsid w:val="59886344"/>
    <w:rsid w:val="59EA4CD8"/>
    <w:rsid w:val="5AFC6111"/>
    <w:rsid w:val="5AFF102F"/>
    <w:rsid w:val="5AFFFF6E"/>
    <w:rsid w:val="5B7BC79C"/>
    <w:rsid w:val="5BDFBD95"/>
    <w:rsid w:val="5BEB1803"/>
    <w:rsid w:val="5BF5BB01"/>
    <w:rsid w:val="5BF7FF83"/>
    <w:rsid w:val="5C914861"/>
    <w:rsid w:val="5CF8285E"/>
    <w:rsid w:val="5CFFDFB4"/>
    <w:rsid w:val="5D33DD87"/>
    <w:rsid w:val="5D666870"/>
    <w:rsid w:val="5D7EE8D1"/>
    <w:rsid w:val="5DB66136"/>
    <w:rsid w:val="5DF2AD1B"/>
    <w:rsid w:val="5DFB3351"/>
    <w:rsid w:val="5E8B3FBC"/>
    <w:rsid w:val="5EBB32CB"/>
    <w:rsid w:val="5EBFED6A"/>
    <w:rsid w:val="5EDD4761"/>
    <w:rsid w:val="5EE69FFC"/>
    <w:rsid w:val="5EED5A2B"/>
    <w:rsid w:val="5EFF1D30"/>
    <w:rsid w:val="5F66DB43"/>
    <w:rsid w:val="5F6F2CA1"/>
    <w:rsid w:val="5FB13B0B"/>
    <w:rsid w:val="5FCE1F2B"/>
    <w:rsid w:val="5FCE84B5"/>
    <w:rsid w:val="5FDF122B"/>
    <w:rsid w:val="5FEE505F"/>
    <w:rsid w:val="5FF7F31E"/>
    <w:rsid w:val="5FFE17A3"/>
    <w:rsid w:val="5FFF2ED9"/>
    <w:rsid w:val="5FFF3909"/>
    <w:rsid w:val="5FFF3949"/>
    <w:rsid w:val="63741DF5"/>
    <w:rsid w:val="63AF31C8"/>
    <w:rsid w:val="63FF2C9F"/>
    <w:rsid w:val="64F68DC4"/>
    <w:rsid w:val="650224CC"/>
    <w:rsid w:val="65FD5C32"/>
    <w:rsid w:val="66B662A3"/>
    <w:rsid w:val="66F12C7F"/>
    <w:rsid w:val="6773320D"/>
    <w:rsid w:val="677FE972"/>
    <w:rsid w:val="683C550B"/>
    <w:rsid w:val="6A5176B7"/>
    <w:rsid w:val="6A5F109F"/>
    <w:rsid w:val="6AAFB618"/>
    <w:rsid w:val="6AFBCDB6"/>
    <w:rsid w:val="6B3EFC0B"/>
    <w:rsid w:val="6B7C286C"/>
    <w:rsid w:val="6B7FAB9B"/>
    <w:rsid w:val="6BCFC473"/>
    <w:rsid w:val="6BF97ACA"/>
    <w:rsid w:val="6BFF9BA6"/>
    <w:rsid w:val="6C24541E"/>
    <w:rsid w:val="6C4EA942"/>
    <w:rsid w:val="6C5FCAD0"/>
    <w:rsid w:val="6CC14A1B"/>
    <w:rsid w:val="6CFEE888"/>
    <w:rsid w:val="6DDF66CB"/>
    <w:rsid w:val="6DDFA73A"/>
    <w:rsid w:val="6E1E62D2"/>
    <w:rsid w:val="6E594A8A"/>
    <w:rsid w:val="6EF22F96"/>
    <w:rsid w:val="6EFD3622"/>
    <w:rsid w:val="6F3F50F7"/>
    <w:rsid w:val="6F7F06D0"/>
    <w:rsid w:val="6F8A1A3C"/>
    <w:rsid w:val="6F8E952F"/>
    <w:rsid w:val="6F9E908B"/>
    <w:rsid w:val="6FB7E0D4"/>
    <w:rsid w:val="6FBB27DC"/>
    <w:rsid w:val="6FBF0F83"/>
    <w:rsid w:val="6FD5E902"/>
    <w:rsid w:val="6FDD14A4"/>
    <w:rsid w:val="6FE900B9"/>
    <w:rsid w:val="6FEF301D"/>
    <w:rsid w:val="6FF9F9FA"/>
    <w:rsid w:val="6FFBB12E"/>
    <w:rsid w:val="6FFD7B47"/>
    <w:rsid w:val="70A64A09"/>
    <w:rsid w:val="71AFE6C8"/>
    <w:rsid w:val="71BF6F4E"/>
    <w:rsid w:val="71E833A0"/>
    <w:rsid w:val="724759C2"/>
    <w:rsid w:val="72AAE7CC"/>
    <w:rsid w:val="72DDC416"/>
    <w:rsid w:val="72F07E08"/>
    <w:rsid w:val="72F7A3D1"/>
    <w:rsid w:val="73041B05"/>
    <w:rsid w:val="736507F6"/>
    <w:rsid w:val="739CEE60"/>
    <w:rsid w:val="73B3EA29"/>
    <w:rsid w:val="73DD2D51"/>
    <w:rsid w:val="73DFC3F7"/>
    <w:rsid w:val="73E8A3D7"/>
    <w:rsid w:val="73F609B7"/>
    <w:rsid w:val="73F63D6C"/>
    <w:rsid w:val="73F79A32"/>
    <w:rsid w:val="753F7156"/>
    <w:rsid w:val="7551B50D"/>
    <w:rsid w:val="75C7E259"/>
    <w:rsid w:val="75D76132"/>
    <w:rsid w:val="75F2ADCD"/>
    <w:rsid w:val="75F8C4B5"/>
    <w:rsid w:val="75FF5BA7"/>
    <w:rsid w:val="766EB5ED"/>
    <w:rsid w:val="768CA81A"/>
    <w:rsid w:val="76D7B5DF"/>
    <w:rsid w:val="76F2BF5E"/>
    <w:rsid w:val="76FB9C52"/>
    <w:rsid w:val="7753C699"/>
    <w:rsid w:val="776A28F2"/>
    <w:rsid w:val="7777F50A"/>
    <w:rsid w:val="777FB96C"/>
    <w:rsid w:val="777FBD0D"/>
    <w:rsid w:val="7796C32C"/>
    <w:rsid w:val="77D7F185"/>
    <w:rsid w:val="77DFA765"/>
    <w:rsid w:val="77E369EE"/>
    <w:rsid w:val="77F7190E"/>
    <w:rsid w:val="77FBEA76"/>
    <w:rsid w:val="77FDAF63"/>
    <w:rsid w:val="795E5BF6"/>
    <w:rsid w:val="7979DB33"/>
    <w:rsid w:val="799A93D4"/>
    <w:rsid w:val="79E723E6"/>
    <w:rsid w:val="79FA931E"/>
    <w:rsid w:val="79FC6938"/>
    <w:rsid w:val="79FDF8EC"/>
    <w:rsid w:val="7ACF47A6"/>
    <w:rsid w:val="7AFB813E"/>
    <w:rsid w:val="7B1C4FA1"/>
    <w:rsid w:val="7B6EA5AA"/>
    <w:rsid w:val="7B6FE18E"/>
    <w:rsid w:val="7BEF49F7"/>
    <w:rsid w:val="7BEF58FB"/>
    <w:rsid w:val="7BEFB47B"/>
    <w:rsid w:val="7BEFC903"/>
    <w:rsid w:val="7BF1DA02"/>
    <w:rsid w:val="7BFEF98D"/>
    <w:rsid w:val="7BFF09AD"/>
    <w:rsid w:val="7CBD482E"/>
    <w:rsid w:val="7CCFB2A8"/>
    <w:rsid w:val="7CF38447"/>
    <w:rsid w:val="7CFEE03A"/>
    <w:rsid w:val="7D79788A"/>
    <w:rsid w:val="7D7F9CFB"/>
    <w:rsid w:val="7DAE54DE"/>
    <w:rsid w:val="7DDE14E0"/>
    <w:rsid w:val="7DEA90DC"/>
    <w:rsid w:val="7DFAD6BB"/>
    <w:rsid w:val="7DFBE253"/>
    <w:rsid w:val="7DFF939C"/>
    <w:rsid w:val="7E2B6198"/>
    <w:rsid w:val="7E7F2D4C"/>
    <w:rsid w:val="7E94260F"/>
    <w:rsid w:val="7E9FA5BB"/>
    <w:rsid w:val="7EDFAFDA"/>
    <w:rsid w:val="7EDFC6D9"/>
    <w:rsid w:val="7EFBD3A8"/>
    <w:rsid w:val="7EFE94C5"/>
    <w:rsid w:val="7F0D7D81"/>
    <w:rsid w:val="7F33E183"/>
    <w:rsid w:val="7F354D05"/>
    <w:rsid w:val="7F4EF610"/>
    <w:rsid w:val="7F5BE0D1"/>
    <w:rsid w:val="7F6EEB99"/>
    <w:rsid w:val="7F759A77"/>
    <w:rsid w:val="7F7C8143"/>
    <w:rsid w:val="7F9D8FF7"/>
    <w:rsid w:val="7FBF6A64"/>
    <w:rsid w:val="7FC44C6A"/>
    <w:rsid w:val="7FD6D891"/>
    <w:rsid w:val="7FDD7747"/>
    <w:rsid w:val="7FDE5867"/>
    <w:rsid w:val="7FEE796A"/>
    <w:rsid w:val="7FF3DAD8"/>
    <w:rsid w:val="7FF45D66"/>
    <w:rsid w:val="7FF5C296"/>
    <w:rsid w:val="7FF71610"/>
    <w:rsid w:val="7FF76416"/>
    <w:rsid w:val="7FF7DAAC"/>
    <w:rsid w:val="7FFABDC1"/>
    <w:rsid w:val="7FFCAFF8"/>
    <w:rsid w:val="7FFD64F5"/>
    <w:rsid w:val="7FFD95AD"/>
    <w:rsid w:val="7FFF4750"/>
    <w:rsid w:val="7FFF77CD"/>
    <w:rsid w:val="7FFF882C"/>
    <w:rsid w:val="85BDE94F"/>
    <w:rsid w:val="877E9725"/>
    <w:rsid w:val="87CF84D4"/>
    <w:rsid w:val="88FD2BB8"/>
    <w:rsid w:val="8F3BBF99"/>
    <w:rsid w:val="8F67F40A"/>
    <w:rsid w:val="8FBBDA8C"/>
    <w:rsid w:val="96BE6674"/>
    <w:rsid w:val="96F70F1C"/>
    <w:rsid w:val="97BB2E08"/>
    <w:rsid w:val="9C39FF20"/>
    <w:rsid w:val="9DF6A23D"/>
    <w:rsid w:val="9E7FBC30"/>
    <w:rsid w:val="9F377167"/>
    <w:rsid w:val="9FDE5B2D"/>
    <w:rsid w:val="9FFE1052"/>
    <w:rsid w:val="9FFF75F3"/>
    <w:rsid w:val="9FFF7A61"/>
    <w:rsid w:val="9FFFF0D6"/>
    <w:rsid w:val="A70FE2D3"/>
    <w:rsid w:val="AB9A1EE1"/>
    <w:rsid w:val="AC7BA3EC"/>
    <w:rsid w:val="AD6E288A"/>
    <w:rsid w:val="ADFF50ED"/>
    <w:rsid w:val="AEFF164C"/>
    <w:rsid w:val="AF1F477E"/>
    <w:rsid w:val="AF97306D"/>
    <w:rsid w:val="AFB52316"/>
    <w:rsid w:val="B37F3644"/>
    <w:rsid w:val="B5BD14DA"/>
    <w:rsid w:val="B5D78030"/>
    <w:rsid w:val="B5F7AC47"/>
    <w:rsid w:val="B5FDCFF6"/>
    <w:rsid w:val="B7F5319D"/>
    <w:rsid w:val="B7F7C8A8"/>
    <w:rsid w:val="B8B52547"/>
    <w:rsid w:val="B9DF3149"/>
    <w:rsid w:val="BAF70F69"/>
    <w:rsid w:val="BAFD45DF"/>
    <w:rsid w:val="BB679D58"/>
    <w:rsid w:val="BCCE59B0"/>
    <w:rsid w:val="BD89677B"/>
    <w:rsid w:val="BDB9AA29"/>
    <w:rsid w:val="BDBD2FB8"/>
    <w:rsid w:val="BDFA4E65"/>
    <w:rsid w:val="BDFFA76E"/>
    <w:rsid w:val="BDFFD3AE"/>
    <w:rsid w:val="BE7F0D42"/>
    <w:rsid w:val="BEABDFE5"/>
    <w:rsid w:val="BF2E53C6"/>
    <w:rsid w:val="BF5FC8C1"/>
    <w:rsid w:val="BF7B3D08"/>
    <w:rsid w:val="BF7F26E8"/>
    <w:rsid w:val="BFBD9944"/>
    <w:rsid w:val="BFBF6899"/>
    <w:rsid w:val="BFEF2291"/>
    <w:rsid w:val="BFEF9F98"/>
    <w:rsid w:val="BFF64B4C"/>
    <w:rsid w:val="BFFE68F3"/>
    <w:rsid w:val="BFFF0E60"/>
    <w:rsid w:val="BFFF336B"/>
    <w:rsid w:val="C2FF451E"/>
    <w:rsid w:val="C366975F"/>
    <w:rsid w:val="C73704C7"/>
    <w:rsid w:val="C7EF037B"/>
    <w:rsid w:val="CA53C418"/>
    <w:rsid w:val="CCBF2F76"/>
    <w:rsid w:val="CD66BBDF"/>
    <w:rsid w:val="CD7C1B49"/>
    <w:rsid w:val="CD91D88D"/>
    <w:rsid w:val="CDDD8810"/>
    <w:rsid w:val="CDEF9598"/>
    <w:rsid w:val="CDFD5392"/>
    <w:rsid w:val="CEFF37FC"/>
    <w:rsid w:val="CFBBCE7B"/>
    <w:rsid w:val="CFDCD1A6"/>
    <w:rsid w:val="CFDE1AAB"/>
    <w:rsid w:val="D1575C97"/>
    <w:rsid w:val="D38F4627"/>
    <w:rsid w:val="D3ED5B76"/>
    <w:rsid w:val="D4B72793"/>
    <w:rsid w:val="D5A593B6"/>
    <w:rsid w:val="D5D7A006"/>
    <w:rsid w:val="D5F371A8"/>
    <w:rsid w:val="D65FE6E1"/>
    <w:rsid w:val="D776D0CF"/>
    <w:rsid w:val="D8FC9199"/>
    <w:rsid w:val="DBD7BCE2"/>
    <w:rsid w:val="DCFF2E5D"/>
    <w:rsid w:val="DD2F0375"/>
    <w:rsid w:val="DD5559C1"/>
    <w:rsid w:val="DDD5A6E0"/>
    <w:rsid w:val="DDDFFA4B"/>
    <w:rsid w:val="DDE5B5A0"/>
    <w:rsid w:val="DDFBDDBA"/>
    <w:rsid w:val="DDFF012E"/>
    <w:rsid w:val="DED68C1F"/>
    <w:rsid w:val="DEEDE89B"/>
    <w:rsid w:val="DEEDFFD8"/>
    <w:rsid w:val="DEF7E7C8"/>
    <w:rsid w:val="DEF9FBE0"/>
    <w:rsid w:val="DF7FD9BA"/>
    <w:rsid w:val="DF7FF227"/>
    <w:rsid w:val="DF9B2822"/>
    <w:rsid w:val="DFA5B5A6"/>
    <w:rsid w:val="DFBC0B0E"/>
    <w:rsid w:val="DFDE3E74"/>
    <w:rsid w:val="DFDF275E"/>
    <w:rsid w:val="DFE705F1"/>
    <w:rsid w:val="DFEF23A6"/>
    <w:rsid w:val="DFEF884A"/>
    <w:rsid w:val="DFFDDB05"/>
    <w:rsid w:val="E3CF7F8C"/>
    <w:rsid w:val="E3F73EC7"/>
    <w:rsid w:val="E3FBD0D9"/>
    <w:rsid w:val="E57F5768"/>
    <w:rsid w:val="E5FB53A3"/>
    <w:rsid w:val="E61F50F2"/>
    <w:rsid w:val="E6F2FD75"/>
    <w:rsid w:val="E71F9C77"/>
    <w:rsid w:val="E7F30BC9"/>
    <w:rsid w:val="E7FF0C79"/>
    <w:rsid w:val="E9CD835A"/>
    <w:rsid w:val="EB4F8CA6"/>
    <w:rsid w:val="EBDD7012"/>
    <w:rsid w:val="EBDFB487"/>
    <w:rsid w:val="EBFFD50C"/>
    <w:rsid w:val="ECF6D5F7"/>
    <w:rsid w:val="ED611329"/>
    <w:rsid w:val="ED96AA62"/>
    <w:rsid w:val="EDB75AFA"/>
    <w:rsid w:val="EDCD52D0"/>
    <w:rsid w:val="EDEF28E6"/>
    <w:rsid w:val="EE9B9943"/>
    <w:rsid w:val="EEFB0A6C"/>
    <w:rsid w:val="EEFF95DB"/>
    <w:rsid w:val="EF4F68F4"/>
    <w:rsid w:val="EF4FF1F7"/>
    <w:rsid w:val="EF52C3EB"/>
    <w:rsid w:val="EF7F551C"/>
    <w:rsid w:val="EF8DB107"/>
    <w:rsid w:val="EFB284BE"/>
    <w:rsid w:val="EFB3D8D3"/>
    <w:rsid w:val="EFB78BB2"/>
    <w:rsid w:val="EFCDC209"/>
    <w:rsid w:val="EFD1F543"/>
    <w:rsid w:val="EFDA29D4"/>
    <w:rsid w:val="EFF55482"/>
    <w:rsid w:val="EFF74C40"/>
    <w:rsid w:val="EFF7BA06"/>
    <w:rsid w:val="F1BF3A54"/>
    <w:rsid w:val="F1E5CF9C"/>
    <w:rsid w:val="F1EF9395"/>
    <w:rsid w:val="F1F50771"/>
    <w:rsid w:val="F3AEC42B"/>
    <w:rsid w:val="F3E762DD"/>
    <w:rsid w:val="F3FBE5CC"/>
    <w:rsid w:val="F4277D70"/>
    <w:rsid w:val="F65E5C14"/>
    <w:rsid w:val="F66FE6FC"/>
    <w:rsid w:val="F6962669"/>
    <w:rsid w:val="F6A69DDF"/>
    <w:rsid w:val="F6DE2C54"/>
    <w:rsid w:val="F7739FCC"/>
    <w:rsid w:val="F77C6298"/>
    <w:rsid w:val="F77D6377"/>
    <w:rsid w:val="F7B0EBE4"/>
    <w:rsid w:val="F7C55921"/>
    <w:rsid w:val="F7E1DA20"/>
    <w:rsid w:val="F8FD76C5"/>
    <w:rsid w:val="F8FDAB50"/>
    <w:rsid w:val="F8FDAEF3"/>
    <w:rsid w:val="F9408281"/>
    <w:rsid w:val="F97933EC"/>
    <w:rsid w:val="F97F01FB"/>
    <w:rsid w:val="F9BB5C91"/>
    <w:rsid w:val="F9F768CE"/>
    <w:rsid w:val="FA393F93"/>
    <w:rsid w:val="FA6DC6ED"/>
    <w:rsid w:val="FA7DBD51"/>
    <w:rsid w:val="FAFE8CFE"/>
    <w:rsid w:val="FB3438E8"/>
    <w:rsid w:val="FB3B6B1D"/>
    <w:rsid w:val="FB5DFD0F"/>
    <w:rsid w:val="FB957910"/>
    <w:rsid w:val="FBBD119B"/>
    <w:rsid w:val="FBD4E69A"/>
    <w:rsid w:val="FBDDA4DE"/>
    <w:rsid w:val="FBEB8995"/>
    <w:rsid w:val="FBEBCE6B"/>
    <w:rsid w:val="FBFACC12"/>
    <w:rsid w:val="FBFBBBA0"/>
    <w:rsid w:val="FC456B75"/>
    <w:rsid w:val="FC7FFA77"/>
    <w:rsid w:val="FCADDD5E"/>
    <w:rsid w:val="FCBA4E64"/>
    <w:rsid w:val="FCBFD8F8"/>
    <w:rsid w:val="FCFD933F"/>
    <w:rsid w:val="FCFFD267"/>
    <w:rsid w:val="FD9B05DC"/>
    <w:rsid w:val="FDDE0C11"/>
    <w:rsid w:val="FDDE8A0B"/>
    <w:rsid w:val="FDEFF7D9"/>
    <w:rsid w:val="FDF60E22"/>
    <w:rsid w:val="FDFE71D4"/>
    <w:rsid w:val="FE6F845D"/>
    <w:rsid w:val="FE9B61EB"/>
    <w:rsid w:val="FE9E6DEB"/>
    <w:rsid w:val="FEB33343"/>
    <w:rsid w:val="FEBB395A"/>
    <w:rsid w:val="FEFB15B0"/>
    <w:rsid w:val="FEFF069E"/>
    <w:rsid w:val="FEFF0840"/>
    <w:rsid w:val="FEFF33CD"/>
    <w:rsid w:val="FEFF5B12"/>
    <w:rsid w:val="FEFF6659"/>
    <w:rsid w:val="FF371711"/>
    <w:rsid w:val="FF3DDBD7"/>
    <w:rsid w:val="FF570A18"/>
    <w:rsid w:val="FF5C97E8"/>
    <w:rsid w:val="FF72A878"/>
    <w:rsid w:val="FF774B4C"/>
    <w:rsid w:val="FF7ADB9C"/>
    <w:rsid w:val="FF7B4F81"/>
    <w:rsid w:val="FF96A225"/>
    <w:rsid w:val="FF9FDAD3"/>
    <w:rsid w:val="FFA7F6B1"/>
    <w:rsid w:val="FFADE8C1"/>
    <w:rsid w:val="FFAE1F5B"/>
    <w:rsid w:val="FFB9EB05"/>
    <w:rsid w:val="FFBFB6DC"/>
    <w:rsid w:val="FFCDB120"/>
    <w:rsid w:val="FFD64C7E"/>
    <w:rsid w:val="FFD9B916"/>
    <w:rsid w:val="FFDDDB77"/>
    <w:rsid w:val="FFEDDFB9"/>
    <w:rsid w:val="FFEF5216"/>
    <w:rsid w:val="FFF31979"/>
    <w:rsid w:val="FFF52DD0"/>
    <w:rsid w:val="FFF5D70D"/>
    <w:rsid w:val="FFF73ED9"/>
    <w:rsid w:val="FFFA6F35"/>
    <w:rsid w:val="FFFE9A56"/>
    <w:rsid w:val="FFFF103B"/>
    <w:rsid w:val="FFFF27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 w:hAnsi="仿宋" w:eastAsia="宋体" w:cs="Times New Roman"/>
      <w:kern w:val="0"/>
      <w:sz w:val="28"/>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next w:val="4"/>
    <w:semiHidden/>
    <w:qFormat/>
    <w:uiPriority w:val="0"/>
    <w:rPr>
      <w:rFonts w:ascii="仿宋" w:hAnsi="仿宋" w:eastAsia="仿宋" w:cs="仿宋"/>
      <w:sz w:val="31"/>
      <w:szCs w:val="31"/>
      <w:lang w:val="en-US" w:eastAsia="en-US" w:bidi="ar-SA"/>
    </w:rPr>
  </w:style>
  <w:style w:type="paragraph" w:styleId="4">
    <w:name w:val="toc 5"/>
    <w:basedOn w:val="1"/>
    <w:next w:val="1"/>
    <w:qFormat/>
    <w:uiPriority w:val="0"/>
    <w:pPr>
      <w:ind w:left="1680" w:leftChars="800"/>
    </w:pPr>
  </w:style>
  <w:style w:type="paragraph" w:styleId="5">
    <w:name w:val="Body Text Indent 2"/>
    <w:basedOn w:val="1"/>
    <w:unhideWhenUsed/>
    <w:qFormat/>
    <w:uiPriority w:val="0"/>
    <w:pPr>
      <w:spacing w:beforeLines="0" w:after="120" w:afterLines="0" w:line="480" w:lineRule="auto"/>
      <w:ind w:left="420" w:leftChars="200"/>
    </w:pPr>
    <w:rPr>
      <w:rFonts w:hint="default"/>
      <w:sz w:val="21"/>
      <w:szCs w:val="24"/>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10">
    <w:name w:val="列出段落1"/>
    <w:basedOn w:val="1"/>
    <w:qFormat/>
    <w:uiPriority w:val="34"/>
    <w:pPr>
      <w:ind w:firstLine="420" w:firstLineChars="200"/>
    </w:pPr>
  </w:style>
  <w:style w:type="paragraph" w:styleId="11">
    <w:name w:val="List Paragraph"/>
    <w:basedOn w:val="1"/>
    <w:qFormat/>
    <w:uiPriority w:val="99"/>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ba1f1770-8240-41dc-82e0-6985eba45400</errorID>
      <errorWord>“三公经费”</errorWord>
      <group>L1_Political</group>
      <groupName>政治性问题</groupName>
      <ability>L2_Keyword</ability>
      <abilityName>固定表述</abilityName>
      <candidateList>
        <item>“三公”经费</item>
      </candidateList>
      <explain>注意检查当前固定表述标点是否使用规范。</explain>
      <paraID>1719859A</paraID>
      <start>69</start>
      <end>75</end>
      <status>modified</status>
      <modifiedWord>“三公”经费</modifiedWord>
      <trackRevisions>false</trackRevisions>
    </reviewItem>
    <reviewItem>
      <errorID>08bf8f09-d8ac-4202-91c3-1a61006d6d71</errorID>
      <errorWord>管理执法程序</errorWord>
      <group>L1_Political</group>
      <groupName>政治性问题</groupName>
      <ability>L2_Keyword</ability>
      <abilityName>固定表述</abilityName>
      <candidateList>
        <item>行政执法程序</item>
      </candidateList>
      <explain>词汇“行政执法程序”在特定场景下为固定表述形式，请确认此处的“管理执法程序”是否存在不当。</explain>
      <paraID>324E7FC8</paraID>
      <start>14</start>
      <end>20</end>
      <status>ignored</status>
      <modifiedWord/>
      <trackRevisions>false</trackRevisions>
    </reviewItem>
    <reviewItem>
      <errorID>ddffae4c-20b4-49cf-8486-d8dd5b917bd9</errorID>
      <errorWord>成交</errorWord>
      <group>L1_Word</group>
      <groupName>字词问题</groupName>
      <ability>L2_Typo</ability>
      <abilityName>字词错误</abilityName>
      <candidateList>
        <item>成效</item>
      </candidateList>
      <explain/>
      <paraID>324E7FC8</paraID>
      <start>56</start>
      <end>58</end>
      <status>modified</status>
      <modifiedWord>成效</modifiedWord>
      <trackRevisions>false</trackRevisions>
    </reviewItem>
    <reviewItem>
      <errorID>3fe6e1df-5d1c-4fee-8d5c-3d03785fc9fe</errorID>
      <errorWord>中央八项规定精神及</errorWord>
      <group>L1_Word</group>
      <groupName>字词问题</groupName>
      <ability>L2_Typo</ability>
      <abilityName>字词错误</abilityName>
      <candidateList>
        <item>中央八项规定精神及其</item>
      </candidateList>
      <explain/>
      <paraID>62446605</paraID>
      <start>40</start>
      <end>49</end>
      <status>ignored</status>
      <modifiedWord/>
      <trackRevisions>false</trackRevisions>
    </reviewItem>
    <reviewItem>
      <errorID>61d8035a-faa4-4b84-a6fd-b2e24c890c1c</errorID>
      <errorWord>沿</errorWord>
      <group>L1_Word</group>
      <groupName>字词问题</groupName>
      <ability>L2_Typo</ability>
      <abilityName>字词错误</abilityName>
      <candidateList>
        <item>缘</item>
      </candidateList>
      <explain>存在发音相近字词的误用。</explain>
      <paraID>199D5456</paraID>
      <start>341</start>
      <end>342</end>
      <status>ignored</status>
      <modifiedWord/>
      <trackRevisions>false</trackRevisions>
    </reviewItem>
    <reviewItem>
      <errorID>31d585d0-6033-435b-9114-85fecee83bdf</errorID>
      <errorWord>次</errorWord>
      <group>L1_Word</group>
      <groupName>字词问题</groupName>
      <ability>L2_Typo</ability>
      <abilityName>字词错误</abilityName>
      <candidateList>
        <item>项</item>
      </candidateList>
      <explain/>
      <paraID>224A7CED</paraID>
      <start>326</start>
      <end>327</end>
      <status>ignored</status>
      <modifiedWord/>
      <trackRevisions>false</trackRevisions>
    </reviewItem>
    <reviewItem>
      <errorID>dcf74b38-7cb7-4e07-9ce2-ff0f09f80191</errorID>
      <errorWord>原由</errorWord>
      <group>L1_Word</group>
      <groupName>字词问题</groupName>
      <ability>L2_Variant</ability>
      <abilityName>异形词</abilityName>
      <candidateList>
        <item>缘由</item>
      </candidateList>
      <explain>词汇[原由]的规范词形写作[缘由]。</explain>
      <paraID>25B5B433</paraID>
      <start>36</start>
      <end>38</end>
      <status>ignored</status>
      <modifiedWord/>
      <trackRevisions>false</trackRevisions>
    </reviewItem>
    <reviewItem>
      <errorID>7dabb5b4-3746-4002-a7b8-d28488c35bd1</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A35DFD5</paraID>
      <start>13</start>
      <end>16</end>
      <status>ignored</status>
      <modifiedWord/>
      <trackRevisions>false</trackRevisions>
    </reviewItem>
    <reviewItem>
      <errorID>452966df-2f9d-4a3b-a34b-f49567e0e2da</errorID>
      <errorWord>&lt;</errorWord>
      <group>L1_Format</group>
      <groupName>格式问题</groupName>
      <ability>L2_HalfPunc_CN</ability>
      <abilityName>全半角问题</abilityName>
      <candidateList>
        <item>〈</item>
      </candidateList>
      <explain>文本全半角错误。</explain>
      <paraID> A35DFD5</paraID>
      <start>49</start>
      <end>50</end>
      <status>ignored</status>
      <modifiedWord/>
      <trackRevisions>false</trackRevisions>
    </reviewItem>
    <reviewItem>
      <errorID>019d23ea-4f27-4084-ad45-aaf83ff62f74</errorID>
      <errorWord>&gt;的通知》</errorWord>
      <group>L1_Punc</group>
      <groupName>标点问题</groupName>
      <ability>L2_Punc_CN</ability>
      <abilityName>标点符号问题</abilityName>
      <candidateList>
        <item>〉的通知》</item>
      </candidateList>
      <explain/>
      <paraID> A35DFD5</paraID>
      <start>63</start>
      <end>68</end>
      <status>ignored</status>
      <modifiedWord/>
      <trackRevisions>false</trackRevisions>
    </reviewItem>
    <reviewItem>
      <errorID>3fc3f4c2-000f-4b48-ba8a-cc1dde1af930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6B9B44E4</paraID>
      <start>0</start>
      <end>2</end>
      <status>ignored</status>
      <modifiedWord/>
      <trackRevisions>false</trackRevisions>
    </reviewItem>
    <reviewItem>
      <errorID>82862072-0d3d-45f0-90a8-782c1579ec7e</errorID>
      <errorWord>预算及绩效管理</errorWord>
      <group>L1_Political</group>
      <groupName>政治性问题</groupName>
      <ability>L2_Keyword</ability>
      <abilityName>固定表述</abilityName>
      <candidateList>
        <item>预算绩效管理</item>
      </candidateList>
      <explain>词汇“预算绩效管理”在特定场景下为固定表述形式，请确认此处的“预算及绩效管理”是否存在不当。</explain>
      <paraID>6B9B44E4</paraID>
      <start>4</start>
      <end>11</end>
      <status>ignored</status>
      <modifiedWord/>
      <trackRevisions>false</trackRevisions>
    </reviewItem>
    <reviewItem>
      <errorID>9fbf3121-bc85-474d-99ad-29072aab1818</errorID>
      <errorWord>制度</errorWord>
      <group>L1_Word</group>
      <groupName>字词问题</groupName>
      <ability>L2_Typo</ability>
      <abilityName>字词错误</abilityName>
      <candidateList>
        <item>制定</item>
      </candidateList>
      <explain>〈动〉定出（法律、规程、政策等）：～宪法｜～学会章程。</explain>
      <paraID>63A41533</paraID>
      <start>109</start>
      <end>111</end>
      <status>modified</status>
      <modifiedWord>制定</modifiedWord>
      <trackRevisions>false</trackRevisions>
    </reviewItem>
    <reviewItem>
      <errorID>bd0be09d-3f97-4d68-a818-29a1ae06503f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363E80D0</paraID>
      <start>0</start>
      <end>2</end>
      <status>ignored</status>
      <modifiedWord/>
      <trackRevisions>false</trackRevisions>
    </reviewItem>
    <reviewItem>
      <errorID>fdb7e158-cf5e-4082-98d1-db980bd1fe53</errorID>
      <errorWord>统一建帐</errorWord>
      <group>L1_Word</group>
      <groupName>字词问题</groupName>
      <ability>L2_Alias</ability>
      <abilityName>也作/曾用词</abilityName>
      <candidateList>
        <item>统一建账</item>
      </candidateList>
      <explain>词汇[统一建帐]为不规范表述或旧称，其规范书面表述为[统一建账]。</explain>
      <paraID>1C82CD44</paraID>
      <start>96</start>
      <end>100</end>
      <status>modified</status>
      <modifiedWord>统一建账</modifiedWord>
      <trackRevisions>false</trackRevisions>
    </reviewItem>
    <reviewItem>
      <errorID>b791a883-f328-4923-aa07-1e6c0582af2e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4597F86F</paraID>
      <start>0</start>
      <end>2</end>
      <status>ignored</status>
      <modifiedWord/>
      <trackRevisions>false</trackRevisions>
    </reviewItem>
    <reviewItem>
      <errorID>822afe5d-11b2-48d4-a869-8155e0c05160</errorID>
      <errorWord>城乡结合部</errorWord>
      <group>L1_Word</group>
      <groupName>字词问题</groupName>
      <ability>L2_Typo</ability>
      <abilityName>字词错误</abilityName>
      <candidateList>
        <item>城乡接合部</item>
      </candidateList>
      <explain/>
      <paraID>306B913C</paraID>
      <start>54</start>
      <end>59</end>
      <status>ignored</status>
      <modifiedWord/>
      <trackRevisions>false</trackRevisions>
    </reviewItem>
    <reviewItem>
      <errorID>7a5e2bbd-d9d5-429a-a767-a834d04d4f2e</errorID>
      <errorWord>三公经费</errorWord>
      <group>L1_Political</group>
      <groupName>政治性问题</groupName>
      <ability>L2_Keyword</ability>
      <abilityName>固定表述</abilityName>
      <candidateList>
        <item>“三公”经费</item>
      </candidateList>
      <explain>注意检查当前固定表述标点是否使用规范。</explain>
      <paraID>185281EC</paraID>
      <start>0</start>
      <end>4</end>
      <status>ignored</status>
      <modifiedWord/>
      <trackRevisions>false</trackRevisions>
    </reviewItem>
    <reviewItem>
      <errorID>191a78e2-facc-4e23-ad71-a1fcfee00847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35A84BCE</paraID>
      <start>3</start>
      <end>5</end>
      <status>ignored</status>
      <modifiedWord/>
      <trackRevisions>false</trackRevisions>
    </reviewItem>
    <reviewItem>
      <errorID>655403ed-2f16-4e44-92a7-76f80dca1c14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70BB802A</paraID>
      <start>3</start>
      <end>5</end>
      <status>ignored</status>
      <modifiedWord/>
      <trackRevisions>false</trackRevisions>
    </reviewItem>
    <reviewItem>
      <errorID>9ebb306d-b77b-4a3d-8c3c-e3500282340f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175D2392</paraID>
      <start>3</start>
      <end>5</end>
      <status>ignored</status>
      <modifiedWord/>
      <trackRevisions>false</trackRevisions>
    </reviewItem>
    <reviewItem>
      <errorID>419070e5-0db3-41bb-8403-e1b5d3172097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689C0D6B</paraID>
      <start>4</start>
      <end>6</end>
      <status>ignored</status>
      <modifiedWord/>
      <trackRevisions>false</trackRevisions>
    </reviewItem>
    <reviewItem>
      <errorID>ece6eedc-0397-4ae9-b80c-49fe43a35841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47295F8D</paraID>
      <start>4</start>
      <end>6</end>
      <status>ignored</status>
      <modifiedWord/>
      <trackRevisions>false</trackRevisions>
    </reviewItem>
    <reviewItem>
      <errorID>5a92c7ff-b768-41f1-ab1d-34d17f883092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1FE7ADE5</paraID>
      <start>0</start>
      <end>2</end>
      <status>ignored</status>
      <modifiedWord/>
      <trackRevisions>false</trackRevisions>
    </reviewItem>
    <reviewItem>
      <errorID>dfb1e169-98cd-418c-a136-70eb545b115f</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3908C073</paraID>
      <start>41</start>
      <end>44</end>
      <status>ignored</status>
      <modifiedWord/>
      <trackRevisions>false</trackRevisions>
    </reviewItem>
    <reviewItem>
      <errorID>f58c6f0c-2ef5-45f2-aaa9-5ae57d5d7864</errorID>
      <errorWord>统一建帐</errorWord>
      <group>L1_Word</group>
      <groupName>字词问题</groupName>
      <ability>L2_Alias</ability>
      <abilityName>也作/曾用词</abilityName>
      <candidateList>
        <item>统一建账</item>
      </candidateList>
      <explain>词汇[统一建帐]为不规范表述或旧称，其规范书面表述为[统一建账]。</explain>
      <paraID>3908C073</paraID>
      <start>167</start>
      <end>171</end>
      <status>modified</status>
      <modifiedWord>统一建账</modifiedWord>
      <trackRevisions>false</trackRevisions>
    </reviewItem>
    <reviewItem>
      <errorID>fecde761-2e97-413b-a7fe-901bfe7fdfdc</errorID>
      <errorWord>:</errorWord>
      <group>L1_Format</group>
      <groupName>格式问题</groupName>
      <ability>L2_HalfPunc_CN</ability>
      <abilityName>全半角问题</abilityName>
      <candidateList>
        <item>：</item>
      </candidateList>
      <explain>文本全半角错误。</explain>
      <paraID>38262FD1</paraID>
      <start>17</start>
      <end>18</end>
      <status>ignored</status>
      <modifiedWord/>
      <trackRevisions>false</trackRevisions>
    </reviewItem>
    <reviewItem>
      <errorID>83398466-8b66-4a54-88ef-4c113077d5fd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5EA11D5B</paraID>
      <start>0</start>
      <end>2</end>
      <status>unmodified</status>
      <modifiedWord/>
      <trackRevisions>false</trackRevisions>
    </reviewItem>
    <reviewItem>
      <errorID>3eec5b55-3d46-443f-a163-6c7bfd21151b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1BC65C5</paraID>
      <start>0</start>
      <end>2</end>
      <status>unmodified</status>
      <modifiedWord/>
      <trackRevisions>false</trackRevisions>
    </reviewItem>
    <reviewItem>
      <errorID>0dd4cf07-6add-4ff5-9025-76710271b5a7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3BDDA945</paraID>
      <start>0</start>
      <end>2</end>
      <status>unmodified</status>
      <modifiedWord/>
      <trackRevisions>false</trackRevisions>
    </reviewItem>
    <reviewItem>
      <errorID>5556046d-b1f4-4c9f-b99b-a52df5c3595e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69218752</paraID>
      <start>0</start>
      <end>2</end>
      <status>unmodified</status>
      <modifiedWord/>
      <trackRevisions>false</trackRevisions>
    </reviewItem>
    <reviewItem>
      <errorID>13437852-cd18-4f03-83be-fdbce8c58b3f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36251E83</paraID>
      <start>0</start>
      <end>2</end>
      <status>unmodified</status>
      <modifiedWord/>
      <trackRevisions>false</trackRevisions>
    </reviewItem>
    <reviewItem>
      <errorID>1b3597bc-dd4b-407d-ac8c-f773fd417496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53667DC8</paraID>
      <start>0</start>
      <end>2</end>
      <status>unmodified</status>
      <modifiedWord/>
      <trackRevisions>false</trackRevisions>
    </reviewItem>
    <reviewItem>
      <errorID>6ff07c92-aa54-46c7-9a5e-4d0651a5e7c9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5D8C7F8</paraID>
      <start>0</start>
      <end>2</end>
      <status>unmodified</status>
      <modifiedWord/>
      <trackRevisions>false</trackRevisions>
    </reviewItem>
    <reviewItem>
      <errorID>4d67a443-a328-4855-81cf-4628b0163cc0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4DB2953C</paraID>
      <start>0</start>
      <end>2</end>
      <status>unmodified</status>
      <modifiedWord/>
      <trackRevisions>false</trackRevisions>
    </reviewItem>
    <reviewItem>
      <errorID>a574b79a-3c4d-45b2-b766-9d35ac9ec6ca</errorID>
      <errorWord>大力了</errorWord>
      <group>L1_Word</group>
      <groupName>字词问题</groupName>
      <ability>L2_Typo</ability>
      <abilityName>字词错误</abilityName>
      <candidateList>
        <item>大力</item>
      </candidateList>
      <explain/>
      <paraID>4DB2953C</paraID>
      <start>2</start>
      <end>5</end>
      <status>unmodified</status>
      <modifiedWord/>
      <trackRevisions>false</trackRevisions>
    </reviewItem>
    <reviewItem>
      <errorID>836571ee-ad98-49e5-9405-48ebaba3aa99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29210AED</paraID>
      <start>0</start>
      <end>2</end>
      <status>unmodified</status>
      <modifiedWord/>
      <trackRevisions>false</trackRevisions>
    </reviewItem>
    <reviewItem>
      <errorID>be6f3db6-31bd-4d7e-a652-fb65da141cf5</errorID>
      <errorWord>成交</errorWord>
      <group>L1_Word</group>
      <groupName>字词问题</groupName>
      <ability>L2_Typo</ability>
      <abilityName>字词错误</abilityName>
      <candidateList>
        <item>成效</item>
      </candidateList>
      <explain/>
      <paraID>29210AED</paraID>
      <start>39</start>
      <end>41</end>
      <status>modified</status>
      <modifiedWord>成效</modifiedWord>
      <trackRevisions>false</trackRevisions>
    </reviewItem>
    <reviewItem>
      <errorID>9ad55d85-9f9a-430a-836c-b9b53b2fc1b0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4B9B8DC7</paraID>
      <start>0</start>
      <end>2</end>
      <status>ignored</status>
      <modifiedWord/>
      <trackRevisions>false</trackRevisions>
    </reviewItem>
    <reviewItem>
      <errorID>cdbe9551-31d6-4930-8b71-dffde249a141</errorID>
      <errorWord>(</errorWord>
      <group>L1_Format</group>
      <groupName>格式问题</groupName>
      <ability>L2_HalfPunc_CN</ability>
      <abilityName>全半角问题</abilityName>
      <candidateList>
        <item>（</item>
      </candidateList>
      <explain>文本全半角错误。</explain>
      <paraID>2C75204F</paraID>
      <start>0</start>
      <end>1</end>
      <status>unmodified</status>
      <modifiedWord/>
      <trackRevisions>false</trackRevisions>
    </reviewItem>
    <reviewItem>
      <errorID>c2dbe7eb-92ce-4b0d-abc6-c5e5565973b5</errorID>
      <errorWord>)</errorWord>
      <group>L1_Format</group>
      <groupName>格式问题</groupName>
      <ability>L2_HalfPunc_CN</ability>
      <abilityName>全半角问题</abilityName>
      <candidateList>
        <item>）</item>
      </candidateList>
      <explain>文本全半角错误。</explain>
      <paraID>2C75204F</paraID>
      <start>4</start>
      <end>5</end>
      <status>unmodified</status>
      <modifiedWord/>
      <trackRevisions>false</trackRevisions>
    </reviewItem>
    <reviewItem>
      <errorID>6e64a1fd-f7b6-4d49-a2bd-dfde455c7851</errorID>
      <errorWord>加强</errorWord>
      <group>L1_Grammar</group>
      <groupName>语法问题</groupName>
      <ability>L2_Grammar</ability>
      <abilityName>语法错误</abilityName>
      <candidateList>
        <item>加大</item>
      </candidateList>
      <explain>“加强～力度”搭配不当，建议修改为“加大～力度”。</explain>
      <paraID>50AA0835</paraID>
      <start>0</start>
      <end>2</end>
      <status>unmodified</status>
      <modifiedWord/>
      <trackRevisions>false</trackRevisions>
    </reviewItem>
    <reviewItem>
      <errorID>6a649318-4308-4d92-9f17-2068d7b95734</errorID>
      <errorWord>"</errorWord>
      <group>L1_Format</group>
      <groupName>格式问题</groupName>
      <ability>L2_HalfPunc_CN</ability>
      <abilityName>全半角问题</abilityName>
      <candidateList>
        <item>“</item>
      </candidateList>
      <explain>文本全半角错误。</explain>
      <paraID>50AA0835</paraID>
      <start>9</start>
      <end>10</end>
      <status>unmodified</status>
      <modifiedWord/>
      <trackRevisions>false</trackRevisions>
    </reviewItem>
    <reviewItem>
      <errorID>79c4e7d2-ff37-44ae-88ff-d6a3ef031327</errorID>
      <errorWord>"</errorWord>
      <group>L1_Format</group>
      <groupName>格式问题</groupName>
      <ability>L2_HalfPunc_CN</ability>
      <abilityName>全半角问题</abilityName>
      <candidateList>
        <item>”</item>
      </candidateList>
      <explain>文本全半角错误。</explain>
      <paraID>50AA0835</paraID>
      <start>13</start>
      <end>14</end>
      <status>unmodified</status>
      <modifiedWord/>
      <trackRevisions>false</trackRevisions>
    </reviewItem>
    <reviewItem>
      <errorID>0c95179c-f15c-4e97-bfab-4450c92c089c</errorID>
      <errorWord>步</errorWord>
      <group>L1_Word</group>
      <groupName>字词问题</groupName>
      <ability>L2_Typo</ability>
      <abilityName>字词错误</abilityName>
      <candidateList>
        <item>步要</item>
      </candidateList>
      <explain/>
      <paraID>3EF943C9</paraID>
      <start>12</start>
      <end>13</end>
      <status>ignored</status>
      <modifiedWord/>
      <trackRevisions>false</trackRevisions>
    </reviewItem>
    <reviewItem>
      <errorID>e6b236d9-3fec-46f6-bd99-38d453af0c61</errorID>
      <errorWord>步</errorWord>
      <group>L1_Word</group>
      <groupName>字词问题</groupName>
      <ability>L2_Typo</ability>
      <abilityName>字词错误</abilityName>
      <candidateList>
        <item>步要</item>
      </candidateList>
      <explain/>
      <paraID> 90601B6</paraID>
      <start>13</start>
      <end>14</end>
      <status>ignored</status>
      <modifiedWord/>
      <trackRevisions>false</trackRevisions>
    </reviewItem>
    <reviewItem>
      <errorID>5a3a6d7d-fd83-4248-a17a-c7fc955ed804</errorID>
      <errorWord>桔杆</errorWord>
      <group>L1_Word</group>
      <groupName>字词问题</groupName>
      <ability>L2_Typo</ability>
      <abilityName>字词错误</abilityName>
      <candidateList>
        <item>秸秆</item>
      </candidateList>
      <explain>〈名〉农作物脱粒后剩下的茎。</explain>
      <paraID>74C08111</paraID>
      <start>4</start>
      <end>6</end>
      <status>modified</status>
      <modifiedWord>秸秆</modifiedWord>
      <trackRevisions>false</trackRevisions>
    </reviewItem>
    <reviewItem>
      <errorID>54971f2d-f401-4a6c-87f3-6a2e12f8d85e</errorID>
      <errorWord>法制化</errorWord>
      <group>L1_Political</group>
      <groupName>政治性问题</groupName>
      <ability>L2_Unpolitical</ability>
      <abilityName>政治敏感错误</abilityName>
      <candidateList>
        <item>法治化</item>
      </candidateList>
      <explain/>
      <paraID>3B0FF917</paraID>
      <start>24</start>
      <end>27</end>
      <status>modified</status>
      <modifiedWord>法治化</modifiedWord>
      <trackRevisions>false</trackRevisions>
    </reviewItem>
    <reviewItem>
      <errorID>ad70bd6c-95de-43a6-95c8-80ceb30babcf</errorID>
      <errorWord>法制化</errorWord>
      <group>L1_Political</group>
      <groupName>政治性问题</groupName>
      <ability>L2_Unpolitical</ability>
      <abilityName>政治敏感错误</abilityName>
      <candidateList>
        <item>法治化</item>
      </candidateList>
      <explain/>
      <paraID>6F304483</paraID>
      <start>24</start>
      <end>27</end>
      <status>modified</status>
      <modifiedWord>法治化</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1a78f0b-1aa1-4cb2-b3be-1f11d0a27474}">
  <ds:schemaRefs/>
</ds:datastoreItem>
</file>

<file path=docProps/app.xml><?xml version="1.0" encoding="utf-8"?>
<Properties xmlns="http://schemas.openxmlformats.org/officeDocument/2006/extended-properties" xmlns:vt="http://schemas.openxmlformats.org/officeDocument/2006/docPropsVTypes">
  <Template>Normal.dotm</Template>
  <Pages>17</Pages>
  <Words>7953</Words>
  <Characters>8438</Characters>
  <Lines>0</Lines>
  <Paragraphs>0</Paragraphs>
  <TotalTime>107</TotalTime>
  <ScaleCrop>false</ScaleCrop>
  <LinksUpToDate>false</LinksUpToDate>
  <CharactersWithSpaces>8675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2024-03-25T00:36:00Z</dcterms:created>
  <dc:creator>Administrator</dc:creator>
  <cp:lastModifiedBy>翠大宝</cp:lastModifiedBy>
  <cp:lastPrinted>2026-06-24T06:17:26Z</cp:lastPrinted>
  <dcterms:modified xsi:type="dcterms:W3CDTF">2026-06-24T06:18:14Z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5E4036AAF997491EA7F1599431DCDE38_13</vt:lpwstr>
  </property>
  <property fmtid="{D5CDD505-2E9C-101B-9397-08002B2CF9AE}" pid="4" name="KSOTemplateDocerSaveRecord">
    <vt:lpwstr>eyJoZGlkIjoiZjUzMjg5MWNkMDM4Yzc2MTE0ZjNkOWVmNzg0YWM2ODciLCJ1c2VySWQiOiIyNTI2OTUxNjkifQ==</vt:lpwstr>
  </property>
</Properties>
</file>