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D5EE6">
      <w:pPr>
        <w:jc w:val="center"/>
        <w:rPr>
          <w:rFonts w:hint="eastAsia" w:ascii="宋体" w:hAnsi="宋体" w:eastAsia="宋体" w:cs="宋体"/>
          <w:b/>
          <w:bCs/>
          <w:sz w:val="44"/>
          <w:szCs w:val="44"/>
        </w:rPr>
      </w:pPr>
    </w:p>
    <w:p w14:paraId="3F827405">
      <w:pPr>
        <w:jc w:val="center"/>
        <w:rPr>
          <w:rFonts w:hint="eastAsia" w:ascii="宋体" w:hAnsi="宋体" w:eastAsia="宋体" w:cs="宋体"/>
          <w:b/>
          <w:bCs/>
          <w:sz w:val="44"/>
          <w:szCs w:val="44"/>
        </w:rPr>
      </w:pPr>
    </w:p>
    <w:p w14:paraId="39BCB1A0">
      <w:pPr>
        <w:jc w:val="both"/>
        <w:rPr>
          <w:rFonts w:hint="eastAsia" w:ascii="宋体" w:hAnsi="宋体" w:eastAsia="宋体" w:cs="宋体"/>
          <w:b/>
          <w:bCs/>
          <w:sz w:val="44"/>
          <w:szCs w:val="44"/>
        </w:rPr>
      </w:pPr>
    </w:p>
    <w:p w14:paraId="7509A7F6">
      <w:pPr>
        <w:jc w:val="center"/>
        <w:rPr>
          <w:rFonts w:hint="eastAsia" w:asciiTheme="majorEastAsia" w:hAnsiTheme="majorEastAsia" w:eastAsiaTheme="majorEastAsia" w:cstheme="majorEastAsia"/>
          <w:b/>
          <w:bCs/>
          <w:color w:val="000000"/>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5</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color w:val="000000"/>
          <w:sz w:val="44"/>
          <w:szCs w:val="44"/>
        </w:rPr>
        <w:t>岳阳市城市照明管理中心</w:t>
      </w:r>
    </w:p>
    <w:p w14:paraId="15E2C14C">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整体支出绩效自评报告</w:t>
      </w:r>
    </w:p>
    <w:p w14:paraId="03E4E8E3">
      <w:pPr>
        <w:jc w:val="center"/>
        <w:rPr>
          <w:rFonts w:hint="eastAsia" w:ascii="宋体" w:hAnsi="宋体" w:eastAsia="宋体" w:cs="宋体"/>
          <w:b/>
          <w:sz w:val="52"/>
          <w:szCs w:val="52"/>
        </w:rPr>
      </w:pPr>
    </w:p>
    <w:p w14:paraId="0A298E32">
      <w:pPr>
        <w:jc w:val="center"/>
        <w:rPr>
          <w:rFonts w:hint="default" w:ascii="Times New Roman" w:hAnsi="Times New Roman" w:eastAsia="楷体_GB2312" w:cs="Times New Roman"/>
          <w:b/>
          <w:sz w:val="32"/>
          <w:szCs w:val="32"/>
        </w:rPr>
      </w:pPr>
    </w:p>
    <w:p w14:paraId="59AD9FE1">
      <w:pPr>
        <w:jc w:val="center"/>
        <w:rPr>
          <w:rFonts w:hint="default" w:ascii="Times New Roman" w:hAnsi="Times New Roman" w:eastAsia="楷体_GB2312" w:cs="Times New Roman"/>
          <w:b/>
          <w:sz w:val="32"/>
          <w:szCs w:val="32"/>
        </w:rPr>
      </w:pPr>
    </w:p>
    <w:p w14:paraId="377288C1">
      <w:pPr>
        <w:jc w:val="center"/>
        <w:rPr>
          <w:rFonts w:hint="default" w:ascii="Times New Roman" w:hAnsi="Times New Roman" w:eastAsia="楷体_GB2312" w:cs="Times New Roman"/>
          <w:b/>
          <w:sz w:val="32"/>
          <w:szCs w:val="32"/>
        </w:rPr>
      </w:pPr>
    </w:p>
    <w:p w14:paraId="2F1691DA">
      <w:pPr>
        <w:jc w:val="center"/>
        <w:rPr>
          <w:rFonts w:hint="default" w:ascii="Times New Roman" w:hAnsi="Times New Roman" w:eastAsia="楷体_GB2312" w:cs="Times New Roman"/>
          <w:b/>
          <w:sz w:val="32"/>
          <w:szCs w:val="32"/>
        </w:rPr>
      </w:pPr>
    </w:p>
    <w:p w14:paraId="7C8CE6AC">
      <w:pPr>
        <w:jc w:val="center"/>
        <w:rPr>
          <w:rFonts w:hint="default" w:ascii="Times New Roman" w:hAnsi="Times New Roman" w:eastAsia="楷体_GB2312" w:cs="Times New Roman"/>
          <w:b/>
          <w:sz w:val="32"/>
          <w:szCs w:val="32"/>
        </w:rPr>
      </w:pPr>
    </w:p>
    <w:p w14:paraId="727F72DA">
      <w:pPr>
        <w:jc w:val="center"/>
        <w:rPr>
          <w:rFonts w:hint="default" w:ascii="Times New Roman" w:hAnsi="Times New Roman" w:eastAsia="楷体_GB2312" w:cs="Times New Roman"/>
          <w:b/>
          <w:sz w:val="32"/>
          <w:szCs w:val="32"/>
        </w:rPr>
      </w:pPr>
    </w:p>
    <w:p w14:paraId="1D3122CC">
      <w:pPr>
        <w:jc w:val="center"/>
        <w:rPr>
          <w:rFonts w:hint="default" w:ascii="Times New Roman" w:hAnsi="Times New Roman" w:eastAsia="黑体" w:cs="Times New Roman"/>
          <w:sz w:val="32"/>
          <w:szCs w:val="32"/>
        </w:rPr>
      </w:pPr>
    </w:p>
    <w:p w14:paraId="75C119D2">
      <w:pPr>
        <w:jc w:val="center"/>
        <w:rPr>
          <w:rFonts w:hint="default" w:ascii="Times New Roman" w:hAnsi="Times New Roman" w:eastAsia="黑体" w:cs="Times New Roman"/>
          <w:sz w:val="32"/>
          <w:szCs w:val="32"/>
        </w:rPr>
      </w:pPr>
    </w:p>
    <w:p w14:paraId="79E6DAC6">
      <w:pPr>
        <w:jc w:val="both"/>
        <w:rPr>
          <w:rFonts w:hint="default" w:ascii="Times New Roman" w:hAnsi="Times New Roman" w:eastAsia="黑体" w:cs="Times New Roman"/>
          <w:sz w:val="32"/>
          <w:szCs w:val="32"/>
        </w:rPr>
      </w:pPr>
    </w:p>
    <w:p w14:paraId="0261DAD9">
      <w:pPr>
        <w:spacing w:line="600" w:lineRule="exact"/>
        <w:ind w:firstLine="1285" w:firstLineChars="400"/>
        <w:jc w:val="both"/>
        <w:rPr>
          <w:rFonts w:hint="eastAsia" w:asciiTheme="majorEastAsia" w:hAnsiTheme="majorEastAsia" w:eastAsiaTheme="majorEastAsia" w:cstheme="majorEastAsia"/>
          <w:b/>
          <w:bCs/>
          <w:sz w:val="32"/>
          <w:szCs w:val="32"/>
          <w:u w:val="single"/>
          <w:lang w:val="en-US" w:eastAsia="zh-CN"/>
        </w:rPr>
      </w:pPr>
      <w:r>
        <w:rPr>
          <w:rFonts w:hint="eastAsia" w:asciiTheme="majorEastAsia" w:hAnsiTheme="majorEastAsia" w:eastAsiaTheme="majorEastAsia" w:cstheme="majorEastAsia"/>
          <w:b/>
          <w:bCs/>
          <w:sz w:val="32"/>
          <w:szCs w:val="32"/>
        </w:rPr>
        <w:t>单位名称：</w:t>
      </w:r>
      <w:r>
        <w:rPr>
          <w:rFonts w:hint="eastAsia" w:asciiTheme="majorEastAsia" w:hAnsiTheme="majorEastAsia" w:eastAsiaTheme="majorEastAsia" w:cstheme="majorEastAsia"/>
          <w:b/>
          <w:bCs/>
          <w:color w:val="000000"/>
          <w:sz w:val="32"/>
          <w:szCs w:val="32"/>
          <w:u w:val="single"/>
        </w:rPr>
        <w:t>岳阳市城市照明管理中心</w:t>
      </w:r>
    </w:p>
    <w:p w14:paraId="24013393">
      <w:pPr>
        <w:spacing w:line="600" w:lineRule="exact"/>
        <w:jc w:val="center"/>
        <w:rPr>
          <w:rFonts w:hint="eastAsia" w:asciiTheme="majorEastAsia" w:hAnsiTheme="majorEastAsia" w:eastAsiaTheme="majorEastAsia" w:cstheme="majorEastAsia"/>
          <w:b/>
          <w:bCs/>
          <w:sz w:val="32"/>
          <w:szCs w:val="32"/>
          <w:lang w:val="en-US" w:eastAsia="zh-CN"/>
        </w:rPr>
      </w:pPr>
    </w:p>
    <w:p w14:paraId="26FCA1C4">
      <w:pPr>
        <w:spacing w:line="600" w:lineRule="exact"/>
        <w:jc w:val="center"/>
        <w:rPr>
          <w:rFonts w:hint="eastAsia" w:asciiTheme="majorEastAsia" w:hAnsiTheme="majorEastAsia" w:eastAsiaTheme="majorEastAsia" w:cstheme="majorEastAsia"/>
          <w:b/>
          <w:bCs/>
          <w:sz w:val="32"/>
          <w:szCs w:val="32"/>
        </w:rPr>
      </w:pPr>
      <w:r>
        <w:rPr>
          <w:rFonts w:hint="eastAsia" w:asciiTheme="majorEastAsia" w:hAnsiTheme="majorEastAsia" w:eastAsiaTheme="majorEastAsia" w:cstheme="majorEastAsia"/>
          <w:b/>
          <w:bCs/>
          <w:sz w:val="32"/>
          <w:szCs w:val="32"/>
          <w:lang w:val="en-US" w:eastAsia="zh-CN"/>
        </w:rPr>
        <w:t>2026</w:t>
      </w:r>
      <w:r>
        <w:rPr>
          <w:rFonts w:hint="eastAsia" w:asciiTheme="majorEastAsia" w:hAnsiTheme="majorEastAsia" w:eastAsiaTheme="majorEastAsia" w:cstheme="majorEastAsia"/>
          <w:b/>
          <w:bCs/>
          <w:sz w:val="32"/>
          <w:szCs w:val="32"/>
        </w:rPr>
        <w:t>年</w:t>
      </w:r>
      <w:r>
        <w:rPr>
          <w:rFonts w:hint="eastAsia" w:asciiTheme="majorEastAsia" w:hAnsiTheme="majorEastAsia" w:eastAsiaTheme="majorEastAsia" w:cstheme="majorEastAsia"/>
          <w:b/>
          <w:bCs/>
          <w:sz w:val="32"/>
          <w:szCs w:val="32"/>
          <w:lang w:val="en-US" w:eastAsia="zh-CN"/>
        </w:rPr>
        <w:t>6</w:t>
      </w:r>
      <w:r>
        <w:rPr>
          <w:rFonts w:hint="eastAsia" w:asciiTheme="majorEastAsia" w:hAnsiTheme="majorEastAsia" w:eastAsiaTheme="majorEastAsia" w:cstheme="majorEastAsia"/>
          <w:b/>
          <w:bCs/>
          <w:sz w:val="32"/>
          <w:szCs w:val="32"/>
        </w:rPr>
        <w:t>月</w:t>
      </w:r>
      <w:r>
        <w:rPr>
          <w:rFonts w:hint="eastAsia" w:asciiTheme="majorEastAsia" w:hAnsiTheme="majorEastAsia" w:eastAsiaTheme="majorEastAsia" w:cstheme="majorEastAsia"/>
          <w:b/>
          <w:bCs/>
          <w:sz w:val="32"/>
          <w:szCs w:val="32"/>
          <w:lang w:val="en-US" w:eastAsia="zh-CN"/>
        </w:rPr>
        <w:t>4</w:t>
      </w:r>
      <w:r>
        <w:rPr>
          <w:rFonts w:hint="eastAsia" w:asciiTheme="majorEastAsia" w:hAnsiTheme="majorEastAsia" w:eastAsiaTheme="majorEastAsia" w:cstheme="majorEastAsia"/>
          <w:b/>
          <w:bCs/>
          <w:sz w:val="32"/>
          <w:szCs w:val="32"/>
        </w:rPr>
        <w:t>日</w:t>
      </w:r>
    </w:p>
    <w:p w14:paraId="5E0D4C3D">
      <w:pPr>
        <w:jc w:val="center"/>
        <w:rPr>
          <w:rFonts w:hint="default" w:ascii="Times New Roman" w:hAnsi="Times New Roman" w:eastAsia="仿宋_GB2312" w:cs="Times New Roman"/>
          <w:sz w:val="32"/>
          <w:szCs w:val="32"/>
        </w:rPr>
      </w:pPr>
    </w:p>
    <w:p w14:paraId="2C02EA4C">
      <w:pPr>
        <w:jc w:val="center"/>
        <w:rPr>
          <w:rFonts w:hint="default"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5A768C58">
      <w:pPr>
        <w:pStyle w:val="9"/>
        <w:rPr>
          <w:rFonts w:hint="default"/>
        </w:rPr>
      </w:pPr>
    </w:p>
    <w:p w14:paraId="7B947899">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color w:val="000000"/>
          <w:sz w:val="44"/>
          <w:szCs w:val="44"/>
        </w:rPr>
        <w:t>岳阳市城市照明管理中心</w:t>
      </w:r>
    </w:p>
    <w:p w14:paraId="3617F35A">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14:paraId="5544C28B">
      <w:pPr>
        <w:keepNext w:val="0"/>
        <w:keepLines w:val="0"/>
        <w:pageBreakBefore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rPr>
      </w:pPr>
    </w:p>
    <w:p w14:paraId="0BCB1548">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单位基本情况</w:t>
      </w:r>
    </w:p>
    <w:p w14:paraId="6103E146">
      <w:pPr>
        <w:keepNext w:val="0"/>
        <w:keepLines w:val="0"/>
        <w:pageBreakBefore w:val="0"/>
        <w:widowControl/>
        <w:kinsoku/>
        <w:wordWrap/>
        <w:overflowPunct/>
        <w:topLinePunct w:val="0"/>
        <w:bidi w:val="0"/>
        <w:adjustRightInd/>
        <w:snapToGrid/>
        <w:spacing w:line="580" w:lineRule="exact"/>
        <w:ind w:firstLine="643" w:firstLineChars="200"/>
        <w:textAlignment w:val="auto"/>
        <w:rPr>
          <w:rFonts w:hint="eastAsia" w:ascii="楷体_GB2312" w:hAnsi="楷体_GB2312" w:eastAsia="楷体_GB2312" w:cs="楷体_GB2312"/>
          <w:kern w:val="0"/>
          <w:sz w:val="32"/>
          <w:szCs w:val="32"/>
        </w:rPr>
      </w:pPr>
      <w:r>
        <w:rPr>
          <w:rFonts w:hint="eastAsia" w:ascii="楷体_GB2312" w:hAnsi="楷体_GB2312" w:eastAsia="楷体_GB2312" w:cs="楷体_GB2312"/>
          <w:b/>
          <w:bCs/>
          <w:kern w:val="0"/>
          <w:sz w:val="32"/>
          <w:szCs w:val="32"/>
        </w:rPr>
        <w:t>（一）职能职责</w:t>
      </w:r>
    </w:p>
    <w:p w14:paraId="446C188C">
      <w:pPr>
        <w:keepNext w:val="0"/>
        <w:keepLines w:val="0"/>
        <w:pageBreakBefore w:val="0"/>
        <w:wordWrap/>
        <w:overflowPunct/>
        <w:topLinePunct w:val="0"/>
        <w:bidi w:val="0"/>
        <w:spacing w:line="580" w:lineRule="exact"/>
        <w:ind w:firstLine="640" w:firstLineChars="200"/>
        <w:jc w:val="left"/>
        <w:rPr>
          <w:rFonts w:hint="eastAsia"/>
          <w:sz w:val="32"/>
          <w:szCs w:val="32"/>
          <w:lang w:eastAsia="zh-CN"/>
        </w:rPr>
      </w:pPr>
      <w:r>
        <w:rPr>
          <w:rFonts w:hint="eastAsia" w:ascii="仿宋_GB2312" w:hAnsi="仿宋_GB2312" w:eastAsia="仿宋_GB2312" w:cs="仿宋_GB2312"/>
          <w:sz w:val="32"/>
          <w:szCs w:val="32"/>
          <w:lang w:eastAsia="zh-CN"/>
        </w:rPr>
        <w:t>岳阳市城市照明管理中心贯彻落实党中央和省委、市委关于城市照明管理工作的方针政策和决策部署。主要职责是:(一)参与拟定城市照明行业发展中长期规划、专项规划、年度计划及城市照明管理考评实施细则;(二)负责权限范围内城市照明项目实施的技术性、事务性工作;(三)负责权限范围内城市照明的智能控制、节能环保、安全生产和应急保障等工作;(四)负责权限范围内城市照明设施设备的日常维护管理工作;(五)负责权限范围内有关城市照明工程的建设工作;(六)完成上级交办的其他任务。</w:t>
      </w:r>
    </w:p>
    <w:p w14:paraId="551786F1">
      <w:pPr>
        <w:keepNext w:val="0"/>
        <w:keepLines w:val="0"/>
        <w:pageBreakBefore w:val="0"/>
        <w:widowControl/>
        <w:kinsoku/>
        <w:wordWrap/>
        <w:overflowPunct/>
        <w:topLinePunct w:val="0"/>
        <w:bidi w:val="0"/>
        <w:adjustRightInd/>
        <w:snapToGrid/>
        <w:spacing w:line="580" w:lineRule="exact"/>
        <w:ind w:firstLine="643" w:firstLineChars="200"/>
        <w:textAlignment w:val="auto"/>
        <w:rPr>
          <w:rFonts w:hint="eastAsia" w:eastAsia="仿宋_GB2312" w:cs="仿宋_GB2312"/>
          <w:b/>
          <w:bCs/>
          <w:kern w:val="0"/>
          <w:sz w:val="32"/>
          <w:szCs w:val="32"/>
        </w:rPr>
      </w:pPr>
      <w:r>
        <w:rPr>
          <w:rFonts w:hint="eastAsia" w:eastAsia="仿宋_GB2312" w:cs="仿宋_GB2312"/>
          <w:b/>
          <w:bCs/>
          <w:kern w:val="0"/>
          <w:sz w:val="32"/>
          <w:szCs w:val="32"/>
        </w:rPr>
        <w:t>（</w:t>
      </w:r>
      <w:r>
        <w:rPr>
          <w:rFonts w:hint="eastAsia" w:ascii="楷体_GB2312" w:hAnsi="楷体_GB2312" w:eastAsia="楷体_GB2312" w:cs="楷体_GB2312"/>
          <w:b/>
          <w:bCs/>
          <w:kern w:val="0"/>
          <w:sz w:val="32"/>
          <w:szCs w:val="32"/>
        </w:rPr>
        <w:t>二）机构设置</w:t>
      </w:r>
    </w:p>
    <w:p w14:paraId="73EE40B1">
      <w:pPr>
        <w:pStyle w:val="3"/>
        <w:keepNext w:val="0"/>
        <w:keepLines w:val="0"/>
        <w:pageBreakBefore w:val="0"/>
        <w:widowControl w:val="0"/>
        <w:numPr>
          <w:ilvl w:val="0"/>
          <w:numId w:val="0"/>
        </w:numPr>
        <w:wordWrap/>
        <w:overflowPunct/>
        <w:topLinePunct w:val="0"/>
        <w:bidi w:val="0"/>
        <w:spacing w:line="580" w:lineRule="exact"/>
        <w:ind w:firstLine="640" w:firstLineChars="200"/>
        <w:jc w:val="left"/>
        <w:rPr>
          <w:rFonts w:hint="default"/>
          <w:sz w:val="32"/>
          <w:szCs w:val="32"/>
        </w:rPr>
      </w:pPr>
      <w:r>
        <w:rPr>
          <w:rFonts w:hint="eastAsia" w:ascii="仿宋_GB2312" w:hAnsi="仿宋_GB2312" w:eastAsia="仿宋_GB2312" w:cs="仿宋_GB2312"/>
          <w:sz w:val="32"/>
          <w:szCs w:val="32"/>
        </w:rPr>
        <w:t>岳阳市城市照明管理中心</w:t>
      </w:r>
      <w:r>
        <w:rPr>
          <w:rFonts w:hint="eastAsia" w:ascii="仿宋_GB2312" w:hAnsi="仿宋_GB2312" w:eastAsia="仿宋_GB2312" w:cs="仿宋_GB2312"/>
          <w:sz w:val="32"/>
          <w:szCs w:val="32"/>
          <w:lang w:val="en-US" w:eastAsia="zh-CN"/>
        </w:rPr>
        <w:t>为市城市管理和综合执法局直属公益一类全额拨款事业单位，</w:t>
      </w:r>
      <w:r>
        <w:rPr>
          <w:rFonts w:hint="eastAsia" w:ascii="仿宋_GB2312" w:hAnsi="仿宋_GB2312" w:eastAsia="仿宋_GB2312" w:cs="仿宋_GB2312"/>
          <w:sz w:val="32"/>
          <w:szCs w:val="32"/>
          <w:lang w:eastAsia="zh-CN"/>
        </w:rPr>
        <w:t>编</w:t>
      </w:r>
      <w:r>
        <w:rPr>
          <w:rFonts w:hint="eastAsia" w:ascii="仿宋_GB2312" w:hAnsi="仿宋_GB2312" w:eastAsia="仿宋_GB2312" w:cs="仿宋_GB2312"/>
          <w:sz w:val="32"/>
          <w:szCs w:val="32"/>
          <w:lang w:val="en-US" w:eastAsia="zh-CN"/>
        </w:rPr>
        <w:t>制</w:t>
      </w:r>
      <w:r>
        <w:rPr>
          <w:rFonts w:hint="eastAsia" w:ascii="仿宋_GB2312" w:hAnsi="仿宋_GB2312" w:eastAsia="仿宋_GB2312" w:cs="仿宋_GB2312"/>
          <w:sz w:val="32"/>
          <w:szCs w:val="32"/>
          <w:lang w:eastAsia="zh-CN"/>
        </w:rPr>
        <w:t>人数</w:t>
      </w:r>
      <w:r>
        <w:rPr>
          <w:rFonts w:hint="eastAsia" w:ascii="仿宋_GB2312" w:hAnsi="仿宋_GB2312" w:eastAsia="仿宋_GB2312" w:cs="仿宋_GB2312"/>
          <w:sz w:val="32"/>
          <w:szCs w:val="32"/>
          <w:lang w:val="en-US" w:eastAsia="zh-CN"/>
        </w:rPr>
        <w:t>62人，设9</w:t>
      </w:r>
      <w:r>
        <w:rPr>
          <w:rFonts w:hint="eastAsia" w:ascii="仿宋_GB2312" w:hAnsi="仿宋_GB2312" w:eastAsia="仿宋_GB2312" w:cs="仿宋_GB2312"/>
          <w:sz w:val="32"/>
          <w:szCs w:val="32"/>
        </w:rPr>
        <w:t>个内设机构</w:t>
      </w:r>
      <w:r>
        <w:rPr>
          <w:rFonts w:hint="eastAsia" w:ascii="仿宋_GB2312" w:hAnsi="仿宋_GB2312" w:eastAsia="仿宋_GB2312" w:cs="仿宋_GB2312"/>
          <w:sz w:val="32"/>
          <w:szCs w:val="32"/>
          <w:lang w:eastAsia="zh-CN"/>
        </w:rPr>
        <w:t>：综合部、财务部、技术服务部、运行管理部、路灯维护一部、路灯维护二部、景观亮化维护部、信息考</w:t>
      </w:r>
      <w:r>
        <w:rPr>
          <w:rFonts w:hint="eastAsia" w:ascii="仿宋" w:hAnsi="仿宋" w:eastAsia="仿宋"/>
          <w:sz w:val="32"/>
          <w:szCs w:val="32"/>
          <w:lang w:eastAsia="zh-CN"/>
        </w:rPr>
        <w:t>评部</w:t>
      </w:r>
      <w:r>
        <w:rPr>
          <w:rFonts w:hint="eastAsia"/>
          <w:sz w:val="32"/>
          <w:szCs w:val="32"/>
          <w:lang w:eastAsia="zh-CN"/>
        </w:rPr>
        <w:t>、安全管理部</w:t>
      </w:r>
      <w:r>
        <w:rPr>
          <w:rFonts w:hint="eastAsia" w:ascii="仿宋" w:hAnsi="仿宋" w:eastAsia="仿宋"/>
          <w:sz w:val="32"/>
          <w:szCs w:val="32"/>
          <w:lang w:eastAsia="zh-CN"/>
        </w:rPr>
        <w:t>。</w:t>
      </w:r>
    </w:p>
    <w:p w14:paraId="513F9F13">
      <w:pPr>
        <w:pStyle w:val="13"/>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二、一般公共预算支出情况</w:t>
      </w:r>
    </w:p>
    <w:p w14:paraId="28078F76">
      <w:pPr>
        <w:pStyle w:val="13"/>
        <w:keepNext w:val="0"/>
        <w:keepLines w:val="0"/>
        <w:pageBreakBefore w:val="0"/>
        <w:widowControl/>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w:t>
      </w:r>
      <w:r>
        <w:rPr>
          <w:rFonts w:hint="eastAsia" w:ascii="楷体_GB2312" w:hAnsi="楷体_GB2312" w:eastAsia="楷体_GB2312" w:cs="楷体_GB2312"/>
          <w:b/>
          <w:sz w:val="32"/>
          <w:szCs w:val="32"/>
        </w:rPr>
        <w:t>基本支出情况</w:t>
      </w:r>
    </w:p>
    <w:p w14:paraId="0D826EA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val="en-US" w:eastAsia="zh-CN"/>
        </w:rPr>
        <w:t>度，</w:t>
      </w:r>
      <w:r>
        <w:rPr>
          <w:rFonts w:hint="eastAsia" w:ascii="仿宋_GB2312" w:hAnsi="仿宋_GB2312" w:eastAsia="仿宋_GB2312" w:cs="仿宋_GB2312"/>
          <w:sz w:val="32"/>
          <w:szCs w:val="32"/>
        </w:rPr>
        <w:t>一般公共预算</w:t>
      </w:r>
      <w:r>
        <w:rPr>
          <w:rFonts w:hint="eastAsia" w:ascii="仿宋_GB2312" w:hAnsi="仿宋_GB2312" w:eastAsia="仿宋_GB2312" w:cs="仿宋_GB2312"/>
          <w:bCs/>
          <w:sz w:val="32"/>
          <w:szCs w:val="32"/>
        </w:rPr>
        <w:t>基本支出</w:t>
      </w:r>
      <w:r>
        <w:rPr>
          <w:rFonts w:hint="eastAsia" w:ascii="仿宋_GB2312" w:hAnsi="仿宋_GB2312" w:eastAsia="仿宋_GB2312" w:cs="仿宋_GB2312"/>
          <w:bCs/>
          <w:sz w:val="32"/>
          <w:szCs w:val="32"/>
          <w:lang w:val="en-US" w:eastAsia="zh-CN"/>
        </w:rPr>
        <w:t>总金额为1359.78</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其中</w:t>
      </w:r>
      <w:r>
        <w:rPr>
          <w:rFonts w:hint="eastAsia" w:ascii="仿宋_GB2312" w:hAnsi="仿宋_GB2312" w:eastAsia="仿宋_GB2312" w:cs="仿宋_GB2312"/>
          <w:bCs/>
          <w:color w:val="auto"/>
          <w:sz w:val="32"/>
          <w:szCs w:val="32"/>
        </w:rPr>
        <w:t>人员经费支出</w:t>
      </w:r>
      <w:r>
        <w:rPr>
          <w:rFonts w:hint="eastAsia" w:ascii="仿宋_GB2312" w:hAnsi="仿宋_GB2312" w:eastAsia="仿宋_GB2312" w:cs="仿宋_GB2312"/>
          <w:bCs/>
          <w:color w:val="auto"/>
          <w:sz w:val="32"/>
          <w:szCs w:val="32"/>
          <w:lang w:val="en-US" w:eastAsia="zh-CN"/>
        </w:rPr>
        <w:t>1223.72</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sz w:val="32"/>
          <w:szCs w:val="32"/>
          <w:lang w:val="en-US" w:eastAsia="zh-CN"/>
        </w:rPr>
        <w:t>主要用于</w:t>
      </w:r>
      <w:r>
        <w:rPr>
          <w:rFonts w:hint="eastAsia" w:ascii="仿宋_GB2312" w:hAnsi="仿宋_GB2312" w:eastAsia="仿宋_GB2312" w:cs="仿宋_GB2312"/>
          <w:bCs/>
          <w:sz w:val="32"/>
          <w:szCs w:val="32"/>
          <w:highlight w:val="none"/>
          <w:lang w:val="en-US" w:eastAsia="zh-CN"/>
        </w:rPr>
        <w:t>职工工资、津补贴、绩效工资及社会保障缴费等支出。</w:t>
      </w:r>
      <w:r>
        <w:rPr>
          <w:rFonts w:hint="eastAsia" w:ascii="仿宋_GB2312" w:hAnsi="仿宋_GB2312" w:eastAsia="仿宋_GB2312" w:cs="仿宋_GB2312"/>
          <w:bCs/>
          <w:color w:val="auto"/>
          <w:sz w:val="32"/>
          <w:szCs w:val="32"/>
        </w:rPr>
        <w:t>公用</w:t>
      </w:r>
      <w:r>
        <w:rPr>
          <w:rFonts w:hint="eastAsia" w:ascii="仿宋_GB2312" w:hAnsi="仿宋_GB2312" w:eastAsia="仿宋_GB2312" w:cs="仿宋_GB2312"/>
          <w:bCs/>
          <w:color w:val="auto"/>
          <w:sz w:val="32"/>
          <w:szCs w:val="32"/>
          <w:lang w:val="en-US" w:eastAsia="zh-CN"/>
        </w:rPr>
        <w:t>经费</w:t>
      </w:r>
      <w:r>
        <w:rPr>
          <w:rFonts w:hint="eastAsia" w:ascii="仿宋_GB2312" w:hAnsi="仿宋_GB2312" w:eastAsia="仿宋_GB2312" w:cs="仿宋_GB2312"/>
          <w:bCs/>
          <w:color w:val="auto"/>
          <w:sz w:val="32"/>
          <w:szCs w:val="32"/>
        </w:rPr>
        <w:t>支出</w:t>
      </w:r>
      <w:r>
        <w:rPr>
          <w:rFonts w:hint="eastAsia" w:ascii="仿宋_GB2312" w:hAnsi="仿宋_GB2312" w:eastAsia="仿宋_GB2312" w:cs="仿宋_GB2312"/>
          <w:bCs/>
          <w:color w:val="auto"/>
          <w:sz w:val="32"/>
          <w:szCs w:val="32"/>
          <w:lang w:val="en-US" w:eastAsia="zh-CN"/>
        </w:rPr>
        <w:t>136.05</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sz w:val="32"/>
          <w:szCs w:val="32"/>
          <w:lang w:val="en-US" w:eastAsia="zh-CN"/>
        </w:rPr>
        <w:t>主要用于办公费、印刷费、水电费、邮电费、物业费、差旅费、维修（护）费、租赁费、会议费、培训费、公务接待费、劳务费、委托业务费、工会经费、公务用车运行费、其他交通费用、其他商品和服务支出等单位日常运行支出。</w:t>
      </w:r>
    </w:p>
    <w:p w14:paraId="20F884FF">
      <w:pPr>
        <w:keepNext w:val="0"/>
        <w:keepLines w:val="0"/>
        <w:pageBreakBefore w:val="0"/>
        <w:widowControl w:val="0"/>
        <w:kinsoku/>
        <w:wordWrap/>
        <w:overflowPunct/>
        <w:topLinePunct w:val="0"/>
        <w:autoSpaceDE/>
        <w:autoSpaceDN/>
        <w:bidi w:val="0"/>
        <w:spacing w:line="580" w:lineRule="exact"/>
        <w:ind w:firstLine="640" w:firstLineChars="200"/>
        <w:jc w:val="left"/>
        <w:textAlignment w:val="auto"/>
        <w:rPr>
          <w:rFonts w:hint="default" w:ascii="Times New Roman" w:hAnsi="Times New Roman" w:eastAsia="楷体_GB2312" w:cs="Times New Roman"/>
          <w:b/>
          <w:sz w:val="32"/>
          <w:szCs w:val="32"/>
        </w:rPr>
      </w:pPr>
      <w:r>
        <w:rPr>
          <w:rFonts w:hint="eastAsia" w:ascii="仿宋_GB2312" w:hAnsi="仿宋_GB2312" w:eastAsia="仿宋_GB2312" w:cs="仿宋_GB2312"/>
          <w:bCs/>
          <w:sz w:val="32"/>
          <w:szCs w:val="32"/>
          <w:lang w:val="en-US" w:eastAsia="zh-CN"/>
        </w:rPr>
        <w:t>2025</w:t>
      </w:r>
      <w:r>
        <w:rPr>
          <w:rFonts w:hint="eastAsia" w:ascii="仿宋_GB2312" w:hAnsi="仿宋_GB2312" w:eastAsia="仿宋_GB2312" w:cs="仿宋_GB2312"/>
          <w:bCs/>
          <w:sz w:val="32"/>
          <w:szCs w:val="32"/>
        </w:rPr>
        <w:t>年度</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公务接待费</w:t>
      </w:r>
      <w:r>
        <w:rPr>
          <w:rFonts w:hint="eastAsia" w:ascii="仿宋_GB2312" w:hAnsi="仿宋_GB2312" w:eastAsia="仿宋_GB2312" w:cs="仿宋_GB2312"/>
          <w:bCs/>
          <w:sz w:val="32"/>
          <w:szCs w:val="32"/>
          <w:lang w:eastAsia="zh-CN"/>
        </w:rPr>
        <w:t>预算</w:t>
      </w:r>
      <w:r>
        <w:rPr>
          <w:rFonts w:hint="default" w:ascii="仿宋_GB2312" w:hAnsi="仿宋_GB2312" w:eastAsia="仿宋_GB2312" w:cs="仿宋_GB2312"/>
          <w:bCs/>
          <w:sz w:val="32"/>
          <w:szCs w:val="32"/>
          <w:lang w:val="en" w:eastAsia="zh-CN"/>
        </w:rPr>
        <w:t>1</w:t>
      </w:r>
      <w:r>
        <w:rPr>
          <w:rFonts w:hint="eastAsia" w:ascii="仿宋_GB2312" w:hAnsi="仿宋_GB2312" w:eastAsia="仿宋_GB2312" w:cs="仿宋_GB2312"/>
          <w:bCs/>
          <w:sz w:val="32"/>
          <w:szCs w:val="32"/>
          <w:lang w:val="en-US" w:eastAsia="zh-CN"/>
        </w:rPr>
        <w:t>.00万元，实际</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0.14</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公务用车购置及</w:t>
      </w:r>
      <w:r>
        <w:rPr>
          <w:rFonts w:hint="eastAsia" w:ascii="仿宋_GB2312" w:hAnsi="仿宋_GB2312" w:eastAsia="仿宋_GB2312" w:cs="仿宋_GB2312"/>
          <w:bCs/>
          <w:sz w:val="32"/>
          <w:szCs w:val="32"/>
        </w:rPr>
        <w:t>公务用车运行维护费支出</w:t>
      </w:r>
      <w:r>
        <w:rPr>
          <w:rFonts w:hint="eastAsia" w:ascii="仿宋_GB2312" w:hAnsi="仿宋_GB2312" w:eastAsia="仿宋_GB2312" w:cs="仿宋_GB2312"/>
          <w:bCs/>
          <w:sz w:val="32"/>
          <w:szCs w:val="32"/>
          <w:lang w:eastAsia="zh-CN"/>
        </w:rPr>
        <w:t>预算金额为</w:t>
      </w:r>
      <w:r>
        <w:rPr>
          <w:rFonts w:hint="default" w:ascii="仿宋_GB2312" w:hAnsi="仿宋_GB2312" w:eastAsia="仿宋_GB2312" w:cs="仿宋_GB2312"/>
          <w:bCs/>
          <w:sz w:val="32"/>
          <w:szCs w:val="32"/>
          <w:lang w:val="en-US" w:eastAsia="zh-CN"/>
        </w:rPr>
        <w:t>45</w:t>
      </w:r>
      <w:r>
        <w:rPr>
          <w:rFonts w:hint="eastAsia" w:ascii="仿宋_GB2312" w:hAnsi="仿宋_GB2312" w:eastAsia="仿宋_GB2312" w:cs="仿宋_GB2312"/>
          <w:bCs/>
          <w:sz w:val="32"/>
          <w:szCs w:val="32"/>
          <w:lang w:val="en-US" w:eastAsia="zh-CN"/>
        </w:rPr>
        <w:t>万元,实际支出金额为</w:t>
      </w:r>
      <w:r>
        <w:rPr>
          <w:rFonts w:hint="default" w:ascii="仿宋_GB2312" w:hAnsi="仿宋_GB2312" w:eastAsia="仿宋_GB2312" w:cs="仿宋_GB2312"/>
          <w:bCs/>
          <w:sz w:val="32"/>
          <w:szCs w:val="32"/>
          <w:lang w:val="en-US" w:eastAsia="zh-CN"/>
        </w:rPr>
        <w:t>45</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（其中</w:t>
      </w:r>
      <w:r>
        <w:rPr>
          <w:rFonts w:hint="eastAsia" w:ascii="仿宋_GB2312" w:hAnsi="仿宋_GB2312" w:eastAsia="仿宋_GB2312" w:cs="仿宋_GB2312"/>
          <w:bCs/>
          <w:sz w:val="32"/>
          <w:szCs w:val="32"/>
        </w:rPr>
        <w:t>公务用车运行维护费</w:t>
      </w:r>
      <w:r>
        <w:rPr>
          <w:rFonts w:hint="eastAsia" w:ascii="仿宋_GB2312" w:hAnsi="仿宋_GB2312" w:eastAsia="仿宋_GB2312" w:cs="仿宋_GB2312"/>
          <w:bCs/>
          <w:sz w:val="32"/>
          <w:szCs w:val="32"/>
          <w:lang w:val="en-US" w:eastAsia="zh-CN"/>
        </w:rPr>
        <w:t>支出</w:t>
      </w:r>
      <w:r>
        <w:rPr>
          <w:rFonts w:hint="default" w:ascii="仿宋_GB2312" w:hAnsi="仿宋_GB2312" w:eastAsia="仿宋_GB2312" w:cs="仿宋_GB2312"/>
          <w:bCs/>
          <w:sz w:val="32"/>
          <w:szCs w:val="32"/>
          <w:lang w:val="en-US" w:eastAsia="zh-CN"/>
        </w:rPr>
        <w:t>45</w:t>
      </w:r>
      <w:r>
        <w:rPr>
          <w:rFonts w:hint="eastAsia" w:ascii="仿宋_GB2312" w:hAnsi="仿宋_GB2312" w:eastAsia="仿宋_GB2312" w:cs="仿宋_GB2312"/>
          <w:bCs/>
          <w:sz w:val="32"/>
          <w:szCs w:val="32"/>
          <w:lang w:val="en-US" w:eastAsia="zh-CN"/>
        </w:rPr>
        <w:t>万元）</w:t>
      </w:r>
      <w:r>
        <w:rPr>
          <w:rFonts w:hint="eastAsia" w:ascii="仿宋_GB2312" w:hAnsi="仿宋_GB2312" w:eastAsia="仿宋_GB2312" w:cs="仿宋_GB2312"/>
          <w:bCs/>
          <w:sz w:val="32"/>
          <w:szCs w:val="32"/>
          <w:lang w:eastAsia="zh-CN"/>
        </w:rPr>
        <w:t>，因</w:t>
      </w:r>
      <w:r>
        <w:rPr>
          <w:rFonts w:hint="eastAsia" w:ascii="仿宋_GB2312" w:hAnsi="仿宋_GB2312" w:eastAsia="仿宋_GB2312" w:cs="仿宋_GB2312"/>
          <w:bCs/>
          <w:sz w:val="32"/>
          <w:szCs w:val="32"/>
        </w:rPr>
        <w:t>公出国</w:t>
      </w:r>
      <w:r>
        <w:rPr>
          <w:rFonts w:hint="eastAsia" w:ascii="仿宋_GB2312" w:hAnsi="仿宋_GB2312" w:eastAsia="仿宋_GB2312" w:cs="仿宋_GB2312"/>
          <w:bCs/>
          <w:sz w:val="32"/>
          <w:szCs w:val="32"/>
          <w:lang w:eastAsia="zh-CN"/>
        </w:rPr>
        <w:t>费用</w:t>
      </w:r>
      <w:r>
        <w:rPr>
          <w:rFonts w:hint="eastAsia" w:ascii="仿宋_GB2312" w:hAnsi="仿宋_GB2312" w:eastAsia="仿宋_GB2312" w:cs="仿宋_GB2312"/>
          <w:bCs/>
          <w:sz w:val="32"/>
          <w:szCs w:val="32"/>
          <w:lang w:val="en-US" w:eastAsia="zh-CN"/>
        </w:rPr>
        <w:t>预算与实际</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均为</w:t>
      </w:r>
      <w:r>
        <w:rPr>
          <w:rFonts w:hint="eastAsia" w:ascii="仿宋_GB2312" w:hAnsi="仿宋_GB2312" w:eastAsia="仿宋_GB2312" w:cs="仿宋_GB2312"/>
          <w:bCs/>
          <w:sz w:val="32"/>
          <w:szCs w:val="32"/>
        </w:rPr>
        <w:t>0万元</w:t>
      </w:r>
      <w:r>
        <w:rPr>
          <w:rFonts w:hint="eastAsia" w:ascii="仿宋_GB2312" w:hAnsi="仿宋_GB2312" w:eastAsia="仿宋_GB2312" w:cs="仿宋_GB2312"/>
          <w:bCs/>
          <w:sz w:val="32"/>
          <w:szCs w:val="32"/>
          <w:lang w:eastAsia="zh-CN"/>
        </w:rPr>
        <w:t>，“三公经费”支出</w:t>
      </w:r>
      <w:r>
        <w:rPr>
          <w:rFonts w:hint="eastAsia" w:ascii="仿宋_GB2312" w:hAnsi="仿宋_GB2312" w:eastAsia="仿宋_GB2312" w:cs="仿宋_GB2312"/>
          <w:bCs/>
          <w:sz w:val="32"/>
          <w:szCs w:val="32"/>
          <w:lang w:val="en-US" w:eastAsia="zh-CN"/>
        </w:rPr>
        <w:t>总金额为</w:t>
      </w:r>
      <w:r>
        <w:rPr>
          <w:rFonts w:hint="default" w:ascii="仿宋_GB2312" w:hAnsi="仿宋_GB2312" w:eastAsia="仿宋_GB2312" w:cs="仿宋_GB2312"/>
          <w:bCs/>
          <w:sz w:val="32"/>
          <w:szCs w:val="32"/>
          <w:lang w:val="en-US" w:eastAsia="zh-CN"/>
        </w:rPr>
        <w:t>45.14</w:t>
      </w:r>
      <w:r>
        <w:rPr>
          <w:rFonts w:hint="eastAsia" w:ascii="仿宋_GB2312" w:hAnsi="仿宋_GB2312" w:eastAsia="仿宋_GB2312" w:cs="仿宋_GB2312"/>
          <w:bCs/>
          <w:sz w:val="32"/>
          <w:szCs w:val="32"/>
          <w:lang w:val="en-US" w:eastAsia="zh-CN"/>
        </w:rPr>
        <w:t>万元，严格</w:t>
      </w:r>
      <w:r>
        <w:rPr>
          <w:rFonts w:hint="eastAsia" w:ascii="仿宋_GB2312" w:hAnsi="仿宋_GB2312" w:eastAsia="仿宋_GB2312" w:cs="仿宋_GB2312"/>
          <w:bCs/>
          <w:sz w:val="32"/>
          <w:szCs w:val="32"/>
          <w:lang w:eastAsia="zh-CN"/>
        </w:rPr>
        <w:t>控制在年初预算之内</w:t>
      </w:r>
      <w:r>
        <w:rPr>
          <w:rFonts w:hint="eastAsia" w:ascii="仿宋_GB2312" w:hAnsi="仿宋_GB2312" w:eastAsia="仿宋_GB2312" w:cs="仿宋_GB2312"/>
          <w:bCs/>
          <w:sz w:val="32"/>
          <w:szCs w:val="32"/>
        </w:rPr>
        <w:t>。</w:t>
      </w:r>
    </w:p>
    <w:p w14:paraId="5247CAFD">
      <w:pPr>
        <w:pStyle w:val="13"/>
        <w:keepNext w:val="0"/>
        <w:keepLines w:val="0"/>
        <w:pageBreakBefore w:val="0"/>
        <w:widowControl/>
        <w:numPr>
          <w:ilvl w:val="0"/>
          <w:numId w:val="2"/>
        </w:numPr>
        <w:kinsoku/>
        <w:wordWrap/>
        <w:overflowPunct/>
        <w:topLinePunct w:val="0"/>
        <w:autoSpaceDE/>
        <w:autoSpaceDN/>
        <w:bidi w:val="0"/>
        <w:adjustRightInd/>
        <w:snapToGrid/>
        <w:spacing w:line="580" w:lineRule="exact"/>
        <w:ind w:left="-83" w:leftChars="0" w:firstLine="643" w:firstLineChars="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项目支出情况</w:t>
      </w:r>
    </w:p>
    <w:p w14:paraId="0C2F52EC">
      <w:pPr>
        <w:pStyle w:val="13"/>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val="en-US" w:eastAsia="zh-CN"/>
        </w:rPr>
        <w:t>度</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color w:val="auto"/>
          <w:sz w:val="32"/>
          <w:szCs w:val="32"/>
        </w:rPr>
        <w:t>项目资金</w:t>
      </w:r>
      <w:r>
        <w:rPr>
          <w:rFonts w:hint="eastAsia" w:ascii="仿宋_GB2312" w:hAnsi="仿宋_GB2312" w:eastAsia="仿宋_GB2312" w:cs="仿宋_GB2312"/>
          <w:bCs/>
          <w:color w:val="auto"/>
          <w:sz w:val="32"/>
          <w:szCs w:val="32"/>
          <w:lang w:val="en-US" w:eastAsia="zh-CN"/>
        </w:rPr>
        <w:t>年初</w:t>
      </w:r>
      <w:r>
        <w:rPr>
          <w:rFonts w:hint="eastAsia" w:ascii="仿宋_GB2312" w:hAnsi="仿宋_GB2312" w:eastAsia="仿宋_GB2312" w:cs="仿宋_GB2312"/>
          <w:color w:val="auto"/>
          <w:sz w:val="32"/>
          <w:szCs w:val="32"/>
        </w:rPr>
        <w:t>一般公共</w:t>
      </w:r>
      <w:r>
        <w:rPr>
          <w:rFonts w:hint="eastAsia" w:ascii="仿宋_GB2312" w:hAnsi="仿宋_GB2312" w:eastAsia="仿宋_GB2312" w:cs="仿宋_GB2312"/>
          <w:bCs/>
          <w:color w:val="auto"/>
          <w:sz w:val="32"/>
          <w:szCs w:val="32"/>
        </w:rPr>
        <w:t>预算</w:t>
      </w:r>
      <w:r>
        <w:rPr>
          <w:rFonts w:hint="eastAsia" w:ascii="仿宋_GB2312" w:hAnsi="仿宋_GB2312" w:eastAsia="仿宋_GB2312" w:cs="仿宋_GB2312"/>
          <w:bCs/>
          <w:color w:val="auto"/>
          <w:sz w:val="32"/>
          <w:szCs w:val="32"/>
          <w:lang w:eastAsia="zh-CN"/>
        </w:rPr>
        <w:t>金额为</w:t>
      </w:r>
      <w:r>
        <w:rPr>
          <w:rFonts w:hint="eastAsia" w:ascii="仿宋_GB2312" w:hAnsi="仿宋_GB2312" w:eastAsia="仿宋_GB2312" w:cs="仿宋_GB2312"/>
          <w:bCs/>
          <w:color w:val="auto"/>
          <w:sz w:val="32"/>
          <w:szCs w:val="32"/>
          <w:lang w:val="en-US" w:eastAsia="zh-CN"/>
        </w:rPr>
        <w:t>3189</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color w:val="auto"/>
          <w:sz w:val="32"/>
          <w:szCs w:val="32"/>
          <w:lang w:eastAsia="zh-CN"/>
        </w:rPr>
        <w:t>年中预算无调整</w:t>
      </w:r>
      <w:r>
        <w:rPr>
          <w:rFonts w:hint="eastAsia" w:ascii="仿宋_GB2312" w:hAnsi="仿宋_GB2312" w:eastAsia="仿宋_GB2312" w:cs="仿宋_GB2312"/>
          <w:bCs/>
          <w:sz w:val="32"/>
          <w:szCs w:val="32"/>
          <w:lang w:val="en-US" w:eastAsia="zh-CN"/>
        </w:rPr>
        <w:t>，实际</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总金额为3189</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val="en-US" w:eastAsia="zh-CN"/>
        </w:rPr>
        <w:t>其中：</w:t>
      </w:r>
      <w:r>
        <w:rPr>
          <w:rFonts w:hint="eastAsia" w:ascii="仿宋_GB2312" w:hAnsi="仿宋_GB2312" w:eastAsia="仿宋_GB2312" w:cs="仿宋_GB2312"/>
          <w:sz w:val="32"/>
          <w:szCs w:val="32"/>
          <w:lang w:eastAsia="zh-CN"/>
        </w:rPr>
        <w:t>路灯及公用亮化设施维护费和运行电费</w:t>
      </w:r>
      <w:r>
        <w:rPr>
          <w:rFonts w:hint="eastAsia" w:ascii="仿宋_GB2312" w:hAnsi="仿宋_GB2312" w:eastAsia="仿宋_GB2312" w:cs="仿宋_GB2312"/>
          <w:sz w:val="32"/>
          <w:szCs w:val="32"/>
          <w:lang w:val="en-US" w:eastAsia="zh-CN"/>
        </w:rPr>
        <w:t>支出2689万元、全城临街楼宇亮化设施电费支出500万元。主要用于</w:t>
      </w:r>
      <w:r>
        <w:rPr>
          <w:rFonts w:hint="eastAsia" w:ascii="仿宋_GB2312" w:hAnsi="仿宋_GB2312" w:eastAsia="仿宋_GB2312" w:cs="仿宋_GB2312"/>
          <w:color w:val="000000"/>
          <w:sz w:val="32"/>
          <w:szCs w:val="32"/>
        </w:rPr>
        <w:t>城区主次干道及小街巷路灯和公用亮化设施</w:t>
      </w:r>
      <w:r>
        <w:rPr>
          <w:rFonts w:hint="eastAsia" w:ascii="仿宋_GB2312" w:hAnsi="仿宋_GB2312" w:eastAsia="仿宋_GB2312" w:cs="仿宋_GB2312"/>
          <w:color w:val="000000"/>
          <w:sz w:val="32"/>
          <w:szCs w:val="32"/>
          <w:lang w:val="en-US" w:eastAsia="zh-CN"/>
        </w:rPr>
        <w:t>维护及</w:t>
      </w:r>
      <w:r>
        <w:rPr>
          <w:rFonts w:hint="eastAsia" w:ascii="仿宋_GB2312" w:hAnsi="仿宋_GB2312" w:eastAsia="仿宋_GB2312" w:cs="仿宋_GB2312"/>
          <w:color w:val="000000"/>
          <w:sz w:val="32"/>
          <w:szCs w:val="32"/>
        </w:rPr>
        <w:t>运行</w:t>
      </w:r>
      <w:r>
        <w:rPr>
          <w:rFonts w:hint="eastAsia" w:ascii="仿宋_GB2312" w:hAnsi="仿宋_GB2312" w:eastAsia="仿宋_GB2312" w:cs="仿宋_GB2312"/>
          <w:color w:val="000000"/>
          <w:sz w:val="32"/>
          <w:szCs w:val="32"/>
          <w:lang w:val="en-US" w:eastAsia="zh-CN"/>
        </w:rPr>
        <w:t>电费，</w:t>
      </w:r>
      <w:r>
        <w:rPr>
          <w:rFonts w:hint="eastAsia" w:ascii="仿宋_GB2312" w:hAnsi="仿宋_GB2312" w:eastAsia="仿宋_GB2312" w:cs="仿宋_GB2312"/>
          <w:color w:val="000000"/>
          <w:sz w:val="32"/>
          <w:szCs w:val="32"/>
        </w:rPr>
        <w:t>城区使用年限较长的变压器、配电箱以及高杆灯大修</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城区</w:t>
      </w:r>
      <w:r>
        <w:rPr>
          <w:rFonts w:hint="eastAsia" w:ascii="仿宋_GB2312" w:hAnsi="仿宋_GB2312" w:eastAsia="仿宋_GB2312" w:cs="仿宋_GB2312"/>
          <w:color w:val="000000"/>
          <w:sz w:val="32"/>
          <w:szCs w:val="32"/>
        </w:rPr>
        <w:t>景观亮化大修</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全城临街楼宇亮化设施维护费</w:t>
      </w:r>
      <w:r>
        <w:rPr>
          <w:rFonts w:hint="eastAsia" w:ascii="仿宋_GB2312" w:hAnsi="仿宋_GB2312" w:eastAsia="仿宋_GB2312" w:cs="仿宋_GB2312"/>
          <w:color w:val="000000"/>
          <w:sz w:val="32"/>
          <w:szCs w:val="32"/>
          <w:lang w:val="en-US" w:eastAsia="zh-CN"/>
        </w:rPr>
        <w:t>及</w:t>
      </w:r>
      <w:r>
        <w:rPr>
          <w:rFonts w:hint="eastAsia" w:ascii="仿宋_GB2312" w:hAnsi="仿宋_GB2312" w:eastAsia="仿宋_GB2312" w:cs="仿宋_GB2312"/>
          <w:color w:val="000000"/>
          <w:sz w:val="32"/>
          <w:szCs w:val="32"/>
        </w:rPr>
        <w:t>亮化电费</w:t>
      </w:r>
      <w:r>
        <w:rPr>
          <w:rFonts w:hint="eastAsia" w:ascii="仿宋_GB2312" w:hAnsi="仿宋_GB2312" w:eastAsia="仿宋_GB2312" w:cs="仿宋_GB2312"/>
          <w:color w:val="000000"/>
          <w:sz w:val="32"/>
          <w:szCs w:val="32"/>
          <w:lang w:val="en-US" w:eastAsia="zh-CN"/>
        </w:rPr>
        <w:t>和路灯节能改造等支出。</w:t>
      </w:r>
    </w:p>
    <w:p w14:paraId="27B5DD5B">
      <w:pPr>
        <w:pStyle w:val="13"/>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政府性基金预算</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国有资本经营预算</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社会保险基金预算支出情况</w:t>
      </w:r>
    </w:p>
    <w:p w14:paraId="06385E16">
      <w:pPr>
        <w:pStyle w:val="13"/>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rPr>
      </w:pPr>
      <w:r>
        <w:rPr>
          <w:rFonts w:hint="eastAsia" w:ascii="仿宋_GB2312" w:hAnsi="仿宋_GB2312" w:eastAsia="仿宋_GB2312" w:cs="仿宋_GB2312"/>
          <w:sz w:val="32"/>
          <w:szCs w:val="32"/>
          <w:lang w:val="en-US" w:eastAsia="zh-CN"/>
        </w:rPr>
        <w:t>我单位无</w:t>
      </w:r>
      <w:r>
        <w:rPr>
          <w:rFonts w:hint="eastAsia" w:ascii="仿宋_GB2312" w:hAnsi="仿宋_GB2312" w:eastAsia="仿宋_GB2312" w:cs="仿宋_GB2312"/>
          <w:sz w:val="32"/>
          <w:szCs w:val="32"/>
        </w:rPr>
        <w:t>政府性基金预算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国有资本经营预算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社会保险基金预算支出</w:t>
      </w:r>
      <w:r>
        <w:rPr>
          <w:rFonts w:hint="eastAsia" w:ascii="仿宋_GB2312" w:hAnsi="仿宋_GB2312" w:eastAsia="仿宋_GB2312" w:cs="仿宋_GB2312"/>
          <w:sz w:val="32"/>
          <w:szCs w:val="32"/>
          <w:lang w:val="en-US" w:eastAsia="zh-CN"/>
        </w:rPr>
        <w:t>。</w:t>
      </w:r>
    </w:p>
    <w:p w14:paraId="01EB814D">
      <w:pPr>
        <w:keepNext w:val="0"/>
        <w:keepLines w:val="0"/>
        <w:pageBreakBefore w:val="0"/>
        <w:widowControl/>
        <w:numPr>
          <w:ilvl w:val="0"/>
          <w:numId w:val="3"/>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部门整体支出绩效情况</w:t>
      </w:r>
    </w:p>
    <w:p w14:paraId="693DBADA">
      <w:pPr>
        <w:pStyle w:val="4"/>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jc w:val="both"/>
        <w:textAlignment w:val="auto"/>
        <w:rPr>
          <w:rFonts w:hint="eastAsia" w:ascii="楷体_GB2312" w:hAnsi="楷体_GB2312" w:eastAsia="楷体_GB2312" w:cs="楷体_GB2312"/>
          <w:b/>
          <w:bCs w:val="0"/>
          <w:color w:val="auto"/>
          <w:kern w:val="2"/>
          <w:sz w:val="32"/>
          <w:szCs w:val="32"/>
          <w:highlight w:val="none"/>
          <w:lang w:val="en-US" w:eastAsia="zh-CN" w:bidi="ar-SA"/>
        </w:rPr>
      </w:pPr>
      <w:r>
        <w:rPr>
          <w:rFonts w:hint="eastAsia" w:ascii="楷体_GB2312" w:hAnsi="楷体_GB2312" w:eastAsia="楷体_GB2312" w:cs="楷体_GB2312"/>
          <w:b/>
          <w:bCs w:val="0"/>
          <w:color w:val="auto"/>
          <w:kern w:val="2"/>
          <w:sz w:val="32"/>
          <w:szCs w:val="32"/>
          <w:highlight w:val="none"/>
          <w:lang w:val="en-US" w:eastAsia="zh-CN" w:bidi="ar-SA"/>
        </w:rPr>
        <w:t>（一）年度绩效目标及完成情况</w:t>
      </w:r>
    </w:p>
    <w:p w14:paraId="43BB77E0">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lang w:val="en-US" w:eastAsia="zh-CN"/>
        </w:rPr>
        <w:t>目标1：</w:t>
      </w:r>
      <w:r>
        <w:rPr>
          <w:rFonts w:hint="eastAsia" w:ascii="仿宋_GB2312" w:hAnsi="仿宋_GB2312" w:eastAsia="仿宋_GB2312" w:cs="仿宋_GB2312"/>
          <w:color w:val="000000"/>
          <w:sz w:val="32"/>
          <w:szCs w:val="32"/>
          <w:highlight w:val="none"/>
        </w:rPr>
        <w:t>不断提高维护管养水平和公共服务意识，保障城区主次干道（26777盏）及小街巷路灯（4229盏）和公用亮化设施（功率4008.26KW）正常运行</w:t>
      </w:r>
      <w:r>
        <w:rPr>
          <w:rFonts w:hint="eastAsia" w:ascii="仿宋_GB2312" w:hAnsi="仿宋_GB2312" w:eastAsia="仿宋_GB2312" w:cs="仿宋_GB2312"/>
          <w:color w:val="000000"/>
          <w:sz w:val="32"/>
          <w:szCs w:val="32"/>
          <w:highlight w:val="none"/>
          <w:lang w:eastAsia="zh-CN"/>
        </w:rPr>
        <w:t>；</w:t>
      </w:r>
    </w:p>
    <w:p w14:paraId="0163EDDA">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lang w:val="en-US" w:eastAsia="zh-CN"/>
        </w:rPr>
        <w:t>目标2：</w:t>
      </w:r>
      <w:r>
        <w:rPr>
          <w:rFonts w:hint="eastAsia" w:ascii="仿宋_GB2312" w:hAnsi="仿宋_GB2312" w:eastAsia="仿宋_GB2312" w:cs="仿宋_GB2312"/>
          <w:color w:val="000000"/>
          <w:sz w:val="32"/>
          <w:szCs w:val="32"/>
          <w:highlight w:val="none"/>
        </w:rPr>
        <w:t>美化、亮化城市，提升岳阳城市形象，方便市民夜间出行，保障夜间道路安全；</w:t>
      </w:r>
    </w:p>
    <w:p w14:paraId="1C8A7726">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lang w:val="en-US" w:eastAsia="zh-CN"/>
        </w:rPr>
        <w:t>目标3：</w:t>
      </w:r>
      <w:r>
        <w:rPr>
          <w:rFonts w:hint="eastAsia" w:ascii="仿宋_GB2312" w:hAnsi="仿宋_GB2312" w:eastAsia="仿宋_GB2312" w:cs="仿宋_GB2312"/>
          <w:color w:val="auto"/>
          <w:sz w:val="32"/>
          <w:szCs w:val="32"/>
          <w:highlight w:val="none"/>
        </w:rPr>
        <w:t>指导中心城区夜景亮化方案的设计，新建楼宇亮化方案审批及亮化单位用电量计量管理，协助城区夜景亮化工程的施工检查、竣工验收；</w:t>
      </w:r>
    </w:p>
    <w:p w14:paraId="5DF9150C">
      <w:pPr>
        <w:pStyle w:val="3"/>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lang w:val="en-US" w:eastAsia="zh-CN"/>
        </w:rPr>
        <w:t>目标4：</w:t>
      </w:r>
      <w:r>
        <w:rPr>
          <w:rFonts w:hint="eastAsia" w:ascii="仿宋_GB2312" w:hAnsi="仿宋_GB2312" w:eastAsia="仿宋_GB2312" w:cs="仿宋_GB2312"/>
          <w:color w:val="000000"/>
          <w:sz w:val="32"/>
          <w:szCs w:val="32"/>
          <w:highlight w:val="none"/>
        </w:rPr>
        <w:t>实施中心城区路灯节能改造，达到节约电力资源，建设生态绿色城市的目标</w:t>
      </w:r>
      <w:r>
        <w:rPr>
          <w:rFonts w:hint="eastAsia" w:ascii="仿宋_GB2312" w:hAnsi="仿宋_GB2312" w:eastAsia="仿宋_GB2312" w:cs="仿宋_GB2312"/>
          <w:color w:val="000000"/>
          <w:sz w:val="32"/>
          <w:szCs w:val="32"/>
          <w:highlight w:val="none"/>
          <w:lang w:eastAsia="zh-CN"/>
        </w:rPr>
        <w:t>。</w:t>
      </w:r>
    </w:p>
    <w:p w14:paraId="042B2670">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color w:val="000000"/>
          <w:sz w:val="32"/>
          <w:szCs w:val="32"/>
          <w:lang w:eastAsia="zh-CN"/>
        </w:rPr>
      </w:pPr>
      <w:r>
        <w:rPr>
          <w:rFonts w:hint="eastAsia" w:ascii="黑体" w:hAnsi="黑体" w:eastAsia="黑体" w:cs="黑体"/>
          <w:sz w:val="32"/>
          <w:szCs w:val="32"/>
          <w:highlight w:val="none"/>
          <w:lang w:val="en-US" w:eastAsia="zh-CN"/>
        </w:rPr>
        <w:t xml:space="preserve">    </w:t>
      </w:r>
      <w:r>
        <w:rPr>
          <w:rFonts w:hint="eastAsia" w:ascii="仿宋_GB2312" w:hAnsi="仿宋_GB2312" w:eastAsia="仿宋_GB2312" w:cs="仿宋_GB2312"/>
          <w:color w:val="000000"/>
          <w:sz w:val="32"/>
          <w:szCs w:val="32"/>
          <w:lang w:val="en-US" w:eastAsia="zh-CN"/>
        </w:rPr>
        <w:t>目标1完成情况：路灯</w:t>
      </w:r>
      <w:r>
        <w:rPr>
          <w:rFonts w:hint="eastAsia" w:ascii="仿宋_GB2312" w:hAnsi="仿宋_GB2312" w:eastAsia="仿宋_GB2312" w:cs="仿宋_GB2312"/>
          <w:color w:val="000000"/>
          <w:sz w:val="32"/>
          <w:szCs w:val="32"/>
          <w:lang w:eastAsia="zh-CN"/>
        </w:rPr>
        <w:t>维护管养水平和公共服务意识不断提高，保障</w:t>
      </w:r>
      <w:r>
        <w:rPr>
          <w:rFonts w:hint="eastAsia" w:ascii="仿宋_GB2312" w:hAnsi="仿宋_GB2312" w:eastAsia="仿宋_GB2312" w:cs="仿宋_GB2312"/>
          <w:color w:val="000000"/>
          <w:sz w:val="32"/>
          <w:szCs w:val="32"/>
          <w:lang w:val="en-US" w:eastAsia="zh-CN"/>
        </w:rPr>
        <w:t>了</w:t>
      </w:r>
      <w:r>
        <w:rPr>
          <w:rFonts w:hint="eastAsia" w:ascii="仿宋_GB2312" w:hAnsi="仿宋_GB2312" w:eastAsia="仿宋_GB2312" w:cs="仿宋_GB2312"/>
          <w:color w:val="000000"/>
          <w:sz w:val="32"/>
          <w:szCs w:val="32"/>
          <w:lang w:eastAsia="zh-CN"/>
        </w:rPr>
        <w:t>城区主次干道</w:t>
      </w:r>
      <w:r>
        <w:rPr>
          <w:rFonts w:hint="eastAsia" w:ascii="仿宋_GB2312" w:hAnsi="仿宋_GB2312" w:eastAsia="仿宋_GB2312" w:cs="仿宋_GB2312"/>
          <w:color w:val="000000"/>
          <w:sz w:val="32"/>
          <w:szCs w:val="32"/>
          <w:highlight w:val="none"/>
        </w:rPr>
        <w:t>路灯</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26777盏</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及小街巷路灯</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4229</w:t>
      </w:r>
      <w:r>
        <w:rPr>
          <w:rFonts w:hint="eastAsia" w:ascii="仿宋_GB2312" w:hAnsi="仿宋_GB2312" w:eastAsia="仿宋_GB2312" w:cs="仿宋_GB2312"/>
          <w:color w:val="000000"/>
          <w:sz w:val="32"/>
          <w:szCs w:val="32"/>
          <w:highlight w:val="none"/>
        </w:rPr>
        <w:t>盏</w:t>
      </w:r>
      <w:r>
        <w:rPr>
          <w:rFonts w:hint="eastAsia" w:ascii="仿宋_GB2312" w:hAnsi="仿宋_GB2312" w:eastAsia="仿宋_GB2312" w:cs="仿宋_GB2312"/>
          <w:color w:val="000000"/>
          <w:sz w:val="32"/>
          <w:szCs w:val="32"/>
          <w:highlight w:val="none"/>
          <w:lang w:eastAsia="zh-CN"/>
        </w:rPr>
        <w:t>）和公用亮化设施（功率</w:t>
      </w:r>
      <w:r>
        <w:rPr>
          <w:rFonts w:hint="eastAsia" w:ascii="仿宋_GB2312" w:hAnsi="仿宋_GB2312" w:eastAsia="仿宋_GB2312" w:cs="仿宋_GB2312"/>
          <w:color w:val="000000"/>
          <w:sz w:val="32"/>
          <w:szCs w:val="32"/>
          <w:highlight w:val="none"/>
        </w:rPr>
        <w:t>4008.2</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KW</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正常运行</w:t>
      </w:r>
      <w:r>
        <w:rPr>
          <w:rFonts w:hint="eastAsia" w:ascii="仿宋_GB2312" w:hAnsi="仿宋_GB2312" w:eastAsia="仿宋_GB2312" w:cs="仿宋_GB2312"/>
          <w:color w:val="000000"/>
          <w:sz w:val="32"/>
          <w:szCs w:val="32"/>
          <w:highlight w:val="none"/>
          <w:lang w:eastAsia="zh-CN"/>
        </w:rPr>
        <w:t>，亮灯率及设施完好率达</w:t>
      </w:r>
      <w:r>
        <w:rPr>
          <w:rFonts w:hint="eastAsia" w:ascii="仿宋_GB2312" w:hAnsi="仿宋_GB2312" w:eastAsia="仿宋_GB2312" w:cs="仿宋_GB2312"/>
          <w:color w:val="000000"/>
          <w:sz w:val="32"/>
          <w:szCs w:val="32"/>
          <w:highlight w:val="none"/>
          <w:lang w:val="en-US" w:eastAsia="zh-CN"/>
        </w:rPr>
        <w:t>98%以上</w:t>
      </w:r>
      <w:r>
        <w:rPr>
          <w:rFonts w:hint="eastAsia" w:ascii="仿宋_GB2312" w:hAnsi="仿宋_GB2312" w:eastAsia="仿宋_GB2312" w:cs="仿宋_GB2312"/>
          <w:color w:val="000000"/>
          <w:sz w:val="32"/>
          <w:szCs w:val="32"/>
          <w:lang w:eastAsia="zh-CN"/>
        </w:rPr>
        <w:t>；</w:t>
      </w:r>
    </w:p>
    <w:p w14:paraId="64E6BD3C">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目标2完成情况：以第四届省旅发大会为契机，高质量完成了18处亮化节点、16处楼宇景观的升级改造，城市夜间形象和品质显著提升，方便市民夜间出行。</w:t>
      </w:r>
    </w:p>
    <w:p w14:paraId="384D7FBB">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目标3完成情况：</w:t>
      </w:r>
      <w:r>
        <w:rPr>
          <w:rFonts w:hint="eastAsia" w:ascii="仿宋_GB2312" w:hAnsi="仿宋_GB2312" w:eastAsia="仿宋_GB2312" w:cs="仿宋_GB2312"/>
          <w:color w:val="000000"/>
          <w:sz w:val="32"/>
          <w:szCs w:val="32"/>
          <w:lang w:eastAsia="zh-CN"/>
        </w:rPr>
        <w:t>为中心城区夜景亮化方案的设计提出了建设性意见，</w:t>
      </w:r>
      <w:r>
        <w:rPr>
          <w:rFonts w:hint="eastAsia" w:ascii="仿宋_GB2312" w:hAnsi="仿宋_GB2312" w:eastAsia="仿宋_GB2312" w:cs="仿宋_GB2312"/>
          <w:color w:val="000000"/>
          <w:sz w:val="32"/>
          <w:szCs w:val="32"/>
          <w:lang w:val="en-US" w:eastAsia="zh-CN"/>
        </w:rPr>
        <w:t>完成了</w:t>
      </w:r>
      <w:r>
        <w:rPr>
          <w:rFonts w:hint="eastAsia" w:ascii="仿宋_GB2312" w:hAnsi="仿宋_GB2312" w:eastAsia="仿宋_GB2312" w:cs="仿宋_GB2312"/>
          <w:color w:val="000000"/>
          <w:sz w:val="32"/>
          <w:szCs w:val="32"/>
          <w:lang w:eastAsia="zh-CN"/>
        </w:rPr>
        <w:t>新建楼宇亮化方案审批及亮化单位用电量计量管理，</w:t>
      </w:r>
      <w:r>
        <w:rPr>
          <w:rFonts w:hint="eastAsia" w:ascii="仿宋_GB2312" w:hAnsi="仿宋_GB2312" w:eastAsia="仿宋_GB2312" w:cs="仿宋_GB2312"/>
          <w:color w:val="000000"/>
          <w:sz w:val="32"/>
          <w:szCs w:val="32"/>
          <w:lang w:val="en-US" w:eastAsia="zh-CN"/>
        </w:rPr>
        <w:t>并</w:t>
      </w:r>
      <w:r>
        <w:rPr>
          <w:rFonts w:hint="eastAsia" w:ascii="仿宋_GB2312" w:hAnsi="仿宋_GB2312" w:eastAsia="仿宋_GB2312" w:cs="仿宋_GB2312"/>
          <w:color w:val="000000"/>
          <w:sz w:val="32"/>
          <w:szCs w:val="32"/>
          <w:lang w:eastAsia="zh-CN"/>
        </w:rPr>
        <w:t>协助</w:t>
      </w:r>
      <w:r>
        <w:rPr>
          <w:rFonts w:hint="eastAsia" w:ascii="仿宋_GB2312" w:hAnsi="仿宋_GB2312" w:eastAsia="仿宋_GB2312" w:cs="仿宋_GB2312"/>
          <w:color w:val="000000"/>
          <w:sz w:val="32"/>
          <w:szCs w:val="32"/>
          <w:lang w:val="en-US" w:eastAsia="zh-CN"/>
        </w:rPr>
        <w:t>完成了</w:t>
      </w:r>
      <w:r>
        <w:rPr>
          <w:rFonts w:hint="eastAsia" w:ascii="仿宋_GB2312" w:hAnsi="仿宋_GB2312" w:eastAsia="仿宋_GB2312" w:cs="仿宋_GB2312"/>
          <w:color w:val="000000"/>
          <w:sz w:val="32"/>
          <w:szCs w:val="32"/>
          <w:lang w:eastAsia="zh-CN"/>
        </w:rPr>
        <w:t>城区夜景亮化工程的施工检查、竣工验收</w:t>
      </w:r>
      <w:r>
        <w:rPr>
          <w:rFonts w:hint="eastAsia" w:ascii="仿宋_GB2312" w:hAnsi="仿宋_GB2312" w:eastAsia="仿宋_GB2312" w:cs="仿宋_GB2312"/>
          <w:color w:val="000000"/>
          <w:sz w:val="32"/>
          <w:szCs w:val="32"/>
          <w:lang w:val="en-US" w:eastAsia="zh-CN"/>
        </w:rPr>
        <w:t>工作</w:t>
      </w:r>
      <w:r>
        <w:rPr>
          <w:rFonts w:hint="eastAsia" w:ascii="仿宋_GB2312" w:hAnsi="仿宋_GB2312" w:eastAsia="仿宋_GB2312" w:cs="仿宋_GB2312"/>
          <w:color w:val="000000"/>
          <w:sz w:val="32"/>
          <w:szCs w:val="32"/>
          <w:lang w:eastAsia="zh-CN"/>
        </w:rPr>
        <w:t>；</w:t>
      </w:r>
    </w:p>
    <w:p w14:paraId="089B6973">
      <w:pPr>
        <w:pStyle w:val="3"/>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lang w:val="en-US" w:eastAsia="zh-CN"/>
        </w:rPr>
      </w:pPr>
      <w:r>
        <w:rPr>
          <w:rFonts w:hint="eastAsia" w:ascii="仿宋_GB2312" w:hAnsi="仿宋_GB2312" w:eastAsia="仿宋_GB2312" w:cs="仿宋_GB2312"/>
          <w:color w:val="000000"/>
          <w:sz w:val="32"/>
          <w:szCs w:val="32"/>
          <w:lang w:val="en-US" w:eastAsia="zh-CN"/>
        </w:rPr>
        <w:t>目标4完成情况：</w:t>
      </w:r>
      <w:r>
        <w:rPr>
          <w:rFonts w:hint="eastAsia" w:ascii="仿宋_GB2312" w:hAnsi="仿宋_GB2312" w:eastAsia="仿宋_GB2312" w:cs="仿宋_GB2312"/>
          <w:color w:val="000000"/>
          <w:sz w:val="32"/>
          <w:szCs w:val="32"/>
          <w:lang w:eastAsia="zh-CN"/>
        </w:rPr>
        <w:t>中心城区路灯节能改造</w:t>
      </w:r>
      <w:r>
        <w:rPr>
          <w:rFonts w:hint="eastAsia" w:ascii="仿宋_GB2312" w:hAnsi="仿宋_GB2312" w:eastAsia="仿宋_GB2312" w:cs="仿宋_GB2312"/>
          <w:color w:val="000000"/>
          <w:sz w:val="32"/>
          <w:szCs w:val="32"/>
          <w:lang w:val="en-US" w:eastAsia="zh-CN"/>
        </w:rPr>
        <w:t>工作有序推进</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全年完成40条主次干道6100余套LED灯具更换，单灯控制器覆盖率达50%，节能降耗效果明显。</w:t>
      </w:r>
    </w:p>
    <w:p w14:paraId="087A31AF">
      <w:pPr>
        <w:pStyle w:val="13"/>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kern w:val="0"/>
          <w:sz w:val="32"/>
          <w:szCs w:val="32"/>
          <w:lang w:val="en-US" w:eastAsia="zh-CN"/>
        </w:rPr>
      </w:pPr>
      <w:r>
        <w:rPr>
          <w:rFonts w:hint="eastAsia" w:ascii="楷体_GB2312" w:hAnsi="楷体_GB2312" w:eastAsia="楷体_GB2312" w:cs="楷体_GB2312"/>
          <w:b/>
          <w:bCs/>
          <w:color w:val="auto"/>
          <w:kern w:val="0"/>
          <w:sz w:val="32"/>
          <w:szCs w:val="32"/>
          <w:lang w:val="en-US" w:eastAsia="zh-CN"/>
        </w:rPr>
        <w:t>(二）实现产出和取得效益情况</w:t>
      </w:r>
    </w:p>
    <w:p w14:paraId="1D52DE0F">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eastAsia" w:ascii="CESI仿宋-GB2312" w:hAnsi="CESI仿宋-GB2312" w:eastAsia="CESI仿宋-GB2312" w:cs="CESI仿宋-GB2312"/>
          <w:kern w:val="0"/>
          <w:sz w:val="32"/>
          <w:szCs w:val="32"/>
          <w:lang w:val="en-US" w:eastAsia="zh-CN"/>
        </w:rPr>
      </w:pPr>
      <w:r>
        <w:rPr>
          <w:rFonts w:hint="eastAsia" w:ascii="CESI仿宋-GB2312" w:hAnsi="CESI仿宋-GB2312" w:eastAsia="CESI仿宋-GB2312" w:cs="CESI仿宋-GB2312"/>
          <w:b/>
          <w:bCs/>
          <w:sz w:val="32"/>
          <w:szCs w:val="32"/>
          <w:lang w:val="en"/>
        </w:rPr>
        <w:t>1</w:t>
      </w:r>
      <w:r>
        <w:rPr>
          <w:rFonts w:hint="eastAsia" w:ascii="CESI仿宋-GB2312" w:hAnsi="CESI仿宋-GB2312" w:eastAsia="CESI仿宋-GB2312" w:cs="CESI仿宋-GB2312"/>
          <w:b/>
          <w:bCs/>
          <w:sz w:val="32"/>
          <w:szCs w:val="32"/>
          <w:lang w:val="en" w:eastAsia="zh-CN"/>
        </w:rPr>
        <w:t>、</w:t>
      </w:r>
      <w:r>
        <w:rPr>
          <w:rFonts w:hint="eastAsia" w:ascii="CESI仿宋-GB2312" w:hAnsi="CESI仿宋-GB2312" w:eastAsia="CESI仿宋-GB2312" w:cs="CESI仿宋-GB2312"/>
          <w:b/>
          <w:bCs/>
          <w:sz w:val="32"/>
          <w:szCs w:val="32"/>
          <w:lang w:val="en-US" w:eastAsia="zh-CN"/>
        </w:rPr>
        <w:t>厚植城市底蕴，彰显岳阳特色。</w:t>
      </w:r>
      <w:r>
        <w:rPr>
          <w:rFonts w:hint="eastAsia" w:ascii="CESI仿宋-GB2312" w:hAnsi="CESI仿宋-GB2312" w:eastAsia="CESI仿宋-GB2312" w:cs="CESI仿宋-GB2312"/>
          <w:kern w:val="0"/>
          <w:sz w:val="32"/>
          <w:szCs w:val="32"/>
          <w:lang w:val="en-US" w:eastAsia="zh-CN"/>
        </w:rPr>
        <w:t>以第四届湖南省旅游发展大会为契机，将地域文化融入城市照明景观，着力打造有温度、有记忆、有故事的夜间城市空间。</w:t>
      </w:r>
    </w:p>
    <w:p w14:paraId="13BE617B">
      <w:pPr>
        <w:keepNext w:val="0"/>
        <w:keepLines w:val="0"/>
        <w:pageBreakBefore w:val="0"/>
        <w:widowControl w:val="0"/>
        <w:kinsoku/>
        <w:wordWrap/>
        <w:overflowPunct/>
        <w:topLinePunct w:val="0"/>
        <w:autoSpaceDE/>
        <w:autoSpaceDN/>
        <w:bidi w:val="0"/>
        <w:adjustRightInd/>
        <w:snapToGrid/>
        <w:spacing w:line="580" w:lineRule="exact"/>
        <w:ind w:firstLine="641" w:firstLineChars="200"/>
        <w:jc w:val="both"/>
        <w:textAlignment w:val="auto"/>
        <w:rPr>
          <w:rFonts w:hint="eastAsia" w:ascii="CESI仿宋-GB2312" w:hAnsi="CESI仿宋-GB2312" w:eastAsia="CESI仿宋-GB2312" w:cs="CESI仿宋-GB2312"/>
          <w:color w:val="auto"/>
          <w:kern w:val="0"/>
          <w:sz w:val="32"/>
          <w:szCs w:val="32"/>
          <w:lang w:eastAsia="zh-CN"/>
        </w:rPr>
      </w:pPr>
      <w:r>
        <w:rPr>
          <w:rFonts w:hint="eastAsia" w:ascii="CESI仿宋-GB2312" w:hAnsi="CESI仿宋-GB2312" w:eastAsia="CESI仿宋-GB2312" w:cs="CESI仿宋-GB2312"/>
          <w:b/>
          <w:bCs/>
          <w:sz w:val="32"/>
          <w:szCs w:val="32"/>
          <w:lang w:val="en-US" w:eastAsia="zh-CN"/>
        </w:rPr>
        <w:t>（1）</w:t>
      </w:r>
      <w:r>
        <w:rPr>
          <w:rFonts w:hint="eastAsia" w:ascii="CESI仿宋-GB2312" w:hAnsi="CESI仿宋-GB2312" w:eastAsia="CESI仿宋-GB2312" w:cs="CESI仿宋-GB2312"/>
          <w:b/>
          <w:bCs/>
          <w:kern w:val="0"/>
          <w:sz w:val="32"/>
          <w:szCs w:val="32"/>
          <w:lang w:eastAsia="zh-CN"/>
        </w:rPr>
        <w:t>旅发大会点亮城市名片。</w:t>
      </w:r>
      <w:r>
        <w:rPr>
          <w:rFonts w:hint="eastAsia" w:ascii="CESI仿宋-GB2312" w:hAnsi="CESI仿宋-GB2312" w:eastAsia="CESI仿宋-GB2312" w:cs="CESI仿宋-GB2312"/>
          <w:color w:val="auto"/>
          <w:kern w:val="0"/>
          <w:sz w:val="32"/>
          <w:szCs w:val="32"/>
          <w:lang w:eastAsia="zh-CN"/>
        </w:rPr>
        <w:t>围绕“办一次会、兴一座城”目标，坚决贯彻落实市城管局部署，经多轮研讨与汇报形成最优设计蓝图。在151天的攻坚施工中，实行“日巡查、周调度、随时协调”机制，最终实现“零事故、零延误”目标。工程投入1300余万元，匠心打造南湖广场、高铁门户等18处亮化，升级国贸大酒店等16处楼宇景观，对岳阳大道连接线、空港大道更换LED灯具1614套。创新构建“一见倾心、活力城市、烟火幸福、人生理想”四重光影场景，营造兼具国际范、文化味、生态风的夜间体验，显著提升城市夜间形象与文化魅力，为大会成功举办和发展夜游经济提供了坚实的景观支撑。</w:t>
      </w:r>
    </w:p>
    <w:p w14:paraId="2E5B7609">
      <w:pPr>
        <w:keepNext w:val="0"/>
        <w:keepLines w:val="0"/>
        <w:pageBreakBefore w:val="0"/>
        <w:widowControl w:val="0"/>
        <w:kinsoku/>
        <w:wordWrap/>
        <w:overflowPunct/>
        <w:topLinePunct w:val="0"/>
        <w:autoSpaceDE/>
        <w:autoSpaceDN/>
        <w:bidi w:val="0"/>
        <w:adjustRightInd/>
        <w:snapToGrid/>
        <w:spacing w:line="580" w:lineRule="exact"/>
        <w:ind w:firstLine="641" w:firstLineChars="200"/>
        <w:jc w:val="both"/>
        <w:textAlignment w:val="auto"/>
        <w:rPr>
          <w:rFonts w:hint="eastAsia" w:ascii="CESI仿宋-GB2312" w:hAnsi="CESI仿宋-GB2312" w:eastAsia="CESI仿宋-GB2312" w:cs="CESI仿宋-GB2312"/>
          <w:color w:val="FF0000"/>
          <w:kern w:val="0"/>
          <w:sz w:val="32"/>
          <w:szCs w:val="32"/>
        </w:rPr>
      </w:pPr>
      <w:r>
        <w:rPr>
          <w:rFonts w:hint="eastAsia" w:ascii="CESI仿宋-GB2312" w:hAnsi="CESI仿宋-GB2312" w:eastAsia="CESI仿宋-GB2312" w:cs="CESI仿宋-GB2312"/>
          <w:b/>
          <w:bCs/>
          <w:sz w:val="32"/>
          <w:szCs w:val="32"/>
          <w:lang w:val="en-US" w:eastAsia="zh-CN"/>
        </w:rPr>
        <w:t>（2）亮化氛围营造喜迎佳节。</w:t>
      </w:r>
      <w:r>
        <w:rPr>
          <w:rFonts w:hint="eastAsia" w:ascii="CESI仿宋-GB2312" w:hAnsi="CESI仿宋-GB2312" w:eastAsia="CESI仿宋-GB2312" w:cs="CESI仿宋-GB2312"/>
          <w:color w:val="auto"/>
          <w:kern w:val="0"/>
          <w:sz w:val="32"/>
          <w:szCs w:val="32"/>
          <w:lang w:val="en-US" w:eastAsia="zh-CN"/>
        </w:rPr>
        <w:t>2025年春节前夕，在巴陵广场、岳阳大道隔离带共设置2处以“百福具臻</w:t>
      </w:r>
      <w:r>
        <w:rPr>
          <w:rFonts w:hint="eastAsia" w:ascii="CESI仿宋-GB2312" w:hAnsi="CESI仿宋-GB2312" w:eastAsia="CESI仿宋-GB2312" w:cs="CESI仿宋-GB2312"/>
          <w:color w:val="auto"/>
          <w:kern w:val="0"/>
          <w:sz w:val="32"/>
          <w:szCs w:val="32"/>
          <w:lang w:eastAsia="zh-CN"/>
        </w:rPr>
        <w:t>”</w:t>
      </w:r>
      <w:r>
        <w:rPr>
          <w:rFonts w:hint="eastAsia" w:ascii="CESI仿宋-GB2312" w:hAnsi="CESI仿宋-GB2312" w:eastAsia="CESI仿宋-GB2312" w:cs="CESI仿宋-GB2312"/>
          <w:color w:val="auto"/>
          <w:kern w:val="0"/>
          <w:sz w:val="32"/>
          <w:szCs w:val="32"/>
          <w:lang w:val="en-US" w:eastAsia="zh-CN"/>
        </w:rPr>
        <w:t>为主题的大型景观亮化造型，</w:t>
      </w:r>
      <w:r>
        <w:rPr>
          <w:rFonts w:hint="eastAsia" w:ascii="CESI仿宋-GB2312" w:hAnsi="CESI仿宋-GB2312" w:eastAsia="CESI仿宋-GB2312" w:cs="CESI仿宋-GB2312"/>
          <w:color w:val="auto"/>
          <w:kern w:val="0"/>
          <w:sz w:val="32"/>
          <w:szCs w:val="32"/>
          <w:lang w:eastAsia="zh-CN"/>
        </w:rPr>
        <w:t>龙头牌上</w:t>
      </w:r>
      <w:r>
        <w:rPr>
          <w:rFonts w:hint="eastAsia" w:ascii="CESI仿宋-GB2312" w:hAnsi="CESI仿宋-GB2312" w:eastAsia="CESI仿宋-GB2312" w:cs="CESI仿宋-GB2312"/>
          <w:color w:val="auto"/>
          <w:kern w:val="0"/>
          <w:sz w:val="32"/>
          <w:szCs w:val="32"/>
          <w:lang w:val="en-US" w:eastAsia="zh-CN"/>
        </w:rPr>
        <w:t>100</w:t>
      </w:r>
      <w:r>
        <w:rPr>
          <w:rFonts w:hint="eastAsia" w:ascii="CESI仿宋-GB2312" w:hAnsi="CESI仿宋-GB2312" w:eastAsia="CESI仿宋-GB2312" w:cs="CESI仿宋-GB2312"/>
          <w:color w:val="auto"/>
          <w:kern w:val="0"/>
          <w:sz w:val="32"/>
          <w:szCs w:val="32"/>
          <w:lang w:eastAsia="zh-CN"/>
        </w:rPr>
        <w:t>个“</w:t>
      </w:r>
      <w:r>
        <w:rPr>
          <w:rFonts w:hint="eastAsia" w:ascii="CESI仿宋-GB2312" w:hAnsi="CESI仿宋-GB2312" w:eastAsia="CESI仿宋-GB2312" w:cs="CESI仿宋-GB2312"/>
          <w:color w:val="auto"/>
          <w:kern w:val="0"/>
          <w:sz w:val="32"/>
          <w:szCs w:val="32"/>
          <w:lang w:val="en-US" w:eastAsia="zh-CN"/>
        </w:rPr>
        <w:t>福</w:t>
      </w:r>
      <w:r>
        <w:rPr>
          <w:rFonts w:hint="eastAsia" w:ascii="CESI仿宋-GB2312" w:hAnsi="CESI仿宋-GB2312" w:eastAsia="CESI仿宋-GB2312" w:cs="CESI仿宋-GB2312"/>
          <w:color w:val="auto"/>
          <w:kern w:val="0"/>
          <w:sz w:val="32"/>
          <w:szCs w:val="32"/>
          <w:lang w:eastAsia="zh-CN"/>
        </w:rPr>
        <w:t>”字</w:t>
      </w:r>
      <w:r>
        <w:rPr>
          <w:rFonts w:hint="eastAsia" w:ascii="CESI仿宋-GB2312" w:hAnsi="CESI仿宋-GB2312" w:eastAsia="CESI仿宋-GB2312" w:cs="CESI仿宋-GB2312"/>
          <w:color w:val="auto"/>
          <w:kern w:val="0"/>
          <w:sz w:val="32"/>
          <w:szCs w:val="32"/>
          <w:lang w:val="en-US" w:eastAsia="zh-CN"/>
        </w:rPr>
        <w:t>象征着祝福和吉祥</w:t>
      </w:r>
      <w:r>
        <w:rPr>
          <w:rFonts w:hint="eastAsia" w:ascii="CESI仿宋-GB2312" w:hAnsi="CESI仿宋-GB2312" w:eastAsia="CESI仿宋-GB2312" w:cs="CESI仿宋-GB2312"/>
          <w:color w:val="auto"/>
          <w:kern w:val="0"/>
          <w:sz w:val="32"/>
          <w:szCs w:val="32"/>
          <w:lang w:eastAsia="zh-CN"/>
        </w:rPr>
        <w:t>。</w:t>
      </w:r>
      <w:r>
        <w:rPr>
          <w:rFonts w:hint="eastAsia" w:ascii="CESI仿宋-GB2312" w:hAnsi="CESI仿宋-GB2312" w:eastAsia="CESI仿宋-GB2312" w:cs="CESI仿宋-GB2312"/>
          <w:color w:val="auto"/>
          <w:kern w:val="0"/>
          <w:sz w:val="32"/>
          <w:szCs w:val="32"/>
          <w:lang w:val="en-US" w:eastAsia="zh-CN"/>
        </w:rPr>
        <w:t>在城区主要区域及道路悬挂红灯笼6000余个，在湘北大道安装灯饰造型356组，营造了喜庆、祥和的节日氛围。</w:t>
      </w:r>
    </w:p>
    <w:p w14:paraId="211D53E1">
      <w:pPr>
        <w:keepNext w:val="0"/>
        <w:keepLines w:val="0"/>
        <w:pageBreakBefore w:val="0"/>
        <w:widowControl w:val="0"/>
        <w:kinsoku/>
        <w:wordWrap/>
        <w:overflowPunct/>
        <w:topLinePunct w:val="0"/>
        <w:autoSpaceDE/>
        <w:autoSpaceDN/>
        <w:bidi w:val="0"/>
        <w:adjustRightInd/>
        <w:snapToGrid/>
        <w:spacing w:line="580" w:lineRule="exact"/>
        <w:ind w:firstLine="641" w:firstLineChars="200"/>
        <w:textAlignment w:val="auto"/>
        <w:rPr>
          <w:rFonts w:hint="eastAsia" w:ascii="CESI仿宋-GB2312" w:hAnsi="CESI仿宋-GB2312" w:eastAsia="CESI仿宋-GB2312" w:cs="CESI仿宋-GB2312"/>
          <w:kern w:val="0"/>
          <w:sz w:val="32"/>
          <w:szCs w:val="32"/>
        </w:rPr>
      </w:pPr>
      <w:r>
        <w:rPr>
          <w:rFonts w:hint="eastAsia" w:ascii="CESI仿宋-GB2312" w:hAnsi="CESI仿宋-GB2312" w:eastAsia="CESI仿宋-GB2312" w:cs="CESI仿宋-GB2312"/>
          <w:b/>
          <w:bCs/>
          <w:sz w:val="32"/>
          <w:szCs w:val="32"/>
          <w:lang w:val="en-US" w:eastAsia="zh-CN"/>
        </w:rPr>
        <w:t>2、聚焦规范管理，提升运维质效</w:t>
      </w:r>
      <w:r>
        <w:rPr>
          <w:rFonts w:hint="eastAsia" w:ascii="CESI仿宋-GB2312" w:hAnsi="CESI仿宋-GB2312" w:eastAsia="CESI仿宋-GB2312" w:cs="CESI仿宋-GB2312"/>
          <w:b/>
          <w:bCs/>
          <w:sz w:val="32"/>
          <w:szCs w:val="32"/>
        </w:rPr>
        <w:t>。</w:t>
      </w:r>
      <w:r>
        <w:rPr>
          <w:rFonts w:hint="eastAsia" w:ascii="CESI仿宋-GB2312" w:hAnsi="CESI仿宋-GB2312" w:eastAsia="CESI仿宋-GB2312" w:cs="CESI仿宋-GB2312"/>
          <w:kern w:val="0"/>
          <w:sz w:val="32"/>
          <w:szCs w:val="32"/>
          <w:lang w:val="en-US" w:eastAsia="zh-CN"/>
        </w:rPr>
        <w:t>紧扣“六大城管”发展理念，着力提升管理维护水平和景观亮化品质，努力营造安全、靓丽、温馨的城市夜间环境。</w:t>
      </w:r>
    </w:p>
    <w:p w14:paraId="3E82A0FB">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kern w:val="0"/>
          <w:sz w:val="32"/>
          <w:szCs w:val="32"/>
          <w:lang w:val="en-US" w:eastAsia="zh-CN"/>
        </w:rPr>
        <w:t>（1）</w:t>
      </w:r>
      <w:r>
        <w:rPr>
          <w:rFonts w:hint="eastAsia" w:ascii="CESI仿宋-GB2312" w:hAnsi="CESI仿宋-GB2312" w:eastAsia="CESI仿宋-GB2312" w:cs="CESI仿宋-GB2312"/>
          <w:b/>
          <w:bCs/>
          <w:sz w:val="32"/>
          <w:szCs w:val="32"/>
          <w:lang w:val="en-US" w:eastAsia="zh-CN"/>
        </w:rPr>
        <w:t>打好“稳、快、实”组合拳，保障设施稳定运行。一是</w:t>
      </w:r>
      <w:r>
        <w:rPr>
          <w:rFonts w:hint="eastAsia" w:ascii="CESI仿宋-GB2312" w:hAnsi="CESI仿宋-GB2312" w:eastAsia="CESI仿宋-GB2312" w:cs="CESI仿宋-GB2312"/>
          <w:sz w:val="32"/>
          <w:szCs w:val="32"/>
          <w:lang w:val="en-US" w:eastAsia="zh-CN"/>
        </w:rPr>
        <w:t>认真落实巡线制度。采取领导班子带班巡线和一线部门定期巡线相结合，夜间巡查为主，日间巡查为辅的方式，全年巡线作业246次，发现并处置各类故障290余起，敷设管道5000余米，铺设普通电缆1万余米，更换高压电缆210米，维修各类灯具2367个，修复接线井226套、井盖150个，确保照明系统稳定运行。</w:t>
      </w:r>
      <w:r>
        <w:rPr>
          <w:rFonts w:hint="eastAsia" w:ascii="CESI仿宋-GB2312" w:hAnsi="CESI仿宋-GB2312" w:eastAsia="CESI仿宋-GB2312" w:cs="CESI仿宋-GB2312"/>
          <w:b/>
          <w:bCs/>
          <w:sz w:val="32"/>
          <w:szCs w:val="32"/>
          <w:lang w:val="en-US" w:eastAsia="zh-CN"/>
        </w:rPr>
        <w:t>二是</w:t>
      </w:r>
      <w:r>
        <w:rPr>
          <w:rFonts w:hint="eastAsia" w:ascii="CESI仿宋-GB2312" w:hAnsi="CESI仿宋-GB2312" w:eastAsia="CESI仿宋-GB2312" w:cs="CESI仿宋-GB2312"/>
          <w:sz w:val="32"/>
          <w:szCs w:val="32"/>
          <w:lang w:val="en-US" w:eastAsia="zh-CN"/>
        </w:rPr>
        <w:t>高效响应群众诉求。全年受理市长热线、12345、12319、市民来电等各类信访、热线诉求630余件，均得到了妥善处置，做到了件件有落实，事事有回音；针对市民投诉较多的背街小巷照明不足问题，中心自筹资金完成了华铁巷等7条小街巷100余套老旧灯具改造，得到市民普遍赞誉。</w:t>
      </w:r>
      <w:r>
        <w:rPr>
          <w:rFonts w:hint="eastAsia" w:ascii="CESI仿宋-GB2312" w:hAnsi="CESI仿宋-GB2312" w:eastAsia="CESI仿宋-GB2312" w:cs="CESI仿宋-GB2312"/>
          <w:b/>
          <w:bCs/>
          <w:sz w:val="32"/>
          <w:szCs w:val="32"/>
          <w:lang w:val="en-US" w:eastAsia="zh-CN"/>
        </w:rPr>
        <w:t>三是</w:t>
      </w:r>
      <w:r>
        <w:rPr>
          <w:rFonts w:hint="eastAsia" w:ascii="CESI仿宋-GB2312" w:hAnsi="CESI仿宋-GB2312" w:eastAsia="CESI仿宋-GB2312" w:cs="CESI仿宋-GB2312"/>
          <w:sz w:val="32"/>
          <w:szCs w:val="32"/>
          <w:lang w:val="en-US" w:eastAsia="zh-CN"/>
        </w:rPr>
        <w:t>扎实推进基础建设。针对新接管道路及楼宇亮化，安装监控终端50台，完成灯牌编号446处，为精细化管理奠定基础。</w:t>
      </w:r>
    </w:p>
    <w:p w14:paraId="14FB065D">
      <w:pPr>
        <w:keepNext w:val="0"/>
        <w:keepLines w:val="0"/>
        <w:pageBreakBefore w:val="0"/>
        <w:widowControl w:val="0"/>
        <w:kinsoku/>
        <w:wordWrap/>
        <w:overflowPunct/>
        <w:topLinePunct w:val="0"/>
        <w:autoSpaceDE/>
        <w:autoSpaceDN/>
        <w:bidi w:val="0"/>
        <w:adjustRightInd/>
        <w:snapToGrid/>
        <w:spacing w:line="580" w:lineRule="exact"/>
        <w:ind w:firstLine="641"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sz w:val="32"/>
          <w:szCs w:val="32"/>
          <w:lang w:val="en-US" w:eastAsia="zh-CN"/>
        </w:rPr>
        <w:t>（2）做好“谋、提、实”三举措，打造优美城市夜景。</w:t>
      </w:r>
      <w:r>
        <w:rPr>
          <w:rFonts w:hint="default" w:ascii="CESI仿宋-GB2312" w:hAnsi="CESI仿宋-GB2312" w:eastAsia="CESI仿宋-GB2312" w:cs="CESI仿宋-GB2312"/>
          <w:b/>
          <w:bCs/>
          <w:sz w:val="32"/>
          <w:szCs w:val="32"/>
          <w:lang w:val="en-US" w:eastAsia="zh-CN"/>
        </w:rPr>
        <w:t>一是</w:t>
      </w:r>
      <w:r>
        <w:rPr>
          <w:rFonts w:hint="default" w:ascii="CESI仿宋-GB2312" w:hAnsi="CESI仿宋-GB2312" w:eastAsia="CESI仿宋-GB2312" w:cs="CESI仿宋-GB2312"/>
          <w:sz w:val="32"/>
          <w:szCs w:val="32"/>
          <w:lang w:val="en-US" w:eastAsia="zh-CN"/>
        </w:rPr>
        <w:t>科学规划</w:t>
      </w:r>
      <w:r>
        <w:rPr>
          <w:rFonts w:hint="eastAsia" w:ascii="CESI仿宋-GB2312" w:hAnsi="CESI仿宋-GB2312" w:eastAsia="CESI仿宋-GB2312" w:cs="CESI仿宋-GB2312"/>
          <w:sz w:val="32"/>
          <w:szCs w:val="32"/>
          <w:lang w:val="en-US" w:eastAsia="zh-CN"/>
        </w:rPr>
        <w:t>勘查</w:t>
      </w:r>
      <w:r>
        <w:rPr>
          <w:rFonts w:hint="default" w:ascii="CESI仿宋-GB2312" w:hAnsi="CESI仿宋-GB2312" w:eastAsia="CESI仿宋-GB2312" w:cs="CESI仿宋-GB2312"/>
          <w:sz w:val="32"/>
          <w:szCs w:val="32"/>
          <w:lang w:val="en-US" w:eastAsia="zh-CN"/>
        </w:rPr>
        <w:t>。严格按照年度计划，对楼区政府办公楼、金龙大厦等5处标志性建筑亮化设施进行全面勘察与方案设计，明确大修范围与技术标准。</w:t>
      </w:r>
      <w:r>
        <w:rPr>
          <w:rFonts w:hint="eastAsia" w:ascii="CESI仿宋-GB2312" w:hAnsi="CESI仿宋-GB2312" w:eastAsia="CESI仿宋-GB2312" w:cs="CESI仿宋-GB2312"/>
          <w:b/>
          <w:bCs/>
          <w:sz w:val="32"/>
          <w:szCs w:val="32"/>
          <w:lang w:val="en-US" w:eastAsia="zh-CN"/>
        </w:rPr>
        <w:t>二是</w:t>
      </w:r>
      <w:r>
        <w:rPr>
          <w:rFonts w:hint="eastAsia" w:ascii="CESI仿宋-GB2312" w:hAnsi="CESI仿宋-GB2312" w:eastAsia="CESI仿宋-GB2312" w:cs="CESI仿宋-GB2312"/>
          <w:sz w:val="32"/>
          <w:szCs w:val="32"/>
          <w:lang w:val="en-US" w:eastAsia="zh-CN"/>
        </w:rPr>
        <w:t>积极采用新技术。</w:t>
      </w:r>
      <w:r>
        <w:rPr>
          <w:rFonts w:hint="default" w:ascii="CESI仿宋-GB2312" w:hAnsi="CESI仿宋-GB2312" w:eastAsia="CESI仿宋-GB2312" w:cs="CESI仿宋-GB2312"/>
          <w:sz w:val="32"/>
          <w:szCs w:val="32"/>
          <w:lang w:val="en-US" w:eastAsia="zh-CN"/>
        </w:rPr>
        <w:t>选用新一代高光效、低功耗LED投影灯具与智能控制系统</w:t>
      </w:r>
      <w:r>
        <w:rPr>
          <w:rFonts w:hint="eastAsia" w:ascii="CESI仿宋-GB2312" w:hAnsi="CESI仿宋-GB2312" w:eastAsia="CESI仿宋-GB2312" w:cs="CESI仿宋-GB2312"/>
          <w:sz w:val="32"/>
          <w:szCs w:val="32"/>
          <w:lang w:val="en-US" w:eastAsia="zh-CN"/>
        </w:rPr>
        <w:t>，有效</w:t>
      </w:r>
      <w:r>
        <w:rPr>
          <w:rFonts w:hint="default" w:ascii="CESI仿宋-GB2312" w:hAnsi="CESI仿宋-GB2312" w:eastAsia="CESI仿宋-GB2312" w:cs="CESI仿宋-GB2312"/>
          <w:sz w:val="32"/>
          <w:szCs w:val="32"/>
          <w:lang w:val="en-US" w:eastAsia="zh-CN"/>
        </w:rPr>
        <w:t>提升了照明效果表现力与光束控制</w:t>
      </w:r>
      <w:r>
        <w:rPr>
          <w:rFonts w:hint="eastAsia" w:ascii="CESI仿宋-GB2312" w:hAnsi="CESI仿宋-GB2312" w:eastAsia="CESI仿宋-GB2312" w:cs="CESI仿宋-GB2312"/>
          <w:sz w:val="32"/>
          <w:szCs w:val="32"/>
          <w:lang w:val="en-US" w:eastAsia="zh-CN"/>
        </w:rPr>
        <w:t>精度</w:t>
      </w:r>
      <w:r>
        <w:rPr>
          <w:rFonts w:hint="default"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b/>
          <w:bCs/>
          <w:sz w:val="32"/>
          <w:szCs w:val="32"/>
          <w:lang w:val="en-US" w:eastAsia="zh-CN"/>
        </w:rPr>
        <w:t>三</w:t>
      </w:r>
      <w:r>
        <w:rPr>
          <w:rFonts w:hint="default" w:ascii="CESI仿宋-GB2312" w:hAnsi="CESI仿宋-GB2312" w:eastAsia="CESI仿宋-GB2312" w:cs="CESI仿宋-GB2312"/>
          <w:b/>
          <w:bCs/>
          <w:sz w:val="32"/>
          <w:szCs w:val="32"/>
          <w:lang w:val="en-US" w:eastAsia="zh-CN"/>
        </w:rPr>
        <w:t>是</w:t>
      </w:r>
      <w:r>
        <w:rPr>
          <w:rFonts w:hint="default" w:ascii="CESI仿宋-GB2312" w:hAnsi="CESI仿宋-GB2312" w:eastAsia="CESI仿宋-GB2312" w:cs="CESI仿宋-GB2312"/>
          <w:sz w:val="32"/>
          <w:szCs w:val="32"/>
          <w:lang w:val="en-US" w:eastAsia="zh-CN"/>
        </w:rPr>
        <w:t>扎实完成核心工程。严格按标准施工，共计安装各类灯具5634套，高效完成大修任务</w:t>
      </w:r>
      <w:r>
        <w:rPr>
          <w:rFonts w:hint="eastAsia" w:ascii="CESI仿宋-GB2312" w:hAnsi="CESI仿宋-GB2312" w:eastAsia="CESI仿宋-GB2312" w:cs="CESI仿宋-GB2312"/>
          <w:sz w:val="32"/>
          <w:szCs w:val="32"/>
          <w:lang w:val="en-US" w:eastAsia="zh-CN"/>
        </w:rPr>
        <w:t>，解决</w:t>
      </w:r>
      <w:r>
        <w:rPr>
          <w:rFonts w:hint="default" w:ascii="CESI仿宋-GB2312" w:hAnsi="CESI仿宋-GB2312" w:eastAsia="CESI仿宋-GB2312" w:cs="CESI仿宋-GB2312"/>
          <w:sz w:val="32"/>
          <w:szCs w:val="32"/>
          <w:lang w:val="en-US" w:eastAsia="zh-CN"/>
        </w:rPr>
        <w:t>了设施陈旧</w:t>
      </w:r>
      <w:r>
        <w:rPr>
          <w:rFonts w:hint="eastAsia" w:ascii="CESI仿宋-GB2312" w:hAnsi="CESI仿宋-GB2312" w:eastAsia="CESI仿宋-GB2312" w:cs="CESI仿宋-GB2312"/>
          <w:sz w:val="32"/>
          <w:szCs w:val="32"/>
          <w:lang w:val="en-US" w:eastAsia="zh-CN"/>
        </w:rPr>
        <w:t>、光色</w:t>
      </w:r>
      <w:r>
        <w:rPr>
          <w:rFonts w:hint="default" w:ascii="CESI仿宋-GB2312" w:hAnsi="CESI仿宋-GB2312" w:eastAsia="CESI仿宋-GB2312" w:cs="CESI仿宋-GB2312"/>
          <w:sz w:val="32"/>
          <w:szCs w:val="32"/>
          <w:lang w:val="en-US" w:eastAsia="zh-CN"/>
        </w:rPr>
        <w:t>不协调</w:t>
      </w:r>
      <w:r>
        <w:rPr>
          <w:rFonts w:hint="eastAsia" w:ascii="CESI仿宋-GB2312" w:hAnsi="CESI仿宋-GB2312" w:eastAsia="CESI仿宋-GB2312" w:cs="CESI仿宋-GB2312"/>
          <w:sz w:val="32"/>
          <w:szCs w:val="32"/>
          <w:lang w:val="en-US" w:eastAsia="zh-CN"/>
        </w:rPr>
        <w:t>等</w:t>
      </w:r>
      <w:r>
        <w:rPr>
          <w:rFonts w:hint="default" w:ascii="CESI仿宋-GB2312" w:hAnsi="CESI仿宋-GB2312" w:eastAsia="CESI仿宋-GB2312" w:cs="CESI仿宋-GB2312"/>
          <w:sz w:val="32"/>
          <w:szCs w:val="32"/>
          <w:lang w:val="en-US" w:eastAsia="zh-CN"/>
        </w:rPr>
        <w:t>问题，</w:t>
      </w:r>
      <w:r>
        <w:rPr>
          <w:rFonts w:hint="eastAsia" w:ascii="CESI仿宋-GB2312" w:hAnsi="CESI仿宋-GB2312" w:eastAsia="CESI仿宋-GB2312" w:cs="CESI仿宋-GB2312"/>
          <w:sz w:val="32"/>
          <w:szCs w:val="32"/>
          <w:lang w:val="en-US" w:eastAsia="zh-CN"/>
        </w:rPr>
        <w:t>提升了</w:t>
      </w:r>
      <w:r>
        <w:rPr>
          <w:rFonts w:hint="default" w:ascii="CESI仿宋-GB2312" w:hAnsi="CESI仿宋-GB2312" w:eastAsia="CESI仿宋-GB2312" w:cs="CESI仿宋-GB2312"/>
          <w:sz w:val="32"/>
          <w:szCs w:val="32"/>
          <w:lang w:val="en-US" w:eastAsia="zh-CN"/>
        </w:rPr>
        <w:t>夜景整体美观度与协调性</w:t>
      </w:r>
      <w:r>
        <w:rPr>
          <w:rFonts w:hint="eastAsia" w:ascii="CESI仿宋-GB2312" w:hAnsi="CESI仿宋-GB2312" w:eastAsia="CESI仿宋-GB2312" w:cs="CESI仿宋-GB2312"/>
          <w:sz w:val="32"/>
          <w:szCs w:val="32"/>
          <w:lang w:val="en-US" w:eastAsia="zh-CN"/>
        </w:rPr>
        <w:t>。</w:t>
      </w:r>
    </w:p>
    <w:p w14:paraId="40B1C647">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3、践行低碳理念，推动节能降耗。</w:t>
      </w:r>
      <w:r>
        <w:rPr>
          <w:rFonts w:hint="eastAsia" w:ascii="CESI仿宋-GB2312" w:hAnsi="CESI仿宋-GB2312" w:eastAsia="CESI仿宋-GB2312" w:cs="CESI仿宋-GB2312"/>
          <w:sz w:val="32"/>
          <w:szCs w:val="32"/>
          <w:lang w:val="en-US" w:eastAsia="zh-CN"/>
        </w:rPr>
        <w:t>为深入贯彻落实绿色发展理念，服务城市高质量发展大局，我中心持续开展</w:t>
      </w:r>
      <w:r>
        <w:rPr>
          <w:rFonts w:hint="default" w:ascii="CESI仿宋-GB2312" w:hAnsi="CESI仿宋-GB2312" w:eastAsia="CESI仿宋-GB2312" w:cs="CESI仿宋-GB2312"/>
          <w:sz w:val="32"/>
          <w:szCs w:val="32"/>
          <w:lang w:val="en-US" w:eastAsia="zh-CN"/>
        </w:rPr>
        <w:t>绿色照明工程</w:t>
      </w:r>
      <w:r>
        <w:rPr>
          <w:rFonts w:hint="eastAsia" w:ascii="CESI仿宋-GB2312" w:hAnsi="CESI仿宋-GB2312" w:eastAsia="CESI仿宋-GB2312" w:cs="CESI仿宋-GB2312"/>
          <w:sz w:val="32"/>
          <w:szCs w:val="32"/>
          <w:lang w:val="en-US" w:eastAsia="zh-CN"/>
        </w:rPr>
        <w:t>提质改造，推进“智慧路灯”建设，</w:t>
      </w:r>
      <w:r>
        <w:rPr>
          <w:rFonts w:hint="default" w:ascii="CESI仿宋-GB2312" w:hAnsi="CESI仿宋-GB2312" w:eastAsia="CESI仿宋-GB2312" w:cs="CESI仿宋-GB2312"/>
          <w:sz w:val="32"/>
          <w:szCs w:val="32"/>
          <w:lang w:val="en-US" w:eastAsia="zh-CN"/>
        </w:rPr>
        <w:t>夯实城市照明健康稳定发展的基础</w:t>
      </w:r>
      <w:r>
        <w:rPr>
          <w:rFonts w:hint="eastAsia" w:ascii="CESI仿宋-GB2312" w:hAnsi="CESI仿宋-GB2312" w:eastAsia="CESI仿宋-GB2312" w:cs="CESI仿宋-GB2312"/>
          <w:sz w:val="32"/>
          <w:szCs w:val="32"/>
          <w:lang w:val="en-US" w:eastAsia="zh-CN"/>
        </w:rPr>
        <w:t>。</w:t>
      </w:r>
    </w:p>
    <w:p w14:paraId="2C6F54EE">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（1）</w:t>
      </w:r>
      <w:r>
        <w:rPr>
          <w:rFonts w:hint="eastAsia" w:ascii="CESI仿宋-GB2312" w:hAnsi="CESI仿宋-GB2312" w:eastAsia="CESI仿宋-GB2312" w:cs="CESI仿宋-GB2312"/>
          <w:b/>
          <w:bCs/>
          <w:kern w:val="0"/>
          <w:sz w:val="32"/>
          <w:szCs w:val="32"/>
          <w:lang w:val="en-US" w:eastAsia="zh-CN"/>
        </w:rPr>
        <w:t>实施绿色照明工程。</w:t>
      </w:r>
      <w:r>
        <w:rPr>
          <w:rFonts w:hint="eastAsia" w:ascii="CESI仿宋-GB2312" w:hAnsi="CESI仿宋-GB2312" w:eastAsia="CESI仿宋-GB2312" w:cs="CESI仿宋-GB2312"/>
          <w:sz w:val="32"/>
          <w:szCs w:val="32"/>
          <w:lang w:val="en-US" w:eastAsia="zh-CN"/>
        </w:rPr>
        <w:t>在财力紧张、经费压减的大环境下，</w:t>
      </w:r>
      <w:r>
        <w:rPr>
          <w:rFonts w:hint="eastAsia" w:ascii="CESI仿宋-GB2312" w:hAnsi="CESI仿宋-GB2312" w:eastAsia="CESI仿宋-GB2312" w:cs="CESI仿宋-GB2312"/>
          <w:sz w:val="32"/>
          <w:szCs w:val="32"/>
          <w:lang w:eastAsia="zh-CN"/>
        </w:rPr>
        <w:t>我中心积极主动作为</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lang w:eastAsia="zh-CN"/>
        </w:rPr>
        <w:t>持续推进</w:t>
      </w:r>
      <w:r>
        <w:rPr>
          <w:rFonts w:hint="eastAsia" w:ascii="CESI仿宋-GB2312" w:hAnsi="CESI仿宋-GB2312" w:eastAsia="CESI仿宋-GB2312" w:cs="CESI仿宋-GB2312"/>
          <w:sz w:val="32"/>
          <w:szCs w:val="32"/>
          <w:lang w:val="en-US" w:eastAsia="zh-CN"/>
        </w:rPr>
        <w:t>绿色照明</w:t>
      </w:r>
      <w:r>
        <w:rPr>
          <w:rFonts w:hint="eastAsia" w:ascii="CESI仿宋-GB2312" w:hAnsi="CESI仿宋-GB2312" w:eastAsia="CESI仿宋-GB2312" w:cs="CESI仿宋-GB2312"/>
          <w:sz w:val="32"/>
          <w:szCs w:val="32"/>
          <w:lang w:eastAsia="zh-CN"/>
        </w:rPr>
        <w:t>改造。</w:t>
      </w:r>
      <w:r>
        <w:rPr>
          <w:rFonts w:hint="eastAsia" w:ascii="CESI仿宋-GB2312" w:hAnsi="CESI仿宋-GB2312" w:eastAsia="CESI仿宋-GB2312" w:cs="CESI仿宋-GB2312"/>
          <w:sz w:val="32"/>
          <w:szCs w:val="32"/>
          <w:lang w:val="en-US" w:eastAsia="zh-CN"/>
        </w:rPr>
        <w:t>全年完成白石岭路等40条主次干道LED灯具更换，累计改造6100余套。改造后道路照明光效和显色性显著提高，在提升照明质量的同时有效降低了能耗。</w:t>
      </w:r>
    </w:p>
    <w:p w14:paraId="48473854">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eastAsia" w:ascii="CESI仿宋-GB2312" w:hAnsi="CESI仿宋-GB2312" w:eastAsia="CESI仿宋-GB2312" w:cs="CESI仿宋-GB2312"/>
          <w:color w:val="FF0000"/>
          <w:sz w:val="32"/>
          <w:szCs w:val="32"/>
          <w:lang w:val="en-US" w:eastAsia="zh-CN"/>
        </w:rPr>
      </w:pPr>
      <w:r>
        <w:rPr>
          <w:rFonts w:hint="eastAsia" w:ascii="CESI仿宋-GB2312" w:hAnsi="CESI仿宋-GB2312" w:eastAsia="CESI仿宋-GB2312" w:cs="CESI仿宋-GB2312"/>
          <w:b/>
          <w:bCs/>
          <w:sz w:val="32"/>
          <w:szCs w:val="32"/>
          <w:lang w:val="en-US" w:eastAsia="zh-CN"/>
        </w:rPr>
        <w:t>（2）</w:t>
      </w:r>
      <w:r>
        <w:rPr>
          <w:rFonts w:hint="eastAsia" w:ascii="CESI仿宋-GB2312" w:hAnsi="CESI仿宋-GB2312" w:eastAsia="CESI仿宋-GB2312" w:cs="CESI仿宋-GB2312"/>
          <w:b/>
          <w:bCs/>
          <w:kern w:val="0"/>
          <w:sz w:val="32"/>
          <w:szCs w:val="32"/>
          <w:lang w:val="en-US" w:eastAsia="zh-CN"/>
        </w:rPr>
        <w:t>深化智慧照明建设。</w:t>
      </w:r>
      <w:r>
        <w:rPr>
          <w:rFonts w:hint="eastAsia" w:ascii="CESI仿宋-GB2312" w:hAnsi="CESI仿宋-GB2312" w:eastAsia="CESI仿宋-GB2312" w:cs="CESI仿宋-GB2312"/>
          <w:sz w:val="32"/>
          <w:szCs w:val="32"/>
          <w:lang w:val="en-US" w:eastAsia="zh-CN"/>
        </w:rPr>
        <w:t>一是持续推进单灯控制器安装。今年在空港大道等区域安装单灯控制器共2141套，目前全市主城区已累计建成控制终端6716套，覆盖率近50%。二是依托城市照明综合管理大平台，积极采取分时调控、间隔亮灯、单边亮灯等多种模式，在保证道路照度达标和夜间安全的前提下，合理降低运行成本，避免能源浪费。</w:t>
      </w:r>
    </w:p>
    <w:p w14:paraId="05EDACD4">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4、守牢安全底线，筑牢发展根基。</w:t>
      </w:r>
      <w:r>
        <w:rPr>
          <w:rFonts w:hint="default" w:ascii="CESI仿宋-GB2312" w:hAnsi="CESI仿宋-GB2312" w:eastAsia="CESI仿宋-GB2312" w:cs="CESI仿宋-GB2312"/>
          <w:sz w:val="32"/>
          <w:szCs w:val="32"/>
          <w:lang w:val="en-US" w:eastAsia="zh-CN"/>
        </w:rPr>
        <w:t>始终将安全生产摆在首要位置，通过深化思想认识、重构体制机制、聚焦风险防控三个维度协同发力，推动</w:t>
      </w:r>
      <w:r>
        <w:rPr>
          <w:rFonts w:hint="eastAsia" w:ascii="CESI仿宋-GB2312" w:hAnsi="CESI仿宋-GB2312" w:eastAsia="CESI仿宋-GB2312" w:cs="CESI仿宋-GB2312"/>
          <w:sz w:val="32"/>
          <w:szCs w:val="32"/>
          <w:lang w:val="en-US" w:eastAsia="zh-CN"/>
        </w:rPr>
        <w:t>照明中心</w:t>
      </w:r>
      <w:r>
        <w:rPr>
          <w:rFonts w:hint="default" w:ascii="CESI仿宋-GB2312" w:hAnsi="CESI仿宋-GB2312" w:eastAsia="CESI仿宋-GB2312" w:cs="CESI仿宋-GB2312"/>
          <w:sz w:val="32"/>
          <w:szCs w:val="32"/>
          <w:lang w:val="en-US" w:eastAsia="zh-CN"/>
        </w:rPr>
        <w:t>安全治理系统性提升</w:t>
      </w:r>
      <w:r>
        <w:rPr>
          <w:rFonts w:hint="eastAsia" w:ascii="CESI仿宋-GB2312" w:hAnsi="CESI仿宋-GB2312" w:eastAsia="CESI仿宋-GB2312" w:cs="CESI仿宋-GB2312"/>
          <w:sz w:val="32"/>
          <w:szCs w:val="32"/>
          <w:lang w:val="en-US" w:eastAsia="zh-CN"/>
        </w:rPr>
        <w:t>。</w:t>
      </w:r>
    </w:p>
    <w:p w14:paraId="55DBF882">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kern w:val="0"/>
          <w:sz w:val="32"/>
          <w:szCs w:val="32"/>
          <w:lang w:val="en-US" w:eastAsia="zh-CN"/>
        </w:rPr>
        <w:t>（1）</w:t>
      </w:r>
      <w:r>
        <w:rPr>
          <w:rFonts w:hint="default" w:ascii="CESI仿宋-GB2312" w:hAnsi="CESI仿宋-GB2312" w:eastAsia="CESI仿宋-GB2312" w:cs="CESI仿宋-GB2312"/>
          <w:b/>
          <w:bCs/>
          <w:kern w:val="0"/>
          <w:sz w:val="32"/>
          <w:szCs w:val="32"/>
          <w:lang w:val="en-US" w:eastAsia="zh-CN"/>
        </w:rPr>
        <w:t>提高政治站位，</w:t>
      </w:r>
      <w:r>
        <w:rPr>
          <w:rFonts w:hint="eastAsia" w:ascii="CESI仿宋-GB2312" w:hAnsi="CESI仿宋-GB2312" w:eastAsia="CESI仿宋-GB2312" w:cs="CESI仿宋-GB2312"/>
          <w:b/>
          <w:bCs/>
          <w:kern w:val="0"/>
          <w:sz w:val="32"/>
          <w:szCs w:val="32"/>
          <w:lang w:val="en-US" w:eastAsia="zh-CN"/>
        </w:rPr>
        <w:t>时时强化安全意识</w:t>
      </w:r>
      <w:r>
        <w:rPr>
          <w:rFonts w:hint="default" w:ascii="CESI仿宋-GB2312" w:hAnsi="CESI仿宋-GB2312" w:eastAsia="CESI仿宋-GB2312" w:cs="CESI仿宋-GB2312"/>
          <w:b/>
          <w:bCs/>
          <w:kern w:val="0"/>
          <w:sz w:val="32"/>
          <w:szCs w:val="32"/>
          <w:lang w:val="en-US" w:eastAsia="zh-CN"/>
        </w:rPr>
        <w:t>。</w:t>
      </w:r>
      <w:r>
        <w:rPr>
          <w:rFonts w:hint="default" w:ascii="CESI仿宋-GB2312" w:hAnsi="CESI仿宋-GB2312" w:eastAsia="CESI仿宋-GB2312" w:cs="CESI仿宋-GB2312"/>
          <w:sz w:val="32"/>
          <w:szCs w:val="32"/>
          <w:lang w:val="en-US" w:eastAsia="zh-CN"/>
        </w:rPr>
        <w:t>中心领导班子带头深入学习《2025年安全生产和消防工作考核巡查实施方案》等省、市及上级主管部门一系列安全生产重要文件精神，准确把握核心要求。依托全年44次周例会，中心领导班子围绕责任落实、风险管控、隐患排查闭环、应急值守等关键议题</w:t>
      </w:r>
      <w:r>
        <w:rPr>
          <w:rFonts w:hint="eastAsia" w:ascii="CESI仿宋-GB2312" w:hAnsi="CESI仿宋-GB2312" w:eastAsia="CESI仿宋-GB2312" w:cs="CESI仿宋-GB2312"/>
          <w:sz w:val="32"/>
          <w:szCs w:val="32"/>
          <w:lang w:val="en-US" w:eastAsia="zh-CN"/>
        </w:rPr>
        <w:t>反复强调</w:t>
      </w:r>
      <w:r>
        <w:rPr>
          <w:rFonts w:hint="default" w:ascii="CESI仿宋-GB2312" w:hAnsi="CESI仿宋-GB2312" w:eastAsia="CESI仿宋-GB2312" w:cs="CESI仿宋-GB2312"/>
          <w:sz w:val="32"/>
          <w:szCs w:val="32"/>
          <w:lang w:val="en-US" w:eastAsia="zh-CN"/>
        </w:rPr>
        <w:t>与</w:t>
      </w:r>
      <w:r>
        <w:rPr>
          <w:rFonts w:hint="eastAsia" w:ascii="CESI仿宋-GB2312" w:hAnsi="CESI仿宋-GB2312" w:eastAsia="CESI仿宋-GB2312" w:cs="CESI仿宋-GB2312"/>
          <w:sz w:val="32"/>
          <w:szCs w:val="32"/>
          <w:lang w:val="en-US" w:eastAsia="zh-CN"/>
        </w:rPr>
        <w:t>持续叮嘱</w:t>
      </w:r>
      <w:r>
        <w:rPr>
          <w:rFonts w:hint="default" w:ascii="CESI仿宋-GB2312" w:hAnsi="CESI仿宋-GB2312" w:eastAsia="CESI仿宋-GB2312" w:cs="CESI仿宋-GB2312"/>
          <w:sz w:val="32"/>
          <w:szCs w:val="32"/>
          <w:lang w:val="en-US" w:eastAsia="zh-CN"/>
        </w:rPr>
        <w:t>，确保上级指示精神不折不扣传导至各部门、各岗位，</w:t>
      </w:r>
      <w:r>
        <w:rPr>
          <w:rFonts w:hint="eastAsia" w:ascii="CESI仿宋-GB2312" w:hAnsi="CESI仿宋-GB2312" w:eastAsia="CESI仿宋-GB2312" w:cs="CESI仿宋-GB2312"/>
          <w:sz w:val="32"/>
          <w:szCs w:val="32"/>
          <w:lang w:val="en-US" w:eastAsia="zh-CN"/>
        </w:rPr>
        <w:t>形成了</w:t>
      </w:r>
      <w:r>
        <w:rPr>
          <w:rFonts w:hint="default" w:ascii="CESI仿宋-GB2312" w:hAnsi="CESI仿宋-GB2312" w:eastAsia="CESI仿宋-GB2312" w:cs="CESI仿宋-GB2312"/>
          <w:sz w:val="32"/>
          <w:szCs w:val="32"/>
          <w:lang w:val="en-US" w:eastAsia="zh-CN"/>
        </w:rPr>
        <w:t>“人人知责、人人尽责、时时警惕、处处防范”的常态化、全员化安全意识防线。</w:t>
      </w:r>
    </w:p>
    <w:p w14:paraId="46D71075">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kern w:val="0"/>
          <w:sz w:val="32"/>
          <w:szCs w:val="32"/>
          <w:lang w:val="en-US" w:eastAsia="zh-CN"/>
        </w:rPr>
        <w:t>（2）</w:t>
      </w:r>
      <w:r>
        <w:rPr>
          <w:rFonts w:hint="default" w:ascii="CESI仿宋-GB2312" w:hAnsi="CESI仿宋-GB2312" w:eastAsia="CESI仿宋-GB2312" w:cs="CESI仿宋-GB2312"/>
          <w:b/>
          <w:bCs/>
          <w:kern w:val="0"/>
          <w:sz w:val="32"/>
          <w:szCs w:val="32"/>
          <w:lang w:val="en-US" w:eastAsia="zh-CN"/>
        </w:rPr>
        <w:t>创新体制机制，夯实安全工作基础。</w:t>
      </w:r>
      <w:r>
        <w:rPr>
          <w:rFonts w:hint="default" w:ascii="仿宋_GB2312" w:hAnsi="仿宋_GB2312" w:eastAsia="仿宋_GB2312" w:cs="仿宋_GB2312"/>
          <w:sz w:val="32"/>
          <w:szCs w:val="32"/>
          <w:lang w:val="en-US" w:eastAsia="zh-CN"/>
        </w:rPr>
        <w:t>以</w:t>
      </w:r>
      <w:r>
        <w:rPr>
          <w:rFonts w:hint="default" w:ascii="CESI仿宋-GB2312" w:hAnsi="CESI仿宋-GB2312" w:eastAsia="CESI仿宋-GB2312" w:cs="CESI仿宋-GB2312"/>
          <w:sz w:val="32"/>
          <w:szCs w:val="32"/>
          <w:lang w:val="en-US" w:eastAsia="zh-CN"/>
        </w:rPr>
        <w:t>承接经开区</w:t>
      </w:r>
      <w:r>
        <w:rPr>
          <w:rFonts w:hint="eastAsia" w:ascii="CESI仿宋-GB2312" w:hAnsi="CESI仿宋-GB2312" w:eastAsia="CESI仿宋-GB2312" w:cs="CESI仿宋-GB2312"/>
          <w:sz w:val="32"/>
          <w:szCs w:val="32"/>
          <w:lang w:val="en-US" w:eastAsia="zh-CN"/>
        </w:rPr>
        <w:t>城市</w:t>
      </w:r>
      <w:r>
        <w:rPr>
          <w:rFonts w:hint="default" w:ascii="CESI仿宋-GB2312" w:hAnsi="CESI仿宋-GB2312" w:eastAsia="CESI仿宋-GB2312" w:cs="CESI仿宋-GB2312"/>
          <w:sz w:val="32"/>
          <w:szCs w:val="32"/>
          <w:lang w:val="en-US" w:eastAsia="zh-CN"/>
        </w:rPr>
        <w:t>照明管理职能为契机，着力推动安全管理体系</w:t>
      </w:r>
      <w:r>
        <w:rPr>
          <w:rFonts w:hint="eastAsia" w:ascii="CESI仿宋-GB2312" w:hAnsi="CESI仿宋-GB2312" w:eastAsia="CESI仿宋-GB2312" w:cs="CESI仿宋-GB2312"/>
          <w:sz w:val="32"/>
          <w:szCs w:val="32"/>
          <w:lang w:val="en-US" w:eastAsia="zh-CN"/>
        </w:rPr>
        <w:t>的系统性</w:t>
      </w:r>
      <w:r>
        <w:rPr>
          <w:rFonts w:hint="default" w:ascii="CESI仿宋-GB2312" w:hAnsi="CESI仿宋-GB2312" w:eastAsia="CESI仿宋-GB2312" w:cs="CESI仿宋-GB2312"/>
          <w:sz w:val="32"/>
          <w:szCs w:val="32"/>
          <w:lang w:val="en-US" w:eastAsia="zh-CN"/>
        </w:rPr>
        <w:t>重构。一是强化组织保障，优化“三定”方案，组建了专职的安全管理部，实现了安全监管的专业化、集中化</w:t>
      </w:r>
      <w:r>
        <w:rPr>
          <w:rFonts w:hint="eastAsia" w:ascii="CESI仿宋-GB2312" w:hAnsi="CESI仿宋-GB2312" w:eastAsia="CESI仿宋-GB2312" w:cs="CESI仿宋-GB2312"/>
          <w:sz w:val="32"/>
          <w:szCs w:val="32"/>
          <w:lang w:val="en-US" w:eastAsia="zh-CN"/>
        </w:rPr>
        <w:t>管理</w:t>
      </w:r>
      <w:r>
        <w:rPr>
          <w:rFonts w:hint="default" w:ascii="CESI仿宋-GB2312" w:hAnsi="CESI仿宋-GB2312" w:eastAsia="CESI仿宋-GB2312" w:cs="CESI仿宋-GB2312"/>
          <w:sz w:val="32"/>
          <w:szCs w:val="32"/>
          <w:lang w:val="en-US" w:eastAsia="zh-CN"/>
        </w:rPr>
        <w:t>。二是完善制度框架，全面修订《安全管理制度》，系统构建了从领导责任到岗位职责、从风险预防到事故追责的完整制度链条，明确了分级检查、应急响应等标准化流程，推动安全管理向规范化、精细化迈进。</w:t>
      </w:r>
    </w:p>
    <w:p w14:paraId="68B27E43">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default" w:ascii="仿宋_GB2312" w:hAnsi="仿宋_GB2312" w:eastAsia="仿宋_GB2312" w:cs="仿宋_GB2312"/>
          <w:color w:val="auto"/>
          <w:kern w:val="0"/>
          <w:sz w:val="32"/>
          <w:szCs w:val="32"/>
          <w:lang w:val="en-US" w:eastAsia="zh-CN" w:bidi="ar"/>
        </w:rPr>
      </w:pPr>
      <w:r>
        <w:rPr>
          <w:rFonts w:hint="eastAsia" w:ascii="CESI仿宋-GB2312" w:hAnsi="CESI仿宋-GB2312" w:eastAsia="CESI仿宋-GB2312" w:cs="CESI仿宋-GB2312"/>
          <w:b/>
          <w:bCs/>
          <w:kern w:val="0"/>
          <w:sz w:val="32"/>
          <w:szCs w:val="32"/>
          <w:lang w:val="en-US" w:eastAsia="zh-CN"/>
        </w:rPr>
        <w:t>（3）</w:t>
      </w:r>
      <w:r>
        <w:rPr>
          <w:rFonts w:hint="default" w:ascii="CESI仿宋-GB2312" w:hAnsi="CESI仿宋-GB2312" w:eastAsia="CESI仿宋-GB2312" w:cs="CESI仿宋-GB2312"/>
          <w:b/>
          <w:bCs/>
          <w:kern w:val="0"/>
          <w:sz w:val="32"/>
          <w:szCs w:val="32"/>
          <w:lang w:val="en-US" w:eastAsia="zh-CN"/>
        </w:rPr>
        <w:t>聚焦风险防控，提升本质安全水平。</w:t>
      </w:r>
      <w:r>
        <w:rPr>
          <w:rFonts w:hint="default" w:ascii="CESI仿宋-GB2312" w:hAnsi="CESI仿宋-GB2312" w:eastAsia="CESI仿宋-GB2312" w:cs="CESI仿宋-GB2312"/>
          <w:sz w:val="32"/>
          <w:szCs w:val="32"/>
          <w:lang w:val="en-US" w:eastAsia="zh-CN"/>
        </w:rPr>
        <w:t>坚持预防为主、综合治理，深入开展隐患排查治理。全年组织开展综合性安全大检查4次、车辆专项检查2次、</w:t>
      </w:r>
      <w:r>
        <w:rPr>
          <w:rFonts w:hint="eastAsia" w:ascii="CESI仿宋-GB2312" w:hAnsi="CESI仿宋-GB2312" w:eastAsia="CESI仿宋-GB2312" w:cs="CESI仿宋-GB2312"/>
          <w:sz w:val="32"/>
          <w:szCs w:val="32"/>
          <w:lang w:val="en-US" w:eastAsia="zh-CN"/>
        </w:rPr>
        <w:t>网络专项检查2次、</w:t>
      </w:r>
      <w:r>
        <w:rPr>
          <w:rFonts w:hint="default" w:ascii="CESI仿宋-GB2312" w:hAnsi="CESI仿宋-GB2312" w:eastAsia="CESI仿宋-GB2312" w:cs="CESI仿宋-GB2312"/>
          <w:sz w:val="32"/>
          <w:szCs w:val="32"/>
          <w:lang w:val="en-US" w:eastAsia="zh-CN"/>
        </w:rPr>
        <w:t>领导带队检查36次、常态化安全巡查12次，累计排查并建立台账管理隐患41项，均落实限期整改与闭环销号，实现了隐患的动态清零。在此坚实基础上，全年实现了照明施工“零事故”，有力保障了城市照明设施安全稳定运行。同时，通过举办全员消防培训、安全知识竞赛、岗位操作技能培训等多形式活动，有效提升了全员安全素养与应急处置能力，为持续安全发展筑牢了防线。</w:t>
      </w:r>
    </w:p>
    <w:p w14:paraId="38ED5E05">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1"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b/>
          <w:bCs/>
          <w:sz w:val="32"/>
          <w:szCs w:val="32"/>
          <w:lang w:val="en-US" w:eastAsia="zh-CN"/>
        </w:rPr>
        <w:t>5、</w:t>
      </w:r>
      <w:r>
        <w:rPr>
          <w:rFonts w:hint="eastAsia" w:ascii="CESI仿宋-GB2312" w:hAnsi="CESI仿宋-GB2312" w:eastAsia="CESI仿宋-GB2312" w:cs="CESI仿宋-GB2312"/>
          <w:b/>
          <w:bCs/>
          <w:kern w:val="0"/>
          <w:sz w:val="32"/>
          <w:szCs w:val="32"/>
          <w:lang w:val="en-US" w:eastAsia="zh-CN" w:bidi="ar-SA"/>
        </w:rPr>
        <w:t>凝聚党建合力，强化治理成效。</w:t>
      </w:r>
      <w:r>
        <w:rPr>
          <w:rFonts w:hint="eastAsia" w:ascii="CESI仿宋-GB2312" w:hAnsi="CESI仿宋-GB2312" w:eastAsia="CESI仿宋-GB2312" w:cs="CESI仿宋-GB2312"/>
          <w:sz w:val="32"/>
          <w:szCs w:val="32"/>
          <w:lang w:val="en-US" w:eastAsia="zh-CN"/>
        </w:rPr>
        <w:t>围绕城市照明事业发展大局，充分发挥党委领导核心、支部战斗堡垒和党员先锋模范作用。</w:t>
      </w:r>
    </w:p>
    <w:p w14:paraId="56DA315D">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eastAsia" w:ascii="CESI仿宋-GB2312" w:hAnsi="CESI仿宋-GB2312" w:eastAsia="CESI仿宋-GB2312" w:cs="CESI仿宋-GB2312"/>
          <w:kern w:val="0"/>
          <w:sz w:val="32"/>
          <w:szCs w:val="32"/>
          <w:lang w:val="en-US" w:eastAsia="zh-CN" w:bidi="ar-SA"/>
        </w:rPr>
      </w:pPr>
      <w:r>
        <w:rPr>
          <w:rFonts w:hint="eastAsia" w:ascii="CESI仿宋-GB2312" w:hAnsi="CESI仿宋-GB2312" w:eastAsia="CESI仿宋-GB2312" w:cs="CESI仿宋-GB2312"/>
          <w:b/>
          <w:bCs/>
          <w:kern w:val="0"/>
          <w:sz w:val="32"/>
          <w:szCs w:val="32"/>
          <w:lang w:val="en-US" w:eastAsia="zh-CN"/>
        </w:rPr>
        <w:t>（1）强化理论武装，筑牢组织基础。</w:t>
      </w:r>
      <w:r>
        <w:rPr>
          <w:rFonts w:hint="eastAsia" w:ascii="CESI仿宋-GB2312" w:hAnsi="CESI仿宋-GB2312" w:eastAsia="CESI仿宋-GB2312" w:cs="CESI仿宋-GB2312"/>
          <w:b/>
          <w:bCs/>
          <w:kern w:val="0"/>
          <w:sz w:val="32"/>
          <w:szCs w:val="32"/>
          <w:lang w:val="en-US" w:eastAsia="zh-CN" w:bidi="ar-SA"/>
        </w:rPr>
        <w:t>一是</w:t>
      </w:r>
      <w:r>
        <w:rPr>
          <w:rFonts w:hint="eastAsia" w:ascii="CESI仿宋-GB2312" w:hAnsi="CESI仿宋-GB2312" w:eastAsia="CESI仿宋-GB2312" w:cs="CESI仿宋-GB2312"/>
          <w:kern w:val="0"/>
          <w:sz w:val="32"/>
          <w:szCs w:val="32"/>
          <w:lang w:val="en-US" w:eastAsia="zh-CN" w:bidi="ar-SA"/>
        </w:rPr>
        <w:t>认真落实“第一议题”“三会一课”、组织生活会等制度，及时学习贯彻党的创新理论和重要指示精神，制定实施年度学习计划。</w:t>
      </w:r>
      <w:r>
        <w:rPr>
          <w:rFonts w:hint="eastAsia" w:ascii="CESI仿宋-GB2312" w:hAnsi="CESI仿宋-GB2312" w:eastAsia="CESI仿宋-GB2312" w:cs="CESI仿宋-GB2312"/>
          <w:b/>
          <w:bCs/>
          <w:kern w:val="0"/>
          <w:sz w:val="32"/>
          <w:szCs w:val="32"/>
          <w:lang w:val="en-US" w:eastAsia="zh-CN" w:bidi="ar-SA"/>
        </w:rPr>
        <w:t>二是</w:t>
      </w:r>
      <w:r>
        <w:rPr>
          <w:rFonts w:hint="eastAsia" w:ascii="CESI仿宋-GB2312" w:hAnsi="CESI仿宋-GB2312" w:eastAsia="CESI仿宋-GB2312" w:cs="CESI仿宋-GB2312"/>
          <w:kern w:val="0"/>
          <w:sz w:val="32"/>
          <w:szCs w:val="32"/>
          <w:lang w:val="en-US" w:eastAsia="zh-CN" w:bidi="ar-SA"/>
        </w:rPr>
        <w:t>深入贯彻中央八项规定精神，组织开展</w:t>
      </w:r>
      <w:r>
        <w:rPr>
          <w:rFonts w:hint="default" w:ascii="CESI仿宋-GB2312" w:hAnsi="CESI仿宋-GB2312" w:eastAsia="CESI仿宋-GB2312" w:cs="CESI仿宋-GB2312"/>
          <w:kern w:val="0"/>
          <w:sz w:val="32"/>
          <w:szCs w:val="32"/>
          <w:lang w:val="en-US" w:eastAsia="zh-CN" w:bidi="ar-SA"/>
        </w:rPr>
        <w:t>专题学习6次。</w:t>
      </w:r>
      <w:r>
        <w:rPr>
          <w:rFonts w:hint="eastAsia" w:ascii="CESI仿宋-GB2312" w:hAnsi="CESI仿宋-GB2312" w:eastAsia="CESI仿宋-GB2312" w:cs="CESI仿宋-GB2312"/>
          <w:kern w:val="0"/>
          <w:sz w:val="32"/>
          <w:szCs w:val="32"/>
          <w:lang w:val="en-US" w:eastAsia="zh-CN" w:bidi="ar-SA"/>
        </w:rPr>
        <w:t>通过</w:t>
      </w:r>
      <w:r>
        <w:rPr>
          <w:rFonts w:hint="default" w:ascii="CESI仿宋-GB2312" w:hAnsi="CESI仿宋-GB2312" w:eastAsia="CESI仿宋-GB2312" w:cs="CESI仿宋-GB2312"/>
          <w:kern w:val="0"/>
          <w:sz w:val="32"/>
          <w:szCs w:val="32"/>
          <w:lang w:val="en-US" w:eastAsia="zh-CN" w:bidi="ar-SA"/>
        </w:rPr>
        <w:t>集中领学、案例剖析</w:t>
      </w:r>
      <w:r>
        <w:rPr>
          <w:rFonts w:hint="eastAsia" w:ascii="CESI仿宋-GB2312" w:hAnsi="CESI仿宋-GB2312" w:eastAsia="CESI仿宋-GB2312" w:cs="CESI仿宋-GB2312"/>
          <w:kern w:val="0"/>
          <w:sz w:val="32"/>
          <w:szCs w:val="32"/>
          <w:lang w:val="en-US" w:eastAsia="zh-CN" w:bidi="ar-SA"/>
        </w:rPr>
        <w:t>等方式</w:t>
      </w:r>
      <w:r>
        <w:rPr>
          <w:rFonts w:hint="default" w:ascii="CESI仿宋-GB2312" w:hAnsi="CESI仿宋-GB2312" w:eastAsia="CESI仿宋-GB2312" w:cs="CESI仿宋-GB2312"/>
          <w:kern w:val="0"/>
          <w:sz w:val="32"/>
          <w:szCs w:val="32"/>
          <w:lang w:val="en-US" w:eastAsia="zh-CN" w:bidi="ar-SA"/>
        </w:rPr>
        <w:t>，引导干部职工</w:t>
      </w:r>
      <w:r>
        <w:rPr>
          <w:rFonts w:hint="eastAsia" w:ascii="CESI仿宋-GB2312" w:hAnsi="CESI仿宋-GB2312" w:eastAsia="CESI仿宋-GB2312" w:cs="CESI仿宋-GB2312"/>
          <w:kern w:val="0"/>
          <w:sz w:val="32"/>
          <w:szCs w:val="32"/>
          <w:lang w:val="en-US" w:eastAsia="zh-CN" w:bidi="ar-SA"/>
        </w:rPr>
        <w:t>准确</w:t>
      </w:r>
      <w:r>
        <w:rPr>
          <w:rFonts w:hint="default" w:ascii="CESI仿宋-GB2312" w:hAnsi="CESI仿宋-GB2312" w:eastAsia="CESI仿宋-GB2312" w:cs="CESI仿宋-GB2312"/>
          <w:kern w:val="0"/>
          <w:sz w:val="32"/>
          <w:szCs w:val="32"/>
          <w:lang w:val="en-US" w:eastAsia="zh-CN" w:bidi="ar-SA"/>
        </w:rPr>
        <w:t>把握</w:t>
      </w:r>
      <w:r>
        <w:rPr>
          <w:rFonts w:hint="eastAsia" w:ascii="CESI仿宋-GB2312" w:hAnsi="CESI仿宋-GB2312" w:eastAsia="CESI仿宋-GB2312" w:cs="CESI仿宋-GB2312"/>
          <w:kern w:val="0"/>
          <w:sz w:val="32"/>
          <w:szCs w:val="32"/>
          <w:lang w:val="en-US" w:eastAsia="zh-CN" w:bidi="ar-SA"/>
        </w:rPr>
        <w:t>其</w:t>
      </w:r>
      <w:r>
        <w:rPr>
          <w:rFonts w:hint="default" w:ascii="CESI仿宋-GB2312" w:hAnsi="CESI仿宋-GB2312" w:eastAsia="CESI仿宋-GB2312" w:cs="CESI仿宋-GB2312"/>
          <w:kern w:val="0"/>
          <w:sz w:val="32"/>
          <w:szCs w:val="32"/>
          <w:lang w:val="en-US" w:eastAsia="zh-CN" w:bidi="ar-SA"/>
        </w:rPr>
        <w:t>核心要义与实践要求。</w:t>
      </w:r>
      <w:r>
        <w:rPr>
          <w:rFonts w:hint="eastAsia" w:ascii="CESI仿宋-GB2312" w:hAnsi="CESI仿宋-GB2312" w:eastAsia="CESI仿宋-GB2312" w:cs="CESI仿宋-GB2312"/>
          <w:b/>
          <w:bCs/>
          <w:kern w:val="0"/>
          <w:sz w:val="32"/>
          <w:szCs w:val="32"/>
          <w:lang w:val="en-US" w:eastAsia="zh-CN" w:bidi="ar-SA"/>
        </w:rPr>
        <w:t>三是</w:t>
      </w:r>
      <w:r>
        <w:rPr>
          <w:rFonts w:hint="eastAsia" w:ascii="CESI仿宋-GB2312" w:hAnsi="CESI仿宋-GB2312" w:eastAsia="CESI仿宋-GB2312" w:cs="CESI仿宋-GB2312"/>
          <w:kern w:val="0"/>
          <w:sz w:val="32"/>
          <w:szCs w:val="32"/>
          <w:lang w:val="en-US" w:eastAsia="zh-CN" w:bidi="ar-SA"/>
        </w:rPr>
        <w:t>创新开展“党建赋能光明路，岳阳照明践使命”主题教育活动，结合“我的岗位我来说”微党课、“红色歌咏会”等活动，引导党员干部在一线岗位践行初心使命。</w:t>
      </w:r>
      <w:r>
        <w:rPr>
          <w:rFonts w:hint="eastAsia" w:ascii="CESI仿宋-GB2312" w:hAnsi="CESI仿宋-GB2312" w:eastAsia="CESI仿宋-GB2312" w:cs="CESI仿宋-GB2312"/>
          <w:b/>
          <w:bCs/>
          <w:kern w:val="0"/>
          <w:sz w:val="32"/>
          <w:szCs w:val="32"/>
          <w:lang w:val="en-US" w:eastAsia="zh-CN" w:bidi="ar-SA"/>
        </w:rPr>
        <w:t>四是</w:t>
      </w:r>
      <w:r>
        <w:rPr>
          <w:rFonts w:hint="eastAsia" w:ascii="CESI仿宋-GB2312" w:hAnsi="CESI仿宋-GB2312" w:eastAsia="CESI仿宋-GB2312" w:cs="CESI仿宋-GB2312"/>
          <w:kern w:val="0"/>
          <w:sz w:val="32"/>
          <w:szCs w:val="32"/>
          <w:lang w:val="en-US" w:eastAsia="zh-CN" w:bidi="ar-SA"/>
        </w:rPr>
        <w:t>完成第一届党委和纪委选举工作，中心党建开启新篇章。</w:t>
      </w:r>
      <w:r>
        <w:rPr>
          <w:rFonts w:hint="eastAsia" w:ascii="CESI仿宋-GB2312" w:hAnsi="CESI仿宋-GB2312" w:eastAsia="CESI仿宋-GB2312" w:cs="CESI仿宋-GB2312"/>
          <w:b/>
          <w:bCs/>
          <w:kern w:val="0"/>
          <w:sz w:val="32"/>
          <w:szCs w:val="32"/>
          <w:lang w:val="en-US" w:eastAsia="zh-CN" w:bidi="ar-SA"/>
        </w:rPr>
        <w:t>五是</w:t>
      </w:r>
      <w:r>
        <w:rPr>
          <w:rFonts w:hint="eastAsia" w:ascii="CESI仿宋-GB2312" w:hAnsi="CESI仿宋-GB2312" w:eastAsia="CESI仿宋-GB2312" w:cs="CESI仿宋-GB2312"/>
          <w:kern w:val="0"/>
          <w:sz w:val="32"/>
          <w:szCs w:val="32"/>
          <w:lang w:val="en-US" w:eastAsia="zh-CN" w:bidi="ar-SA"/>
        </w:rPr>
        <w:t>组织年轻干部参加上级部门举办的青年思享会、读书班、警示教育会等活动，开展年轻干部谈心谈话5人次，查摆并整改问题8个。</w:t>
      </w:r>
    </w:p>
    <w:p w14:paraId="05E5595D">
      <w:pPr>
        <w:keepNext w:val="0"/>
        <w:keepLines w:val="0"/>
        <w:pageBreakBefore w:val="0"/>
        <w:widowControl w:val="0"/>
        <w:kinsoku/>
        <w:wordWrap/>
        <w:overflowPunct/>
        <w:topLinePunct w:val="0"/>
        <w:autoSpaceDE/>
        <w:autoSpaceDN/>
        <w:bidi w:val="0"/>
        <w:adjustRightInd/>
        <w:snapToGrid/>
        <w:spacing w:beforeAutospacing="0" w:line="600" w:lineRule="exact"/>
        <w:ind w:firstLine="641" w:firstLineChars="200"/>
        <w:textAlignment w:val="auto"/>
        <w:rPr>
          <w:rFonts w:hint="eastAsia" w:ascii="CESI仿宋-GB2312" w:hAnsi="CESI仿宋-GB2312" w:eastAsia="CESI仿宋-GB2312" w:cs="CESI仿宋-GB2312"/>
          <w:b/>
          <w:bCs/>
          <w:color w:val="FF0000"/>
          <w:sz w:val="32"/>
          <w:szCs w:val="32"/>
        </w:rPr>
      </w:pPr>
      <w:r>
        <w:rPr>
          <w:rFonts w:hint="eastAsia" w:ascii="CESI仿宋-GB2312" w:hAnsi="CESI仿宋-GB2312" w:eastAsia="CESI仿宋-GB2312" w:cs="CESI仿宋-GB2312"/>
          <w:b/>
          <w:bCs/>
          <w:kern w:val="0"/>
          <w:sz w:val="32"/>
          <w:szCs w:val="32"/>
          <w:lang w:val="en-US" w:eastAsia="zh-CN"/>
        </w:rPr>
        <w:t>（2）持续正风肃纪，涵养清廉生态。</w:t>
      </w:r>
      <w:r>
        <w:rPr>
          <w:rFonts w:hint="eastAsia" w:ascii="CESI仿宋-GB2312" w:hAnsi="CESI仿宋-GB2312" w:eastAsia="CESI仿宋-GB2312" w:cs="CESI仿宋-GB2312"/>
          <w:kern w:val="0"/>
          <w:sz w:val="32"/>
          <w:szCs w:val="32"/>
          <w:lang w:val="en-US" w:eastAsia="zh-CN" w:bidi="ar-SA"/>
        </w:rPr>
        <w:t>集中组织观看《严正家风》《永远在路上》等警示教育片，开展纪法知识等各类警示教育6次，覆盖440人次；组织年轻干部赴市反腐倡廉警示教育基地学习。围绕违规吃喝问题开展专题谈心谈话88人次，实现全员覆盖。</w:t>
      </w:r>
    </w:p>
    <w:p w14:paraId="3A6F338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20" w:beforeLines="50" w:line="580" w:lineRule="exact"/>
        <w:ind w:right="11" w:rightChars="0" w:firstLine="667" w:firstLineChars="200"/>
        <w:jc w:val="both"/>
        <w:textAlignment w:val="baseline"/>
        <w:rPr>
          <w:rFonts w:hint="eastAsia" w:ascii="楷体_GB2312" w:hAnsi="楷体_GB2312" w:eastAsia="楷体_GB2312" w:cs="楷体_GB2312"/>
          <w:b/>
          <w:bCs/>
          <w:spacing w:val="6"/>
          <w:kern w:val="0"/>
          <w:sz w:val="32"/>
          <w:szCs w:val="32"/>
          <w:lang w:val="en-US" w:eastAsia="zh-CN"/>
        </w:rPr>
      </w:pPr>
      <w:r>
        <w:rPr>
          <w:rFonts w:hint="eastAsia" w:ascii="楷体_GB2312" w:hAnsi="楷体_GB2312" w:eastAsia="楷体_GB2312" w:cs="楷体_GB2312"/>
          <w:b/>
          <w:bCs/>
          <w:spacing w:val="6"/>
          <w:kern w:val="0"/>
          <w:sz w:val="32"/>
          <w:szCs w:val="32"/>
          <w:lang w:val="en-US" w:eastAsia="zh-CN"/>
        </w:rPr>
        <w:t>（三）预算管理情况</w:t>
      </w:r>
    </w:p>
    <w:p w14:paraId="269D2602">
      <w:pPr>
        <w:pStyle w:val="3"/>
        <w:keepNext w:val="0"/>
        <w:keepLines w:val="0"/>
        <w:pageBreakBefore w:val="0"/>
        <w:numPr>
          <w:ilvl w:val="0"/>
          <w:numId w:val="0"/>
        </w:numPr>
        <w:wordWrap/>
        <w:overflowPunct/>
        <w:topLinePunct w:val="0"/>
        <w:bidi w:val="0"/>
        <w:spacing w:line="580" w:lineRule="exact"/>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w:t>
      </w:r>
      <w:r>
        <w:rPr>
          <w:rFonts w:hint="eastAsia" w:ascii="仿宋_GB2312" w:hAnsi="宋体" w:eastAsia="仿宋_GB2312" w:cs="宋体"/>
          <w:color w:val="auto"/>
          <w:sz w:val="32"/>
          <w:szCs w:val="32"/>
          <w:highlight w:val="none"/>
        </w:rPr>
        <w:t>《中华人民共和国预算法》</w:t>
      </w:r>
      <w:r>
        <w:rPr>
          <w:rFonts w:hint="eastAsia" w:ascii="仿宋_GB2312" w:hAnsi="宋体" w:eastAsia="仿宋_GB2312" w:cs="宋体"/>
          <w:color w:val="auto"/>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《政府会计制度》</w:t>
      </w:r>
      <w:r>
        <w:rPr>
          <w:rFonts w:hint="eastAsia" w:ascii="仿宋_GB2312" w:hAnsi="宋体" w:eastAsia="仿宋_GB2312" w:cs="宋体"/>
          <w:color w:val="auto"/>
          <w:sz w:val="32"/>
          <w:szCs w:val="32"/>
          <w:highlight w:val="none"/>
          <w:lang w:val="en-US" w:eastAsia="zh-CN"/>
        </w:rPr>
        <w:t>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中共岳阳市委办公室 岳阳市人民政府办公室关于印发</w:t>
      </w:r>
      <w:r>
        <w:rPr>
          <w:rFonts w:hint="eastAsia" w:ascii="仿宋" w:hAnsi="仿宋" w:eastAsia="仿宋" w:cs="仿宋"/>
          <w:color w:val="auto"/>
          <w:sz w:val="32"/>
          <w:szCs w:val="32"/>
          <w:lang w:val="en-US" w:eastAsia="zh-CN"/>
        </w:rPr>
        <w:t>&lt;</w:t>
      </w:r>
      <w:r>
        <w:rPr>
          <w:rFonts w:hint="eastAsia" w:ascii="仿宋_GB2312" w:hAnsi="仿宋_GB2312" w:eastAsia="仿宋_GB2312" w:cs="仿宋_GB2312"/>
          <w:color w:val="auto"/>
          <w:sz w:val="32"/>
          <w:szCs w:val="32"/>
          <w:lang w:val="en-US" w:eastAsia="zh-CN"/>
        </w:rPr>
        <w:t>岳阳市</w:t>
      </w:r>
      <w:r>
        <w:rPr>
          <w:rFonts w:hint="eastAsia" w:ascii="仿宋_GB2312" w:hAnsi="仿宋_GB2312" w:eastAsia="仿宋_GB2312" w:cs="仿宋_GB2312"/>
          <w:color w:val="auto"/>
          <w:sz w:val="32"/>
          <w:szCs w:val="32"/>
        </w:rPr>
        <w:t>预算绩效管理</w:t>
      </w:r>
      <w:r>
        <w:rPr>
          <w:rFonts w:hint="eastAsia" w:ascii="仿宋_GB2312" w:hAnsi="仿宋_GB2312" w:eastAsia="仿宋_GB2312" w:cs="仿宋_GB2312"/>
          <w:color w:val="auto"/>
          <w:sz w:val="32"/>
          <w:szCs w:val="32"/>
          <w:lang w:val="en-US" w:eastAsia="zh-CN"/>
        </w:rPr>
        <w:t>实施办法&gt;</w:t>
      </w:r>
      <w:r>
        <w:rPr>
          <w:rFonts w:hint="eastAsia" w:ascii="仿宋_GB2312" w:hAnsi="仿宋_GB2312" w:eastAsia="仿宋_GB2312" w:cs="仿宋_GB2312"/>
          <w:color w:val="auto"/>
          <w:sz w:val="32"/>
          <w:szCs w:val="32"/>
        </w:rPr>
        <w:t>的通知》（岳办</w:t>
      </w:r>
      <w:r>
        <w:rPr>
          <w:rFonts w:hint="eastAsia" w:ascii="仿宋_GB2312" w:hAnsi="仿宋_GB2312" w:eastAsia="仿宋_GB2312" w:cs="仿宋_GB2312"/>
          <w:color w:val="auto"/>
          <w:sz w:val="32"/>
          <w:szCs w:val="32"/>
          <w:lang w:val="en-US" w:eastAsia="zh-CN"/>
        </w:rPr>
        <w:t>发</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及其他相关文件精神，</w:t>
      </w:r>
      <w:r>
        <w:rPr>
          <w:rFonts w:hint="eastAsia" w:ascii="仿宋_GB2312" w:hAnsi="仿宋_GB2312" w:eastAsia="仿宋_GB2312" w:cs="仿宋_GB2312"/>
          <w:sz w:val="32"/>
          <w:szCs w:val="32"/>
          <w:lang w:val="en-US" w:eastAsia="zh-CN"/>
        </w:rPr>
        <w:t>中心成立了绩效评价及监督小组，定期开展相关工作。</w:t>
      </w:r>
    </w:p>
    <w:p w14:paraId="0304D0D5">
      <w:pPr>
        <w:pStyle w:val="4"/>
        <w:keepNext w:val="0"/>
        <w:keepLines w:val="0"/>
        <w:pageBreakBefore w:val="0"/>
        <w:wordWrap/>
        <w:overflowPunct/>
        <w:topLinePunct w:val="0"/>
        <w:bidi w:val="0"/>
        <w:spacing w:line="580" w:lineRule="exact"/>
        <w:ind w:left="0" w:leftChars="0"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1、预算及绩效管理</w:t>
      </w:r>
    </w:p>
    <w:p w14:paraId="6EBEBA80">
      <w:pPr>
        <w:pStyle w:val="3"/>
        <w:keepNext w:val="0"/>
        <w:keepLines w:val="0"/>
        <w:pageBreakBefore w:val="0"/>
        <w:wordWrap/>
        <w:overflowPunct/>
        <w:topLinePunct w:val="0"/>
        <w:bidi w:val="0"/>
        <w:spacing w:line="580" w:lineRule="exact"/>
        <w:ind w:firstLine="664" w:firstLineChars="200"/>
        <w:rPr>
          <w:rFonts w:hint="eastAsia" w:ascii="CESI仿宋-GB2312" w:hAnsi="CESI仿宋-GB2312" w:eastAsia="CESI仿宋-GB2312" w:cs="CESI仿宋-GB2312"/>
          <w:color w:val="000000"/>
          <w:kern w:val="0"/>
          <w:sz w:val="32"/>
          <w:szCs w:val="32"/>
          <w:lang w:val="en-US" w:eastAsia="zh-CN" w:bidi="ar-SA"/>
        </w:rPr>
      </w:pPr>
      <w:r>
        <w:rPr>
          <w:rFonts w:hint="eastAsia" w:ascii="仿宋_GB2312" w:hAnsi="仿宋_GB2312" w:eastAsia="仿宋_GB2312" w:cs="仿宋_GB2312"/>
          <w:spacing w:val="6"/>
          <w:kern w:val="0"/>
          <w:sz w:val="32"/>
          <w:szCs w:val="32"/>
          <w:lang w:val="en-US" w:eastAsia="zh-CN"/>
        </w:rPr>
        <w:t>加强</w:t>
      </w:r>
      <w:r>
        <w:rPr>
          <w:rFonts w:hint="eastAsia" w:ascii="仿宋_GB2312" w:hAnsi="仿宋_GB2312" w:eastAsia="仿宋_GB2312" w:cs="仿宋_GB2312"/>
          <w:spacing w:val="6"/>
          <w:kern w:val="0"/>
          <w:sz w:val="32"/>
          <w:szCs w:val="32"/>
        </w:rPr>
        <w:t>预算管理</w:t>
      </w:r>
      <w:r>
        <w:rPr>
          <w:rFonts w:hint="eastAsia" w:ascii="仿宋_GB2312" w:hAnsi="仿宋_GB2312" w:eastAsia="仿宋_GB2312" w:cs="仿宋_GB2312"/>
          <w:spacing w:val="6"/>
          <w:kern w:val="0"/>
          <w:sz w:val="32"/>
          <w:szCs w:val="32"/>
          <w:lang w:val="en-US" w:eastAsia="zh-CN"/>
        </w:rPr>
        <w:t>，从预算编制环节入手，编制</w:t>
      </w:r>
      <w:r>
        <w:rPr>
          <w:rFonts w:hint="eastAsia" w:ascii="仿宋_GB2312" w:hAnsi="仿宋_GB2312" w:eastAsia="仿宋_GB2312" w:cs="仿宋_GB2312"/>
          <w:spacing w:val="6"/>
          <w:kern w:val="0"/>
          <w:sz w:val="32"/>
          <w:szCs w:val="32"/>
        </w:rPr>
        <w:t>资金预算</w:t>
      </w:r>
      <w:r>
        <w:rPr>
          <w:rFonts w:hint="eastAsia" w:ascii="仿宋_GB2312" w:hAnsi="仿宋_GB2312" w:eastAsia="仿宋_GB2312" w:cs="仿宋_GB2312"/>
          <w:spacing w:val="6"/>
          <w:kern w:val="0"/>
          <w:sz w:val="32"/>
          <w:szCs w:val="32"/>
          <w:lang w:val="en-US" w:eastAsia="zh-CN"/>
        </w:rPr>
        <w:t>必须先</w:t>
      </w:r>
      <w:r>
        <w:rPr>
          <w:rFonts w:hint="eastAsia" w:ascii="仿宋_GB2312" w:hAnsi="仿宋_GB2312" w:eastAsia="仿宋_GB2312" w:cs="仿宋_GB2312"/>
          <w:spacing w:val="6"/>
          <w:kern w:val="0"/>
          <w:sz w:val="32"/>
          <w:szCs w:val="32"/>
        </w:rPr>
        <w:t>编制</w:t>
      </w:r>
      <w:r>
        <w:rPr>
          <w:rFonts w:hint="eastAsia" w:ascii="仿宋_GB2312" w:hAnsi="仿宋_GB2312" w:eastAsia="仿宋_GB2312" w:cs="仿宋_GB2312"/>
          <w:spacing w:val="6"/>
          <w:kern w:val="0"/>
          <w:sz w:val="32"/>
          <w:szCs w:val="32"/>
          <w:lang w:val="en-US" w:eastAsia="zh-CN"/>
        </w:rPr>
        <w:t>预算绩效</w:t>
      </w:r>
      <w:r>
        <w:rPr>
          <w:rFonts w:hint="eastAsia" w:ascii="仿宋_GB2312" w:hAnsi="仿宋_GB2312" w:eastAsia="仿宋_GB2312" w:cs="仿宋_GB2312"/>
          <w:spacing w:val="6"/>
          <w:kern w:val="0"/>
          <w:sz w:val="32"/>
          <w:szCs w:val="32"/>
        </w:rPr>
        <w:t>目标</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做到了资金预算有目标，确保单位预算资金支出效益。预算执行过程中严格落实</w:t>
      </w:r>
      <w:r>
        <w:rPr>
          <w:rFonts w:hint="eastAsia" w:ascii="CESI仿宋-GB2312" w:hAnsi="CESI仿宋-GB2312" w:eastAsia="CESI仿宋-GB2312" w:cs="CESI仿宋-GB2312"/>
          <w:color w:val="000000"/>
          <w:kern w:val="0"/>
          <w:sz w:val="32"/>
          <w:szCs w:val="32"/>
          <w:lang w:val="en-US" w:eastAsia="zh-CN" w:bidi="ar-SA"/>
        </w:rPr>
        <w:t>岳阳市财政局《关于进一步规范专项资金使用流程的通知》（岳财发〔2024〕8号）文件精神，坚持专款专用，压减一般性支出，我中心资金使用合规，无截留、挪用资金等情况。</w:t>
      </w:r>
    </w:p>
    <w:p w14:paraId="6D4DD3F4">
      <w:pPr>
        <w:pStyle w:val="3"/>
        <w:keepNext w:val="0"/>
        <w:keepLines w:val="0"/>
        <w:pageBreakBefore w:val="0"/>
        <w:wordWrap/>
        <w:overflowPunct/>
        <w:topLinePunct w:val="0"/>
        <w:bidi w:val="0"/>
        <w:spacing w:line="580" w:lineRule="exact"/>
        <w:ind w:firstLine="664" w:firstLineChars="200"/>
        <w:rPr>
          <w:rFonts w:hint="default" w:eastAsia="宋体"/>
          <w:sz w:val="32"/>
          <w:szCs w:val="32"/>
          <w:lang w:val="en-US" w:eastAsia="zh-CN"/>
        </w:rPr>
      </w:pPr>
      <w:r>
        <w:rPr>
          <w:rFonts w:hint="eastAsia" w:ascii="仿宋_GB2312" w:hAnsi="仿宋_GB2312" w:eastAsia="仿宋_GB2312" w:cs="仿宋_GB2312"/>
          <w:color w:val="000000" w:themeColor="text1"/>
          <w:spacing w:val="6"/>
          <w:kern w:val="0"/>
          <w:sz w:val="32"/>
          <w:szCs w:val="32"/>
          <w:lang w:val="en-US" w:eastAsia="zh-CN"/>
          <w14:textFill>
            <w14:solidFill>
              <w14:schemeClr w14:val="tx1"/>
            </w14:solidFill>
          </w14:textFill>
        </w:rPr>
        <w:t>2025年11月，按财政统一要求开展了</w:t>
      </w:r>
      <w:r>
        <w:rPr>
          <w:rFonts w:hint="eastAsia" w:ascii="仿宋_GB2312" w:hAnsi="仿宋_GB2312" w:eastAsia="仿宋_GB2312" w:cs="仿宋_GB2312"/>
          <w:color w:val="000000" w:themeColor="text1"/>
          <w:spacing w:val="6"/>
          <w:kern w:val="0"/>
          <w:sz w:val="32"/>
          <w:szCs w:val="32"/>
          <w14:textFill>
            <w14:solidFill>
              <w14:schemeClr w14:val="tx1"/>
            </w14:solidFill>
          </w14:textFill>
        </w:rPr>
        <w:t>预算执行监控</w:t>
      </w:r>
      <w:r>
        <w:rPr>
          <w:rFonts w:hint="eastAsia" w:ascii="仿宋_GB2312" w:hAnsi="仿宋_GB2312" w:eastAsia="仿宋_GB2312" w:cs="仿宋_GB2312"/>
          <w:color w:val="000000" w:themeColor="text1"/>
          <w:spacing w:val="6"/>
          <w:kern w:val="0"/>
          <w:sz w:val="32"/>
          <w:szCs w:val="32"/>
          <w:lang w:val="en-US" w:eastAsia="zh-CN"/>
          <w14:textFill>
            <w14:solidFill>
              <w14:schemeClr w14:val="tx1"/>
            </w14:solidFill>
          </w14:textFill>
        </w:rPr>
        <w:t>工作，分析预算执行过程中的</w:t>
      </w:r>
      <w:r>
        <w:rPr>
          <w:rFonts w:hint="eastAsia" w:ascii="仿宋_GB2312" w:hAnsi="仿宋_GB2312" w:eastAsia="仿宋_GB2312" w:cs="仿宋_GB2312"/>
          <w:color w:val="000000" w:themeColor="text1"/>
          <w:sz w:val="32"/>
          <w:szCs w:val="32"/>
          <w14:textFill>
            <w14:solidFill>
              <w14:schemeClr w14:val="tx1"/>
            </w14:solidFill>
          </w14:textFill>
        </w:rPr>
        <w:t>偏差</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并制定相应的调控</w:t>
      </w:r>
      <w:r>
        <w:rPr>
          <w:rFonts w:hint="eastAsia" w:ascii="仿宋_GB2312" w:hAnsi="仿宋_GB2312" w:eastAsia="仿宋_GB2312" w:cs="仿宋_GB2312"/>
          <w:color w:val="000000" w:themeColor="text1"/>
          <w:sz w:val="32"/>
          <w:szCs w:val="32"/>
          <w14:textFill>
            <w14:solidFill>
              <w14:schemeClr w14:val="tx1"/>
            </w14:solidFill>
          </w14:textFill>
        </w:rPr>
        <w:t>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6"/>
          <w:kern w:val="0"/>
          <w:sz w:val="32"/>
          <w:szCs w:val="32"/>
          <w:lang w:val="en-US" w:eastAsia="zh-CN"/>
          <w14:textFill>
            <w14:solidFill>
              <w14:schemeClr w14:val="tx1"/>
            </w14:solidFill>
          </w14:textFill>
        </w:rPr>
        <w:t>2026年</w:t>
      </w:r>
      <w:r>
        <w:rPr>
          <w:rFonts w:hint="default" w:ascii="仿宋_GB2312" w:hAnsi="仿宋_GB2312" w:eastAsia="仿宋_GB2312" w:cs="仿宋_GB2312"/>
          <w:color w:val="000000" w:themeColor="text1"/>
          <w:spacing w:val="6"/>
          <w:kern w:val="0"/>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pacing w:val="6"/>
          <w:kern w:val="0"/>
          <w:sz w:val="32"/>
          <w:szCs w:val="32"/>
          <w:lang w:val="en-US" w:eastAsia="zh-CN"/>
          <w14:textFill>
            <w14:solidFill>
              <w14:schemeClr w14:val="tx1"/>
            </w14:solidFill>
          </w14:textFill>
        </w:rPr>
        <w:t>月，组织相关部室对上年经费支出进行绩效自评工作，</w:t>
      </w:r>
      <w:r>
        <w:rPr>
          <w:rFonts w:hint="eastAsia" w:ascii="仿宋_GB2312" w:hAnsi="仿宋_GB2312" w:eastAsia="仿宋_GB2312" w:cs="仿宋_GB2312"/>
          <w:spacing w:val="6"/>
          <w:kern w:val="0"/>
          <w:sz w:val="32"/>
          <w:szCs w:val="32"/>
          <w:lang w:val="en-US" w:eastAsia="zh-CN"/>
        </w:rPr>
        <w:t>做到了</w:t>
      </w:r>
      <w:r>
        <w:rPr>
          <w:rFonts w:hint="eastAsia" w:ascii="仿宋_GB2312" w:hAnsi="仿宋_GB2312" w:eastAsia="仿宋_GB2312" w:cs="仿宋_GB2312"/>
          <w:spacing w:val="6"/>
          <w:kern w:val="0"/>
          <w:sz w:val="32"/>
          <w:szCs w:val="32"/>
        </w:rPr>
        <w:t>预算</w:t>
      </w:r>
      <w:r>
        <w:rPr>
          <w:rFonts w:hint="eastAsia" w:ascii="仿宋_GB2312" w:hAnsi="仿宋_GB2312" w:eastAsia="仿宋_GB2312" w:cs="仿宋_GB2312"/>
          <w:spacing w:val="6"/>
          <w:kern w:val="0"/>
          <w:sz w:val="32"/>
          <w:szCs w:val="32"/>
          <w:lang w:val="en-US" w:eastAsia="zh-CN"/>
        </w:rPr>
        <w:t>执行</w:t>
      </w:r>
      <w:r>
        <w:rPr>
          <w:rFonts w:hint="eastAsia" w:ascii="仿宋_GB2312" w:hAnsi="仿宋_GB2312" w:eastAsia="仿宋_GB2312" w:cs="仿宋_GB2312"/>
          <w:spacing w:val="6"/>
          <w:kern w:val="0"/>
          <w:sz w:val="32"/>
          <w:szCs w:val="32"/>
        </w:rPr>
        <w:t>完成有评价</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rPr>
        <w:t>使单位经济业务从事前、事中、事后得到</w:t>
      </w:r>
      <w:r>
        <w:rPr>
          <w:rFonts w:hint="eastAsia" w:ascii="仿宋_GB2312" w:hAnsi="仿宋_GB2312" w:eastAsia="仿宋_GB2312" w:cs="仿宋_GB2312"/>
          <w:spacing w:val="6"/>
          <w:kern w:val="0"/>
          <w:sz w:val="32"/>
          <w:szCs w:val="32"/>
          <w:lang w:val="en-US" w:eastAsia="zh-CN"/>
        </w:rPr>
        <w:t>了</w:t>
      </w:r>
      <w:r>
        <w:rPr>
          <w:rFonts w:hint="eastAsia" w:ascii="仿宋_GB2312" w:hAnsi="仿宋_GB2312" w:eastAsia="仿宋_GB2312" w:cs="仿宋_GB2312"/>
          <w:spacing w:val="6"/>
          <w:kern w:val="0"/>
          <w:sz w:val="32"/>
          <w:szCs w:val="32"/>
        </w:rPr>
        <w:t>有效管控</w:t>
      </w:r>
      <w:r>
        <w:rPr>
          <w:rFonts w:hint="eastAsia" w:ascii="仿宋_GB2312" w:hAnsi="仿宋_GB2312" w:eastAsia="仿宋_GB2312" w:cs="仿宋_GB2312"/>
          <w:spacing w:val="6"/>
          <w:kern w:val="0"/>
          <w:sz w:val="32"/>
          <w:szCs w:val="32"/>
          <w:lang w:eastAsia="zh-CN"/>
        </w:rPr>
        <w:t>，</w:t>
      </w:r>
      <w:r>
        <w:rPr>
          <w:rFonts w:hint="eastAsia" w:ascii="仿宋_GB2312" w:hAnsi="仿宋_GB2312" w:eastAsia="仿宋_GB2312" w:cs="仿宋_GB2312"/>
          <w:spacing w:val="6"/>
          <w:kern w:val="0"/>
          <w:sz w:val="32"/>
          <w:szCs w:val="32"/>
          <w:lang w:val="en-US" w:eastAsia="zh-CN"/>
        </w:rPr>
        <w:t>增强了管理人员预算意识和绩效意识</w:t>
      </w:r>
      <w:r>
        <w:rPr>
          <w:rFonts w:hint="eastAsia" w:ascii="仿宋_GB2312" w:hAnsi="仿宋_GB2312" w:eastAsia="仿宋_GB2312" w:cs="仿宋_GB2312"/>
          <w:spacing w:val="6"/>
          <w:kern w:val="0"/>
          <w:sz w:val="32"/>
          <w:szCs w:val="32"/>
          <w:lang w:eastAsia="zh-CN"/>
        </w:rPr>
        <w:t>，进一步</w:t>
      </w:r>
      <w:r>
        <w:rPr>
          <w:rFonts w:hint="eastAsia" w:ascii="仿宋_GB2312" w:hAnsi="仿宋_GB2312" w:eastAsia="仿宋_GB2312" w:cs="仿宋_GB2312"/>
          <w:spacing w:val="6"/>
          <w:kern w:val="0"/>
          <w:sz w:val="32"/>
          <w:szCs w:val="32"/>
          <w:lang w:val="en-US" w:eastAsia="zh-CN"/>
        </w:rPr>
        <w:t>提升了预算资金使用效益。</w:t>
      </w:r>
    </w:p>
    <w:p w14:paraId="07059BF5">
      <w:pPr>
        <w:pStyle w:val="3"/>
        <w:keepNext w:val="0"/>
        <w:keepLines w:val="0"/>
        <w:pageBreakBefore w:val="0"/>
        <w:wordWrap/>
        <w:overflowPunct/>
        <w:topLinePunct w:val="0"/>
        <w:bidi w:val="0"/>
        <w:spacing w:line="580" w:lineRule="exact"/>
        <w:ind w:firstLine="664" w:firstLineChars="200"/>
        <w:jc w:val="both"/>
        <w:rPr>
          <w:rFonts w:hint="default"/>
          <w:sz w:val="32"/>
          <w:szCs w:val="32"/>
          <w:lang w:val="en-US" w:eastAsia="zh-CN"/>
        </w:rPr>
      </w:pPr>
      <w:r>
        <w:rPr>
          <w:rFonts w:hint="eastAsia" w:ascii="仿宋_GB2312" w:hAnsi="仿宋_GB2312" w:eastAsia="仿宋_GB2312" w:cs="仿宋_GB2312"/>
          <w:spacing w:val="6"/>
          <w:kern w:val="0"/>
          <w:sz w:val="32"/>
          <w:szCs w:val="32"/>
          <w:lang w:val="en-US" w:eastAsia="zh-CN"/>
        </w:rPr>
        <w:t>2、费用支出管理情况</w:t>
      </w:r>
    </w:p>
    <w:p w14:paraId="52F8706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中心根据内部控制管理风险评估情况，进一步优化了相关管理制度和流程，使经济业务各环节风险得到有效控制。路灯维护管理各类费用支出严格审批程序，</w:t>
      </w:r>
      <w:r>
        <w:rPr>
          <w:rFonts w:hint="eastAsia" w:ascii="仿宋_GB2312" w:hAnsi="仿宋_GB2312" w:eastAsia="仿宋_GB2312" w:cs="仿宋_GB2312"/>
          <w:spacing w:val="6"/>
          <w:kern w:val="0"/>
          <w:sz w:val="32"/>
          <w:szCs w:val="32"/>
        </w:rPr>
        <w:t>重大事项经班子会</w:t>
      </w:r>
      <w:r>
        <w:rPr>
          <w:rFonts w:hint="eastAsia" w:ascii="仿宋_GB2312" w:hAnsi="仿宋_GB2312" w:eastAsia="仿宋_GB2312" w:cs="仿宋_GB2312"/>
          <w:spacing w:val="6"/>
          <w:kern w:val="0"/>
          <w:sz w:val="32"/>
          <w:szCs w:val="32"/>
          <w:lang w:val="en-US" w:eastAsia="zh-CN"/>
        </w:rPr>
        <w:t>议</w:t>
      </w:r>
      <w:r>
        <w:rPr>
          <w:rFonts w:hint="eastAsia" w:ascii="仿宋_GB2312" w:hAnsi="仿宋_GB2312" w:eastAsia="仿宋_GB2312" w:cs="仿宋_GB2312"/>
          <w:spacing w:val="6"/>
          <w:kern w:val="0"/>
          <w:sz w:val="32"/>
          <w:szCs w:val="32"/>
        </w:rPr>
        <w:t>集体决策，</w:t>
      </w:r>
      <w:r>
        <w:rPr>
          <w:rFonts w:hint="eastAsia" w:ascii="仿宋_GB2312" w:hAnsi="仿宋_GB2312" w:eastAsia="仿宋_GB2312" w:cs="仿宋_GB2312"/>
          <w:spacing w:val="6"/>
          <w:kern w:val="0"/>
          <w:sz w:val="32"/>
          <w:szCs w:val="32"/>
          <w:lang w:eastAsia="zh-CN"/>
        </w:rPr>
        <w:t>按照业务</w:t>
      </w:r>
      <w:r>
        <w:rPr>
          <w:rFonts w:hint="eastAsia" w:ascii="仿宋_GB2312" w:hAnsi="仿宋_GB2312" w:eastAsia="仿宋_GB2312" w:cs="仿宋_GB2312"/>
          <w:spacing w:val="6"/>
          <w:kern w:val="0"/>
          <w:sz w:val="32"/>
          <w:szCs w:val="32"/>
        </w:rPr>
        <w:t>归口管理，授权审批的</w:t>
      </w:r>
      <w:r>
        <w:rPr>
          <w:rFonts w:hint="eastAsia" w:ascii="仿宋_GB2312" w:hAnsi="仿宋_GB2312" w:eastAsia="仿宋_GB2312" w:cs="仿宋_GB2312"/>
          <w:spacing w:val="6"/>
          <w:kern w:val="0"/>
          <w:sz w:val="32"/>
          <w:szCs w:val="32"/>
          <w:lang w:eastAsia="zh-CN"/>
        </w:rPr>
        <w:t>方式进行管理</w:t>
      </w:r>
      <w:r>
        <w:rPr>
          <w:rFonts w:hint="eastAsia" w:ascii="仿宋_GB2312" w:hAnsi="仿宋_GB2312" w:eastAsia="仿宋_GB2312" w:cs="仿宋_GB2312"/>
          <w:spacing w:val="6"/>
          <w:kern w:val="0"/>
          <w:sz w:val="32"/>
          <w:szCs w:val="32"/>
        </w:rPr>
        <w:t>。</w:t>
      </w:r>
      <w:r>
        <w:rPr>
          <w:rFonts w:hint="eastAsia" w:ascii="仿宋_GB2312" w:hAnsi="仿宋_GB2312" w:eastAsia="仿宋_GB2312" w:cs="仿宋_GB2312"/>
          <w:spacing w:val="6"/>
          <w:kern w:val="0"/>
          <w:sz w:val="32"/>
          <w:szCs w:val="32"/>
          <w:lang w:val="en-US" w:eastAsia="zh-CN"/>
        </w:rPr>
        <w:t>费用支出</w:t>
      </w:r>
      <w:r>
        <w:rPr>
          <w:rFonts w:hint="eastAsia" w:ascii="仿宋_GB2312" w:hAnsi="仿宋_GB2312" w:eastAsia="仿宋_GB2312" w:cs="仿宋_GB2312"/>
          <w:bCs/>
          <w:sz w:val="32"/>
          <w:szCs w:val="32"/>
          <w:highlight w:val="none"/>
          <w:lang w:val="en-US" w:eastAsia="zh-CN"/>
        </w:rPr>
        <w:t>坚持“先报再审后用”的原则，由业务部门提出申请，部门分管领导签署意见，确认维护数量和预算资金额度，经财务部初审后，报分管财务领导审批后实施，维修事项完工后进行验收、并进行结算评审。</w:t>
      </w:r>
    </w:p>
    <w:p w14:paraId="70BB5C04">
      <w:pPr>
        <w:pStyle w:val="3"/>
        <w:keepNext w:val="0"/>
        <w:keepLines w:val="0"/>
        <w:pageBreakBefore w:val="0"/>
        <w:wordWrap/>
        <w:overflowPunct/>
        <w:topLinePunct w:val="0"/>
        <w:bidi w:val="0"/>
        <w:spacing w:line="580" w:lineRule="exact"/>
        <w:ind w:firstLine="640" w:firstLineChars="200"/>
        <w:jc w:val="both"/>
        <w:rPr>
          <w:rFonts w:hint="default"/>
          <w:sz w:val="32"/>
          <w:szCs w:val="32"/>
          <w:lang w:val="en-US" w:eastAsia="zh-CN"/>
        </w:rPr>
      </w:pPr>
      <w:r>
        <w:rPr>
          <w:rFonts w:hint="eastAsia" w:ascii="仿宋_GB2312" w:hAnsi="仿宋_GB2312" w:eastAsia="仿宋_GB2312" w:cs="仿宋_GB2312"/>
          <w:bCs/>
          <w:sz w:val="32"/>
          <w:szCs w:val="32"/>
          <w:highlight w:val="none"/>
          <w:lang w:val="en-US" w:eastAsia="zh-CN"/>
        </w:rPr>
        <w:t>3、资产管理情况</w:t>
      </w:r>
    </w:p>
    <w:p w14:paraId="6C0901C6">
      <w:pPr>
        <w:pStyle w:val="4"/>
        <w:keepNext w:val="0"/>
        <w:keepLines w:val="0"/>
        <w:pageBreakBefore w:val="0"/>
        <w:wordWrap/>
        <w:overflowPunct/>
        <w:topLinePunct w:val="0"/>
        <w:bidi w:val="0"/>
        <w:spacing w:line="580" w:lineRule="exact"/>
        <w:ind w:left="0" w:leftChars="0" w:firstLine="0" w:firstLineChars="0"/>
        <w:rPr>
          <w:rFonts w:hint="default"/>
          <w:sz w:val="32"/>
          <w:szCs w:val="32"/>
        </w:rPr>
      </w:pPr>
      <w:r>
        <w:rPr>
          <w:rFonts w:hint="eastAsia" w:ascii="仿宋_GB2312" w:hAnsi="仿宋_GB2312" w:eastAsia="仿宋_GB2312" w:cs="仿宋_GB2312"/>
          <w:bCs/>
          <w:sz w:val="32"/>
          <w:szCs w:val="32"/>
          <w:highlight w:val="none"/>
          <w:lang w:val="en-US" w:eastAsia="zh-CN"/>
        </w:rPr>
        <w:t xml:space="preserve">    中心结合单位工作特点，进一步优化了实物（材料）管理制度，加强实物管理，严格执行材料出入库管理制度，定期开展清查盘点工作。资产管理按照厉行节约、物尽其用的原则，采取统一建帐、统筹调配管理。对每件固定资产使用明确保管职责，闲置资产由办公室统一调整，合理流转，最大限度发挥其使用效益。固定资产配置和处置，均按规定程序办理，并严格按固定资产管理办法进行核算及管理。</w:t>
      </w:r>
    </w:p>
    <w:p w14:paraId="69C93174">
      <w:pPr>
        <w:keepNext w:val="0"/>
        <w:keepLines w:val="0"/>
        <w:pageBreakBefore w:val="0"/>
        <w:wordWrap/>
        <w:overflowPunct/>
        <w:topLinePunct w:val="0"/>
        <w:bidi w:val="0"/>
        <w:spacing w:line="580" w:lineRule="exact"/>
        <w:rPr>
          <w:rFonts w:hint="eastAsia" w:ascii="仿宋_GB2312" w:hAnsi="仿宋_GB2312" w:eastAsia="仿宋_GB2312" w:cs="仿宋_GB2312"/>
          <w:color w:val="auto"/>
          <w:sz w:val="32"/>
          <w:szCs w:val="32"/>
          <w:lang w:val="en-US" w:eastAsia="zh-CN"/>
        </w:rPr>
      </w:pPr>
      <w:r>
        <w:rPr>
          <w:rFonts w:hint="eastAsia"/>
          <w:sz w:val="32"/>
          <w:szCs w:val="32"/>
          <w:lang w:val="en-US" w:eastAsia="zh-CN"/>
        </w:rPr>
        <w:t xml:space="preserve">  </w:t>
      </w:r>
      <w:r>
        <w:rPr>
          <w:rFonts w:hint="eastAsia"/>
          <w:color w:val="FF0000"/>
          <w:sz w:val="32"/>
          <w:szCs w:val="32"/>
          <w:lang w:val="en-US" w:eastAsia="zh-CN"/>
        </w:rPr>
        <w:t xml:space="preserve"> </w:t>
      </w:r>
      <w:r>
        <w:rPr>
          <w:rFonts w:hint="eastAsia" w:ascii="仿宋_GB2312" w:hAnsi="仿宋_GB2312" w:eastAsia="仿宋_GB2312" w:cs="仿宋_GB2312"/>
          <w:color w:val="auto"/>
          <w:sz w:val="32"/>
          <w:szCs w:val="32"/>
          <w:lang w:val="en-US" w:eastAsia="zh-CN"/>
        </w:rPr>
        <w:t>4、政府采购管理情况</w:t>
      </w:r>
    </w:p>
    <w:p w14:paraId="459D7C17">
      <w:pPr>
        <w:pStyle w:val="3"/>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2025年度，绿色照明改造工程</w:t>
      </w:r>
      <w:r>
        <w:rPr>
          <w:rFonts w:hint="eastAsia" w:ascii="仿宋_GB2312" w:hAnsi="仿宋_GB2312" w:eastAsia="仿宋_GB2312" w:cs="仿宋_GB2312"/>
          <w:sz w:val="32"/>
          <w:szCs w:val="32"/>
          <w:lang w:val="en-US" w:eastAsia="zh-CN"/>
        </w:rPr>
        <w:t>严格执行</w:t>
      </w:r>
      <w:r>
        <w:rPr>
          <w:rFonts w:hint="eastAsia" w:ascii="仿宋_GB2312" w:hAnsi="仿宋_GB2312" w:eastAsia="仿宋_GB2312" w:cs="仿宋_GB2312"/>
          <w:color w:val="auto"/>
          <w:sz w:val="32"/>
          <w:szCs w:val="32"/>
        </w:rPr>
        <w:t>《中华人民共和国政府采购法》</w:t>
      </w:r>
      <w:r>
        <w:rPr>
          <w:rFonts w:hint="eastAsia" w:ascii="仿宋_GB2312" w:hAnsi="仿宋_GB2312" w:eastAsia="仿宋_GB2312" w:cs="仿宋_GB2312"/>
          <w:color w:val="auto"/>
          <w:sz w:val="32"/>
          <w:szCs w:val="32"/>
          <w:lang w:eastAsia="zh-CN"/>
        </w:rPr>
        <w:t>规定，采用</w:t>
      </w:r>
      <w:r>
        <w:rPr>
          <w:rFonts w:hint="eastAsia" w:ascii="仿宋_GB2312" w:hAnsi="仿宋_GB2312" w:eastAsia="仿宋_GB2312" w:cs="仿宋_GB2312"/>
          <w:sz w:val="32"/>
          <w:szCs w:val="32"/>
          <w:lang w:val="en-US" w:eastAsia="zh-CN"/>
        </w:rPr>
        <w:t>公开招标或竞争性磋商方式进行了采购，其他采购限额以下的货物和服务采购项目均按</w:t>
      </w:r>
      <w:r>
        <w:rPr>
          <w:rFonts w:hint="eastAsia" w:ascii="仿宋_GB2312" w:hAnsi="仿宋_GB2312" w:eastAsia="仿宋_GB2312" w:cs="仿宋_GB2312"/>
          <w:sz w:val="32"/>
          <w:szCs w:val="32"/>
        </w:rPr>
        <w:t>湖南省财政厅印发的《湖南省政府采购电子卖场管理办法》（湘财购［2019]27号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文件规定的标准和程序进行了采购。电子卖场关停后，中心依据《湖南省财政厅关于进一步规范小额零星采购活动的通知》（湘财购函〔2024〕17号），按照内控制度要求自行询价比价采购或委托第三方代理机构询价采购，严格落实“货比三家、择优选购”原则，做到了交易留痕、过程可溯、价格透明。</w:t>
      </w:r>
    </w:p>
    <w:p w14:paraId="53219455">
      <w:pPr>
        <w:keepNext w:val="0"/>
        <w:keepLines w:val="0"/>
        <w:pageBreakBefore w:val="0"/>
        <w:numPr>
          <w:ilvl w:val="0"/>
          <w:numId w:val="0"/>
        </w:numPr>
        <w:wordWrap/>
        <w:overflowPunct/>
        <w:topLinePunct w:val="0"/>
        <w:bidi w:val="0"/>
        <w:spacing w:line="58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5、资金管理情况</w:t>
      </w:r>
    </w:p>
    <w:p w14:paraId="661337EE">
      <w:pPr>
        <w:keepNext w:val="0"/>
        <w:keepLines w:val="0"/>
        <w:pageBreakBefore w:val="0"/>
        <w:wordWrap/>
        <w:overflowPunct/>
        <w:topLinePunct w:val="0"/>
        <w:bidi w:val="0"/>
        <w:spacing w:line="580" w:lineRule="exact"/>
        <w:ind w:firstLine="640" w:firstLineChars="200"/>
        <w:jc w:val="both"/>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bCs/>
          <w:sz w:val="32"/>
          <w:szCs w:val="32"/>
        </w:rPr>
        <w:t>专项资金</w:t>
      </w:r>
      <w:r>
        <w:rPr>
          <w:rFonts w:hint="eastAsia" w:ascii="仿宋_GB2312" w:hAnsi="仿宋_GB2312" w:eastAsia="仿宋_GB2312" w:cs="仿宋_GB2312"/>
          <w:bCs/>
          <w:sz w:val="32"/>
          <w:szCs w:val="32"/>
          <w:lang w:eastAsia="zh-CN"/>
        </w:rPr>
        <w:t>管理严格</w:t>
      </w:r>
      <w:r>
        <w:rPr>
          <w:rFonts w:hint="eastAsia" w:ascii="仿宋_GB2312" w:hAnsi="仿宋_GB2312" w:eastAsia="仿宋_GB2312" w:cs="仿宋_GB2312"/>
          <w:bCs/>
          <w:sz w:val="32"/>
          <w:szCs w:val="32"/>
        </w:rPr>
        <w:t>按照</w:t>
      </w:r>
      <w:r>
        <w:rPr>
          <w:rFonts w:hint="eastAsia" w:ascii="CESI仿宋-GB2312" w:hAnsi="CESI仿宋-GB2312" w:eastAsia="CESI仿宋-GB2312" w:cs="CESI仿宋-GB2312"/>
          <w:color w:val="000000"/>
          <w:kern w:val="0"/>
          <w:sz w:val="32"/>
          <w:szCs w:val="32"/>
          <w:lang w:val="en-US" w:eastAsia="zh-CN" w:bidi="ar-SA"/>
        </w:rPr>
        <w:t>岳阳市财政局《关于进一步规范专项资金使用流程的通知》（岳财发〔2024〕8号）文件精神和中心财务管理制度执行，</w:t>
      </w:r>
      <w:r>
        <w:rPr>
          <w:rFonts w:hint="eastAsia" w:ascii="仿宋_GB2312" w:hAnsi="仿宋_GB2312" w:eastAsia="仿宋_GB2312" w:cs="仿宋_GB2312"/>
          <w:bCs/>
          <w:sz w:val="32"/>
          <w:szCs w:val="32"/>
        </w:rPr>
        <w:t>按</w:t>
      </w:r>
      <w:r>
        <w:rPr>
          <w:rFonts w:hint="eastAsia" w:ascii="仿宋_GB2312" w:hAnsi="仿宋_GB2312" w:eastAsia="仿宋_GB2312" w:cs="仿宋_GB2312"/>
          <w:bCs/>
          <w:sz w:val="32"/>
          <w:szCs w:val="32"/>
          <w:lang w:val="en-US" w:eastAsia="zh-CN"/>
        </w:rPr>
        <w:t>照</w:t>
      </w:r>
      <w:r>
        <w:rPr>
          <w:rFonts w:hint="eastAsia" w:ascii="仿宋_GB2312" w:hAnsi="仿宋_GB2312" w:eastAsia="仿宋_GB2312" w:cs="仿宋_GB2312"/>
          <w:bCs/>
          <w:sz w:val="32"/>
          <w:szCs w:val="32"/>
        </w:rPr>
        <w:t>专款专用，</w:t>
      </w:r>
      <w:r>
        <w:rPr>
          <w:rFonts w:hint="eastAsia" w:ascii="仿宋_GB2312" w:hAnsi="仿宋_GB2312" w:eastAsia="仿宋_GB2312" w:cs="仿宋_GB2312"/>
          <w:bCs/>
          <w:sz w:val="32"/>
          <w:szCs w:val="32"/>
          <w:lang w:val="en-US" w:eastAsia="zh-CN"/>
        </w:rPr>
        <w:t>分项核算进行管理，</w:t>
      </w:r>
      <w:r>
        <w:rPr>
          <w:rFonts w:hint="eastAsia" w:ascii="仿宋_GB2312" w:hAnsi="仿宋_GB2312" w:eastAsia="仿宋_GB2312" w:cs="仿宋_GB2312"/>
          <w:bCs/>
          <w:sz w:val="32"/>
          <w:szCs w:val="32"/>
        </w:rPr>
        <w:t>按照项目资金批准计划使用，不擅自调项、扩项、缩项，无拆借、挪用和挤占，对每笔专项资金的支付，严格执行</w:t>
      </w:r>
      <w:r>
        <w:rPr>
          <w:rFonts w:hint="eastAsia" w:ascii="仿宋_GB2312" w:hAnsi="仿宋_GB2312" w:eastAsia="仿宋_GB2312" w:cs="仿宋_GB2312"/>
          <w:bCs/>
          <w:sz w:val="32"/>
          <w:szCs w:val="32"/>
          <w:lang w:eastAsia="zh-CN"/>
        </w:rPr>
        <w:t>审批流程</w:t>
      </w:r>
      <w:r>
        <w:rPr>
          <w:rFonts w:hint="eastAsia" w:ascii="仿宋_GB2312" w:hAnsi="仿宋_GB2312" w:eastAsia="仿宋_GB2312" w:cs="仿宋_GB2312"/>
          <w:bCs/>
          <w:sz w:val="32"/>
          <w:szCs w:val="32"/>
        </w:rPr>
        <w:t>，并通过预算一体化平台，将相关发票、合同、验收单</w:t>
      </w:r>
      <w:r>
        <w:rPr>
          <w:rFonts w:hint="eastAsia" w:ascii="仿宋_GB2312" w:hAnsi="仿宋_GB2312" w:eastAsia="仿宋_GB2312" w:cs="仿宋_GB2312"/>
          <w:bCs/>
          <w:sz w:val="32"/>
          <w:szCs w:val="32"/>
          <w:lang w:eastAsia="zh-CN"/>
        </w:rPr>
        <w:t>、资金申请表</w:t>
      </w:r>
      <w:r>
        <w:rPr>
          <w:rFonts w:hint="eastAsia" w:ascii="仿宋_GB2312" w:hAnsi="仿宋_GB2312" w:eastAsia="仿宋_GB2312" w:cs="仿宋_GB2312"/>
          <w:bCs/>
          <w:sz w:val="32"/>
          <w:szCs w:val="32"/>
        </w:rPr>
        <w:t>上传存档，全程接受了财政部门的在线监管。</w:t>
      </w:r>
    </w:p>
    <w:p w14:paraId="40D780D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6、运行成本和管理效率</w:t>
      </w:r>
    </w:p>
    <w:p w14:paraId="1B902DF7">
      <w:pPr>
        <w:pStyle w:val="3"/>
        <w:keepNext w:val="0"/>
        <w:keepLines w:val="0"/>
        <w:pageBreakBefore w:val="0"/>
        <w:numPr>
          <w:ilvl w:val="0"/>
          <w:numId w:val="0"/>
        </w:numPr>
        <w:wordWrap/>
        <w:overflowPunct/>
        <w:topLinePunct w:val="0"/>
        <w:bidi w:val="0"/>
        <w:spacing w:line="58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2025年，中心全年预算金额为5539.49万元（其中一般公共预算金额为4780.81万元、其他资金预算金额为758.68万元），实际支出金额为5539.49万元，其中基本支出</w:t>
      </w:r>
      <w:r>
        <w:rPr>
          <w:rFonts w:hint="default" w:ascii="仿宋_GB2312" w:hAnsi="仿宋_GB2312" w:eastAsia="仿宋_GB2312" w:cs="仿宋_GB2312"/>
          <w:sz w:val="32"/>
          <w:szCs w:val="32"/>
          <w:lang w:val="en-US" w:eastAsia="zh-CN"/>
        </w:rPr>
        <w:t>1359.78</w:t>
      </w:r>
      <w:r>
        <w:rPr>
          <w:rFonts w:hint="eastAsia" w:ascii="仿宋_GB2312" w:hAnsi="仿宋_GB2312" w:eastAsia="仿宋_GB2312" w:cs="仿宋_GB2312"/>
          <w:sz w:val="32"/>
          <w:szCs w:val="32"/>
          <w:lang w:val="en-US" w:eastAsia="zh-CN"/>
        </w:rPr>
        <w:t>万元、项目支出</w:t>
      </w:r>
      <w:r>
        <w:rPr>
          <w:rFonts w:hint="default" w:ascii="仿宋_GB2312" w:hAnsi="仿宋_GB2312" w:eastAsia="仿宋_GB2312" w:cs="仿宋_GB2312"/>
          <w:sz w:val="32"/>
          <w:szCs w:val="32"/>
          <w:lang w:val="en-US" w:eastAsia="zh-CN"/>
        </w:rPr>
        <w:t>4179.71</w:t>
      </w:r>
      <w:r>
        <w:rPr>
          <w:rFonts w:hint="eastAsia" w:ascii="仿宋_GB2312" w:hAnsi="仿宋_GB2312" w:eastAsia="仿宋_GB2312" w:cs="仿宋_GB2312"/>
          <w:sz w:val="32"/>
          <w:szCs w:val="32"/>
          <w:lang w:val="en-US" w:eastAsia="zh-CN"/>
        </w:rPr>
        <w:t>万元（含其他资金支出758.68万元），年度预算执行率为100%，单位履职和事业发展运行成本控制在年度预算金额内，资金周转利用效率高。</w:t>
      </w:r>
    </w:p>
    <w:p w14:paraId="6418FBF3">
      <w:pPr>
        <w:pStyle w:val="3"/>
        <w:keepNext w:val="0"/>
        <w:keepLines w:val="0"/>
        <w:pageBreakBefore w:val="0"/>
        <w:numPr>
          <w:ilvl w:val="0"/>
          <w:numId w:val="0"/>
        </w:numPr>
        <w:wordWrap/>
        <w:overflowPunct/>
        <w:topLinePunct w:val="0"/>
        <w:bidi w:val="0"/>
        <w:spacing w:line="580" w:lineRule="exact"/>
        <w:ind w:left="0" w:leftChars="0" w:firstLine="643" w:firstLineChars="200"/>
        <w:jc w:val="left"/>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pPr>
      <w:r>
        <w:rPr>
          <w:rFonts w:hint="eastAsia" w:ascii="楷体_GB2312" w:hAnsi="楷体_GB2312" w:eastAsia="楷体_GB2312" w:cs="楷体_GB2312"/>
          <w:b/>
          <w:bCs w:val="0"/>
          <w:color w:val="000000" w:themeColor="text1"/>
          <w:sz w:val="32"/>
          <w:szCs w:val="32"/>
          <w:highlight w:val="none"/>
          <w:lang w:val="en-US" w:eastAsia="zh-CN"/>
          <w14:textFill>
            <w14:solidFill>
              <w14:schemeClr w14:val="tx1"/>
            </w14:solidFill>
          </w14:textFill>
        </w:rPr>
        <w:t>（四）履职效能、社会效应、可持续发展能力和服务对象满意度等方面情况</w:t>
      </w:r>
    </w:p>
    <w:p w14:paraId="133D4C2C">
      <w:pPr>
        <w:keepNext w:val="0"/>
        <w:keepLines w:val="0"/>
        <w:pageBreakBefore w:val="0"/>
        <w:wordWrap/>
        <w:overflowPunct/>
        <w:topLinePunct w:val="0"/>
        <w:bidi w:val="0"/>
        <w:spacing w:line="58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以习近平新时代中国特色社会主义思想为指导，</w:t>
      </w:r>
      <w:r>
        <w:rPr>
          <w:rFonts w:hint="eastAsia" w:ascii="仿宋_GB2312" w:hAnsi="仿宋_GB2312" w:eastAsia="仿宋_GB2312" w:cs="仿宋_GB2312"/>
          <w:sz w:val="32"/>
          <w:szCs w:val="32"/>
          <w:lang w:val="en-US" w:eastAsia="zh-CN"/>
        </w:rPr>
        <w:t>紧扣“1224”年度工作目标，认真推进“六大城管”建设</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坚持精细管理抓落实、科技赋能提质效、党建引领强队伍，城市照明各项工作高质量发展迈出坚实步伐。全年聚焦重大活动保障与民生需求，城市夜间形象和品质显著提升，为市民营造了安全、靓丽、温馨的夜间出行环境，增强了群众的幸福感和获得感。绿色低碳转型和智慧照明建设稳步推进，单位运行成本有效降低，</w:t>
      </w:r>
      <w:r>
        <w:rPr>
          <w:rFonts w:hint="eastAsia" w:ascii="仿宋_GB2312" w:hAnsi="仿宋_GB2312" w:eastAsia="仿宋_GB2312" w:cs="仿宋_GB2312"/>
          <w:sz w:val="32"/>
          <w:szCs w:val="32"/>
          <w:lang w:val="en-US" w:eastAsia="zh-CN"/>
        </w:rPr>
        <w:t>中心城区路灯亮灯率、设施完好率始终达到98%以上，为夜间行车、行人提供了安全保障，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得到了上级领导和广大市民的普遍赞誉。</w:t>
      </w:r>
    </w:p>
    <w:p w14:paraId="78D6381E">
      <w:pPr>
        <w:pStyle w:val="3"/>
        <w:keepNext w:val="0"/>
        <w:keepLines w:val="0"/>
        <w:pageBreakBefore w:val="0"/>
        <w:numPr>
          <w:ilvl w:val="0"/>
          <w:numId w:val="4"/>
        </w:numPr>
        <w:wordWrap/>
        <w:overflowPunct/>
        <w:topLinePunct w:val="0"/>
        <w:bidi w:val="0"/>
        <w:spacing w:line="580" w:lineRule="exact"/>
        <w:ind w:left="640" w:leftChars="0" w:firstLine="0" w:firstLineChars="0"/>
        <w:rPr>
          <w:rFonts w:hint="eastAsia" w:ascii="楷体_GB2312" w:hAnsi="楷体_GB2312" w:eastAsia="楷体_GB2312" w:cs="楷体_GB2312"/>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评价结论</w:t>
      </w:r>
    </w:p>
    <w:p w14:paraId="3346249B">
      <w:pPr>
        <w:pStyle w:val="13"/>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color w:val="333333"/>
          <w:sz w:val="32"/>
          <w:szCs w:val="32"/>
          <w:u w:val="none"/>
          <w:shd w:val="clear" w:color="auto" w:fill="FFFFFF"/>
        </w:rPr>
        <w:t>评价小组</w:t>
      </w:r>
      <w:r>
        <w:rPr>
          <w:rFonts w:hint="eastAsia" w:ascii="CESI仿宋-GB2312" w:hAnsi="CESI仿宋-GB2312" w:eastAsia="CESI仿宋-GB2312" w:cs="CESI仿宋-GB2312"/>
          <w:sz w:val="32"/>
          <w:szCs w:val="32"/>
          <w:lang w:val="en-US" w:eastAsia="zh-CN"/>
        </w:rPr>
        <w:t>依</w:t>
      </w:r>
      <w:r>
        <w:rPr>
          <w:rFonts w:hint="eastAsia" w:ascii="CESI仿宋-GB2312" w:hAnsi="CESI仿宋-GB2312" w:eastAsia="CESI仿宋-GB2312" w:cs="CESI仿宋-GB2312"/>
          <w:sz w:val="32"/>
          <w:szCs w:val="32"/>
        </w:rPr>
        <w:t>据</w:t>
      </w:r>
      <w:r>
        <w:rPr>
          <w:rFonts w:hint="eastAsia" w:ascii="CESI仿宋-GB2312" w:hAnsi="CESI仿宋-GB2312" w:eastAsia="CESI仿宋-GB2312" w:cs="CESI仿宋-GB2312"/>
          <w:sz w:val="32"/>
          <w:szCs w:val="32"/>
          <w:lang w:val="en-US" w:eastAsia="zh-CN"/>
        </w:rPr>
        <w:t>岳阳市财政局《关于印发&lt;岳阳市市级预算部门绩效自评操作规程&gt;的通知》岳财函〔2022〕209号文件规定</w:t>
      </w:r>
      <w:r>
        <w:rPr>
          <w:rFonts w:hint="eastAsia" w:ascii="CESI仿宋-GB2312" w:hAnsi="CESI仿宋-GB2312" w:eastAsia="CESI仿宋-GB2312" w:cs="CESI仿宋-GB2312"/>
          <w:sz w:val="32"/>
          <w:szCs w:val="32"/>
        </w:rPr>
        <w:t>评价指标</w:t>
      </w:r>
      <w:r>
        <w:rPr>
          <w:rFonts w:hint="eastAsia" w:ascii="CESI仿宋-GB2312" w:hAnsi="CESI仿宋-GB2312" w:eastAsia="CESI仿宋-GB2312" w:cs="CESI仿宋-GB2312"/>
          <w:sz w:val="32"/>
          <w:szCs w:val="32"/>
          <w:lang w:val="en-US" w:eastAsia="zh-CN"/>
        </w:rPr>
        <w:t>和标准，结合绩效目标</w:t>
      </w:r>
      <w:r>
        <w:rPr>
          <w:rFonts w:hint="eastAsia" w:ascii="CESI仿宋-GB2312" w:hAnsi="CESI仿宋-GB2312" w:eastAsia="CESI仿宋-GB2312" w:cs="CESI仿宋-GB2312"/>
          <w:color w:val="333333"/>
          <w:sz w:val="32"/>
          <w:szCs w:val="32"/>
          <w:u w:val="none"/>
          <w:shd w:val="clear" w:color="auto" w:fill="FFFFFF"/>
          <w:lang w:val="en-US" w:eastAsia="zh-CN"/>
        </w:rPr>
        <w:t>对</w:t>
      </w:r>
      <w:r>
        <w:rPr>
          <w:rFonts w:hint="eastAsia" w:ascii="CESI仿宋-GB2312" w:hAnsi="CESI仿宋-GB2312" w:eastAsia="CESI仿宋-GB2312" w:cs="CESI仿宋-GB2312"/>
          <w:color w:val="000000"/>
          <w:sz w:val="32"/>
          <w:szCs w:val="32"/>
          <w:u w:val="none"/>
        </w:rPr>
        <w:t>岳阳市城市照明管理中心</w:t>
      </w:r>
      <w:r>
        <w:rPr>
          <w:rFonts w:hint="eastAsia" w:ascii="CESI仿宋-GB2312" w:hAnsi="CESI仿宋-GB2312" w:eastAsia="CESI仿宋-GB2312" w:cs="CESI仿宋-GB2312"/>
          <w:color w:val="333333"/>
          <w:sz w:val="32"/>
          <w:szCs w:val="32"/>
          <w:shd w:val="clear" w:color="auto" w:fill="FFFFFF"/>
        </w:rPr>
        <w:t>202</w:t>
      </w:r>
      <w:r>
        <w:rPr>
          <w:rFonts w:hint="eastAsia" w:ascii="CESI仿宋-GB2312" w:hAnsi="CESI仿宋-GB2312" w:eastAsia="CESI仿宋-GB2312" w:cs="CESI仿宋-GB2312"/>
          <w:color w:val="333333"/>
          <w:sz w:val="32"/>
          <w:szCs w:val="32"/>
          <w:shd w:val="clear" w:color="auto" w:fill="FFFFFF"/>
          <w:lang w:val="en-US" w:eastAsia="zh-CN"/>
        </w:rPr>
        <w:t>5</w:t>
      </w:r>
      <w:r>
        <w:rPr>
          <w:rFonts w:hint="eastAsia" w:ascii="CESI仿宋-GB2312" w:hAnsi="CESI仿宋-GB2312" w:eastAsia="CESI仿宋-GB2312" w:cs="CESI仿宋-GB2312"/>
          <w:color w:val="333333"/>
          <w:sz w:val="32"/>
          <w:szCs w:val="32"/>
          <w:shd w:val="clear" w:color="auto" w:fill="FFFFFF"/>
        </w:rPr>
        <w:t>年</w:t>
      </w:r>
      <w:r>
        <w:rPr>
          <w:rFonts w:hint="eastAsia" w:ascii="CESI仿宋-GB2312" w:hAnsi="CESI仿宋-GB2312" w:eastAsia="CESI仿宋-GB2312" w:cs="CESI仿宋-GB2312"/>
          <w:sz w:val="32"/>
          <w:szCs w:val="32"/>
          <w:lang w:val="en-US" w:eastAsia="zh-CN"/>
        </w:rPr>
        <w:t>资金支出情况</w:t>
      </w:r>
      <w:r>
        <w:rPr>
          <w:rFonts w:hint="eastAsia" w:ascii="CESI仿宋-GB2312" w:hAnsi="CESI仿宋-GB2312" w:eastAsia="CESI仿宋-GB2312" w:cs="CESI仿宋-GB2312"/>
          <w:color w:val="333333"/>
          <w:sz w:val="32"/>
          <w:szCs w:val="32"/>
          <w:u w:val="none"/>
          <w:shd w:val="clear" w:color="auto" w:fill="FFFFFF"/>
          <w:lang w:val="en-US" w:eastAsia="zh-CN"/>
        </w:rPr>
        <w:t>进行了</w:t>
      </w:r>
      <w:r>
        <w:rPr>
          <w:rFonts w:hint="eastAsia" w:ascii="CESI仿宋-GB2312" w:hAnsi="CESI仿宋-GB2312" w:eastAsia="CESI仿宋-GB2312" w:cs="CESI仿宋-GB2312"/>
          <w:color w:val="333333"/>
          <w:sz w:val="32"/>
          <w:szCs w:val="32"/>
          <w:u w:val="none"/>
          <w:shd w:val="clear" w:color="auto" w:fill="FFFFFF"/>
        </w:rPr>
        <w:t>定量和定性分析</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color w:val="333333"/>
          <w:sz w:val="32"/>
          <w:szCs w:val="32"/>
          <w:shd w:val="clear" w:color="auto" w:fill="FFFFFF"/>
          <w:lang w:val="en-US" w:eastAsia="zh-CN"/>
        </w:rPr>
        <w:t>单位整体</w:t>
      </w:r>
      <w:r>
        <w:rPr>
          <w:rFonts w:hint="eastAsia" w:ascii="CESI仿宋-GB2312" w:hAnsi="CESI仿宋-GB2312" w:eastAsia="CESI仿宋-GB2312" w:cs="CESI仿宋-GB2312"/>
          <w:color w:val="333333"/>
          <w:sz w:val="32"/>
          <w:szCs w:val="32"/>
          <w:shd w:val="clear" w:color="auto" w:fill="FFFFFF"/>
        </w:rPr>
        <w:t>绩效评价最后得分为</w:t>
      </w:r>
      <w:r>
        <w:rPr>
          <w:rFonts w:hint="default" w:ascii="CESI仿宋-GB2312" w:hAnsi="CESI仿宋-GB2312" w:eastAsia="CESI仿宋-GB2312" w:cs="CESI仿宋-GB2312"/>
          <w:color w:val="auto"/>
          <w:sz w:val="32"/>
          <w:szCs w:val="32"/>
          <w:shd w:val="clear" w:color="auto" w:fill="FFFFFF"/>
          <w:lang w:val="en-US" w:eastAsia="zh-CN"/>
        </w:rPr>
        <w:t>9.9</w:t>
      </w:r>
      <w:r>
        <w:rPr>
          <w:rFonts w:hint="eastAsia" w:ascii="CESI仿宋-GB2312" w:hAnsi="CESI仿宋-GB2312" w:eastAsia="CESI仿宋-GB2312" w:cs="CESI仿宋-GB2312"/>
          <w:color w:val="333333"/>
          <w:sz w:val="32"/>
          <w:szCs w:val="32"/>
          <w:shd w:val="clear" w:color="auto" w:fill="FFFFFF"/>
          <w:lang w:val="en-US" w:eastAsia="zh-CN"/>
        </w:rPr>
        <w:t>分（具体评分见附件2），</w:t>
      </w:r>
      <w:r>
        <w:rPr>
          <w:rFonts w:hint="eastAsia" w:ascii="CESI仿宋-GB2312" w:hAnsi="CESI仿宋-GB2312" w:eastAsia="CESI仿宋-GB2312" w:cs="CESI仿宋-GB2312"/>
          <w:color w:val="333333"/>
          <w:sz w:val="32"/>
          <w:szCs w:val="32"/>
          <w:shd w:val="clear" w:color="auto" w:fill="FFFFFF"/>
        </w:rPr>
        <w:t>从绩效评价总体情况来看，</w:t>
      </w:r>
      <w:r>
        <w:rPr>
          <w:rFonts w:hint="eastAsia" w:ascii="CESI仿宋-GB2312" w:hAnsi="CESI仿宋-GB2312" w:eastAsia="CESI仿宋-GB2312" w:cs="CESI仿宋-GB2312"/>
          <w:color w:val="333333"/>
          <w:sz w:val="32"/>
          <w:szCs w:val="32"/>
          <w:shd w:val="clear" w:color="auto" w:fill="FFFFFF"/>
          <w:lang w:val="en-US" w:eastAsia="zh-CN"/>
        </w:rPr>
        <w:t>单位</w:t>
      </w:r>
      <w:r>
        <w:rPr>
          <w:rFonts w:hint="eastAsia" w:ascii="CESI仿宋-GB2312" w:hAnsi="CESI仿宋-GB2312" w:eastAsia="CESI仿宋-GB2312" w:cs="CESI仿宋-GB2312"/>
          <w:color w:val="333333"/>
          <w:sz w:val="32"/>
          <w:szCs w:val="32"/>
          <w:shd w:val="clear" w:color="auto" w:fill="FFFFFF"/>
        </w:rPr>
        <w:t>资金支出规范，</w:t>
      </w:r>
      <w:r>
        <w:rPr>
          <w:rFonts w:hint="eastAsia" w:ascii="CESI仿宋-GB2312" w:hAnsi="CESI仿宋-GB2312" w:eastAsia="CESI仿宋-GB2312" w:cs="CESI仿宋-GB2312"/>
          <w:sz w:val="32"/>
          <w:szCs w:val="32"/>
        </w:rPr>
        <w:t>整体支出绩效良好，</w:t>
      </w:r>
      <w:r>
        <w:rPr>
          <w:rFonts w:hint="eastAsia" w:ascii="CESI仿宋-GB2312" w:hAnsi="CESI仿宋-GB2312" w:eastAsia="CESI仿宋-GB2312" w:cs="CESI仿宋-GB2312"/>
          <w:sz w:val="32"/>
          <w:szCs w:val="32"/>
          <w:lang w:val="en-US" w:eastAsia="zh-CN"/>
        </w:rPr>
        <w:t>圆满完成了年初绩效目标，积极推动了城市照明管理事业高质量发展。</w:t>
      </w:r>
    </w:p>
    <w:p w14:paraId="6E368EF9">
      <w:pPr>
        <w:pStyle w:val="13"/>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rPr>
        <w:t>、存在的问题及原因分析</w:t>
      </w:r>
    </w:p>
    <w:p w14:paraId="12735523">
      <w:pPr>
        <w:keepNext w:val="0"/>
        <w:keepLines w:val="0"/>
        <w:pageBreakBefore w:val="0"/>
        <w:widowControl w:val="0"/>
        <w:numPr>
          <w:ilvl w:val="0"/>
          <w:numId w:val="5"/>
        </w:numPr>
        <w:kinsoku/>
        <w:wordWrap/>
        <w:overflowPunct/>
        <w:topLinePunct w:val="0"/>
        <w:autoSpaceDE/>
        <w:autoSpaceDN/>
        <w:bidi w:val="0"/>
        <w:adjustRightInd/>
        <w:snapToGrid/>
        <w:spacing w:beforeAutospacing="0" w:line="60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照明运维经费矛盾凸显</w:t>
      </w:r>
    </w:p>
    <w:p w14:paraId="6128FE8F">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去年10月中心接管经开区的</w:t>
      </w:r>
      <w:r>
        <w:rPr>
          <w:rFonts w:hint="default" w:ascii="仿宋_GB2312" w:hAnsi="仿宋_GB2312" w:eastAsia="仿宋_GB2312" w:cs="仿宋_GB2312"/>
          <w:sz w:val="32"/>
          <w:szCs w:val="32"/>
          <w:lang w:val="en-US" w:eastAsia="zh-CN"/>
        </w:rPr>
        <w:t>73条</w:t>
      </w:r>
      <w:r>
        <w:rPr>
          <w:rFonts w:hint="eastAsia" w:ascii="仿宋_GB2312" w:hAnsi="仿宋_GB2312" w:eastAsia="仿宋_GB2312" w:cs="仿宋_GB2312"/>
          <w:sz w:val="32"/>
          <w:szCs w:val="32"/>
          <w:lang w:val="en-US" w:eastAsia="zh-CN"/>
        </w:rPr>
        <w:t>道路照明设施</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路灯数量增加5843盏，而2025年</w:t>
      </w:r>
      <w:r>
        <w:rPr>
          <w:rFonts w:hint="default" w:ascii="仿宋_GB2312" w:hAnsi="仿宋_GB2312" w:eastAsia="仿宋_GB2312" w:cs="仿宋_GB2312"/>
          <w:sz w:val="32"/>
          <w:szCs w:val="32"/>
          <w:lang w:val="en-US" w:eastAsia="zh-CN"/>
        </w:rPr>
        <w:t>财政拨款较</w:t>
      </w:r>
      <w:r>
        <w:rPr>
          <w:rFonts w:hint="eastAsia" w:ascii="仿宋_GB2312" w:hAnsi="仿宋_GB2312" w:eastAsia="仿宋_GB2312" w:cs="仿宋_GB2312"/>
          <w:sz w:val="32"/>
          <w:szCs w:val="32"/>
          <w:lang w:val="en-US" w:eastAsia="zh-CN"/>
        </w:rPr>
        <w:t>2024年大幅</w:t>
      </w:r>
      <w:r>
        <w:rPr>
          <w:rFonts w:hint="default" w:ascii="仿宋_GB2312" w:hAnsi="仿宋_GB2312" w:eastAsia="仿宋_GB2312" w:cs="仿宋_GB2312"/>
          <w:sz w:val="32"/>
          <w:szCs w:val="32"/>
          <w:lang w:val="en-US" w:eastAsia="zh-CN"/>
        </w:rPr>
        <w:t>减</w:t>
      </w:r>
      <w:r>
        <w:rPr>
          <w:rFonts w:hint="eastAsia" w:ascii="仿宋_GB2312" w:hAnsi="仿宋_GB2312" w:eastAsia="仿宋_GB2312" w:cs="仿宋_GB2312"/>
          <w:sz w:val="32"/>
          <w:szCs w:val="32"/>
          <w:lang w:val="en-US" w:eastAsia="zh-CN"/>
        </w:rPr>
        <w:t>少</w:t>
      </w:r>
      <w:r>
        <w:rPr>
          <w:rFonts w:hint="default" w:ascii="仿宋_GB2312" w:hAnsi="仿宋_GB2312" w:eastAsia="仿宋_GB2312" w:cs="仿宋_GB2312"/>
          <w:sz w:val="32"/>
          <w:szCs w:val="32"/>
          <w:lang w:val="en-US" w:eastAsia="zh-CN"/>
        </w:rPr>
        <w:t>，形成运维成本刚性增长与资金供给逆向收缩的矛盾，经费缺口持续扩大。</w:t>
      </w:r>
    </w:p>
    <w:p w14:paraId="05E34857">
      <w:pPr>
        <w:keepNext w:val="0"/>
        <w:keepLines w:val="0"/>
        <w:pageBreakBefore w:val="0"/>
        <w:widowControl w:val="0"/>
        <w:numPr>
          <w:ilvl w:val="0"/>
          <w:numId w:val="5"/>
        </w:numPr>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部分照明设施老化严重</w:t>
      </w:r>
    </w:p>
    <w:p w14:paraId="3A149F7D">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部分配电设备、线路和灯杆已远超设计使用年限。</w:t>
      </w:r>
      <w:r>
        <w:rPr>
          <w:rFonts w:hint="eastAsia" w:ascii="仿宋_GB2312" w:hAnsi="仿宋_GB2312" w:eastAsia="仿宋_GB2312" w:cs="仿宋_GB2312"/>
          <w:sz w:val="32"/>
          <w:szCs w:val="32"/>
          <w:lang w:val="en-US" w:eastAsia="zh-CN"/>
        </w:rPr>
        <w:t>2025年</w:t>
      </w:r>
      <w:r>
        <w:rPr>
          <w:rFonts w:hint="default" w:ascii="仿宋_GB2312" w:hAnsi="仿宋_GB2312" w:eastAsia="仿宋_GB2312" w:cs="仿宋_GB2312"/>
          <w:sz w:val="32"/>
          <w:szCs w:val="32"/>
          <w:lang w:val="en-US" w:eastAsia="zh-CN"/>
        </w:rPr>
        <w:t>因</w:t>
      </w:r>
      <w:r>
        <w:rPr>
          <w:rFonts w:hint="eastAsia" w:ascii="仿宋_GB2312" w:hAnsi="仿宋_GB2312" w:eastAsia="仿宋_GB2312" w:cs="仿宋_GB2312"/>
          <w:sz w:val="32"/>
          <w:szCs w:val="32"/>
          <w:lang w:val="en-US" w:eastAsia="zh-CN"/>
        </w:rPr>
        <w:t>照明设施</w:t>
      </w:r>
      <w:r>
        <w:rPr>
          <w:rFonts w:hint="default" w:ascii="仿宋_GB2312" w:hAnsi="仿宋_GB2312" w:eastAsia="仿宋_GB2312" w:cs="仿宋_GB2312"/>
          <w:sz w:val="32"/>
          <w:szCs w:val="32"/>
          <w:lang w:val="en-US" w:eastAsia="zh-CN"/>
        </w:rPr>
        <w:t>严重老化引发的低压线路故障</w:t>
      </w:r>
      <w:r>
        <w:rPr>
          <w:rFonts w:hint="eastAsia" w:ascii="仿宋_GB2312" w:hAnsi="仿宋_GB2312" w:eastAsia="仿宋_GB2312" w:cs="仿宋_GB2312"/>
          <w:sz w:val="32"/>
          <w:szCs w:val="32"/>
          <w:lang w:val="en-US" w:eastAsia="zh-CN"/>
        </w:rPr>
        <w:t>百余</w:t>
      </w:r>
      <w:r>
        <w:rPr>
          <w:rFonts w:hint="default" w:ascii="仿宋_GB2312" w:hAnsi="仿宋_GB2312" w:eastAsia="仿宋_GB2312" w:cs="仿宋_GB2312"/>
          <w:sz w:val="32"/>
          <w:szCs w:val="32"/>
          <w:lang w:val="en-US" w:eastAsia="zh-CN"/>
        </w:rPr>
        <w:t>起、高压配电室故障</w:t>
      </w:r>
      <w:r>
        <w:rPr>
          <w:rFonts w:hint="eastAsia" w:ascii="仿宋_GB2312" w:hAnsi="仿宋_GB2312" w:eastAsia="仿宋_GB2312" w:cs="仿宋_GB2312"/>
          <w:sz w:val="32"/>
          <w:szCs w:val="32"/>
          <w:lang w:val="en-US" w:eastAsia="zh-CN"/>
        </w:rPr>
        <w:t>22</w:t>
      </w:r>
      <w:r>
        <w:rPr>
          <w:rFonts w:hint="default" w:ascii="仿宋_GB2312" w:hAnsi="仿宋_GB2312" w:eastAsia="仿宋_GB2312" w:cs="仿宋_GB2312"/>
          <w:sz w:val="32"/>
          <w:szCs w:val="32"/>
          <w:lang w:val="en-US" w:eastAsia="zh-CN"/>
        </w:rPr>
        <w:t>起</w:t>
      </w:r>
      <w:r>
        <w:rPr>
          <w:rFonts w:hint="eastAsia" w:ascii="仿宋_GB2312" w:hAnsi="仿宋_GB2312" w:eastAsia="仿宋_GB2312" w:cs="仿宋_GB2312"/>
          <w:sz w:val="32"/>
          <w:szCs w:val="32"/>
          <w:lang w:val="en-US" w:eastAsia="zh-CN"/>
        </w:rPr>
        <w:t>，及时发现</w:t>
      </w:r>
      <w:r>
        <w:rPr>
          <w:rFonts w:hint="default" w:ascii="仿宋_GB2312" w:hAnsi="仿宋_GB2312" w:eastAsia="仿宋_GB2312" w:cs="仿宋_GB2312"/>
          <w:sz w:val="32"/>
          <w:szCs w:val="32"/>
          <w:lang w:val="en-US" w:eastAsia="zh-CN"/>
        </w:rPr>
        <w:t>并拆除存在安全隐患的老旧灯杆</w:t>
      </w:r>
      <w:r>
        <w:rPr>
          <w:rFonts w:hint="eastAsia" w:ascii="仿宋_GB2312" w:hAnsi="仿宋_GB2312" w:eastAsia="仿宋_GB2312" w:cs="仿宋_GB2312"/>
          <w:sz w:val="32"/>
          <w:szCs w:val="32"/>
          <w:lang w:val="en-US" w:eastAsia="zh-CN"/>
        </w:rPr>
        <w:t>38</w:t>
      </w:r>
      <w:r>
        <w:rPr>
          <w:rFonts w:hint="default" w:ascii="仿宋_GB2312" w:hAnsi="仿宋_GB2312" w:eastAsia="仿宋_GB2312" w:cs="仿宋_GB2312"/>
          <w:sz w:val="32"/>
          <w:szCs w:val="32"/>
          <w:lang w:val="en-US" w:eastAsia="zh-CN"/>
        </w:rPr>
        <w:t>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设备老化</w:t>
      </w:r>
      <w:r>
        <w:rPr>
          <w:rFonts w:hint="eastAsia" w:ascii="仿宋_GB2312" w:hAnsi="仿宋_GB2312" w:eastAsia="仿宋_GB2312" w:cs="仿宋_GB2312"/>
          <w:sz w:val="32"/>
          <w:szCs w:val="32"/>
          <w:lang w:val="en-US" w:eastAsia="zh-CN"/>
        </w:rPr>
        <w:t>问题</w:t>
      </w:r>
      <w:r>
        <w:rPr>
          <w:rFonts w:hint="default" w:ascii="仿宋_GB2312" w:hAnsi="仿宋_GB2312" w:eastAsia="仿宋_GB2312" w:cs="仿宋_GB2312"/>
          <w:sz w:val="32"/>
          <w:szCs w:val="32"/>
          <w:lang w:val="en-US" w:eastAsia="zh-CN"/>
        </w:rPr>
        <w:t>频发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若不尽快更新升级，可能引发大面积熄灯或安全事故，</w:t>
      </w:r>
      <w:r>
        <w:rPr>
          <w:rFonts w:hint="eastAsia" w:ascii="仿宋_GB2312" w:hAnsi="仿宋_GB2312" w:eastAsia="仿宋_GB2312" w:cs="仿宋_GB2312"/>
          <w:sz w:val="32"/>
          <w:szCs w:val="32"/>
          <w:lang w:val="en-US" w:eastAsia="zh-CN"/>
        </w:rPr>
        <w:t>需尽快</w:t>
      </w:r>
      <w:r>
        <w:rPr>
          <w:rFonts w:hint="default" w:ascii="仿宋_GB2312" w:hAnsi="仿宋_GB2312" w:eastAsia="仿宋_GB2312" w:cs="仿宋_GB2312"/>
          <w:sz w:val="32"/>
          <w:szCs w:val="32"/>
          <w:lang w:val="en-US" w:eastAsia="zh-CN"/>
        </w:rPr>
        <w:t>启动对超期服役老旧照明设施的全面</w:t>
      </w:r>
      <w:r>
        <w:rPr>
          <w:rFonts w:hint="eastAsia" w:ascii="仿宋_GB2312" w:hAnsi="仿宋_GB2312" w:eastAsia="仿宋_GB2312" w:cs="仿宋_GB2312"/>
          <w:sz w:val="32"/>
          <w:szCs w:val="32"/>
          <w:lang w:val="en-US" w:eastAsia="zh-CN"/>
        </w:rPr>
        <w:t>改造</w:t>
      </w:r>
      <w:r>
        <w:rPr>
          <w:rFonts w:hint="default" w:ascii="仿宋_GB2312" w:hAnsi="仿宋_GB2312" w:eastAsia="仿宋_GB2312" w:cs="仿宋_GB2312"/>
          <w:sz w:val="32"/>
          <w:szCs w:val="32"/>
          <w:lang w:val="en-US" w:eastAsia="zh-CN"/>
        </w:rPr>
        <w:t>工作。</w:t>
      </w:r>
    </w:p>
    <w:p w14:paraId="23A4287E">
      <w:pPr>
        <w:keepNext w:val="0"/>
        <w:keepLines w:val="0"/>
        <w:pageBreakBefore w:val="0"/>
        <w:widowControl/>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、下一步改进措施</w:t>
      </w:r>
    </w:p>
    <w:p w14:paraId="33126C70">
      <w:pPr>
        <w:keepNext w:val="0"/>
        <w:keepLines w:val="0"/>
        <w:pageBreakBefore w:val="0"/>
        <w:widowControl w:val="0"/>
        <w:numPr>
          <w:ilvl w:val="0"/>
          <w:numId w:val="6"/>
        </w:numPr>
        <w:kinsoku/>
        <w:wordWrap/>
        <w:overflowPunct/>
        <w:topLinePunct w:val="0"/>
        <w:autoSpaceDE/>
        <w:autoSpaceDN/>
        <w:bidi w:val="0"/>
        <w:adjustRightInd/>
        <w:snapToGrid/>
        <w:spacing w:beforeAutospacing="0" w:line="60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积极争取财政支持，优化资金配置</w:t>
      </w:r>
    </w:p>
    <w:p w14:paraId="5E7DC162">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积极向上级部门汇报因接管新增的运维成本及设施老化现状，争取专项维护资金支持；内部优化支出结构，压减非刚性支出，优先保障安全运行和民生急需。</w:t>
      </w:r>
    </w:p>
    <w:p w14:paraId="5FD7B062">
      <w:pPr>
        <w:keepNext w:val="0"/>
        <w:keepLines w:val="0"/>
        <w:pageBreakBefore w:val="0"/>
        <w:widowControl w:val="0"/>
        <w:numPr>
          <w:ilvl w:val="0"/>
          <w:numId w:val="6"/>
        </w:numPr>
        <w:kinsoku/>
        <w:wordWrap/>
        <w:overflowPunct/>
        <w:topLinePunct w:val="0"/>
        <w:autoSpaceDE/>
        <w:autoSpaceDN/>
        <w:bidi w:val="0"/>
        <w:adjustRightInd/>
        <w:snapToGrid/>
        <w:spacing w:beforeAutospacing="0" w:line="60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加快推进老旧设施更新改造</w:t>
      </w:r>
    </w:p>
    <w:p w14:paraId="77F0EB87">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分年度、季度制定老旧照明设施改造计划，重点对超期服役的变压器、高压线路及灯杆进行系统性排查更换，消除安全隐患。</w:t>
      </w:r>
    </w:p>
    <w:p w14:paraId="10D46DE2">
      <w:pPr>
        <w:pStyle w:val="9"/>
        <w:keepNext w:val="0"/>
        <w:keepLines w:val="0"/>
        <w:pageBreakBefore w:val="0"/>
        <w:numPr>
          <w:ilvl w:val="0"/>
          <w:numId w:val="6"/>
        </w:numPr>
        <w:wordWrap/>
        <w:overflowPunct/>
        <w:topLinePunct w:val="0"/>
        <w:bidi w:val="0"/>
        <w:spacing w:line="580" w:lineRule="exact"/>
        <w:ind w:left="0" w:leftChars="0" w:firstLine="643" w:firstLineChars="200"/>
        <w:rPr>
          <w:rFonts w:hint="eastAsia" w:ascii="楷体_GB2312" w:hAnsi="楷体_GB2312" w:eastAsia="楷体_GB2312" w:cs="楷体_GB2312"/>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深化智慧照明与节能改造</w:t>
      </w:r>
    </w:p>
    <w:p w14:paraId="5C5BBB34">
      <w:pPr>
        <w:keepNext w:val="0"/>
        <w:keepLines w:val="0"/>
        <w:pageBreakBefore w:val="0"/>
        <w:widowControl w:val="0"/>
        <w:kinsoku/>
        <w:wordWrap/>
        <w:overflowPunct/>
        <w:topLinePunct w:val="0"/>
        <w:autoSpaceDE/>
        <w:autoSpaceDN/>
        <w:bidi w:val="0"/>
        <w:adjustRightInd/>
        <w:snapToGrid/>
        <w:spacing w:beforeAutospacing="0"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重点推进长江大道、通海路等主次干道LED节能灯具更换及智能控制系统升级，力争年底前基本完成中心城区管辖范围内绿色照明改造任务。全面推进单灯智能控制系统建设，确保城区主次干道单灯控制器安装使用率达到70%以上，实现精准控制、按需照明、节能降耗。</w:t>
      </w:r>
    </w:p>
    <w:p w14:paraId="7269EBB6">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七、</w:t>
      </w:r>
      <w:r>
        <w:rPr>
          <w:rFonts w:hint="default" w:ascii="Times New Roman" w:hAnsi="Times New Roman" w:eastAsia="黑体" w:cs="Times New Roman"/>
          <w:sz w:val="32"/>
          <w:szCs w:val="32"/>
        </w:rPr>
        <w:t>部门整体支出绩效自评结果拟应用</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公开情况</w:t>
      </w:r>
      <w:r>
        <w:rPr>
          <w:rFonts w:hint="eastAsia" w:ascii="Times New Roman" w:hAnsi="Times New Roman" w:eastAsia="黑体" w:cs="Times New Roman"/>
          <w:sz w:val="32"/>
          <w:szCs w:val="32"/>
          <w:lang w:eastAsia="zh-CN"/>
        </w:rPr>
        <w:t>和</w:t>
      </w:r>
      <w:r>
        <w:rPr>
          <w:rFonts w:hint="default" w:ascii="Times New Roman" w:hAnsi="Times New Roman" w:eastAsia="黑体" w:cs="Times New Roman"/>
          <w:color w:val="auto"/>
          <w:sz w:val="32"/>
          <w:szCs w:val="32"/>
        </w:rPr>
        <w:t>其他需要说明的情况</w:t>
      </w:r>
    </w:p>
    <w:p w14:paraId="4A0FE71E">
      <w:pPr>
        <w:keepNext w:val="0"/>
        <w:keepLines w:val="0"/>
        <w:pageBreakBefore w:val="0"/>
        <w:widowControl/>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z w:val="32"/>
          <w:szCs w:val="32"/>
          <w:highlight w:val="none"/>
          <w:lang w:eastAsia="zh-CN"/>
        </w:rPr>
      </w:pPr>
      <w:r>
        <w:rPr>
          <w:rFonts w:hint="eastAsia" w:ascii="CESI仿宋-GB2312" w:hAnsi="CESI仿宋-GB2312" w:eastAsia="CESI仿宋-GB2312" w:cs="CESI仿宋-GB2312"/>
          <w:b w:val="0"/>
          <w:bCs w:val="0"/>
          <w:sz w:val="32"/>
          <w:szCs w:val="32"/>
          <w:lang w:val="en-US" w:eastAsia="zh-CN"/>
        </w:rPr>
        <w:t>我单位</w:t>
      </w:r>
      <w:r>
        <w:rPr>
          <w:rFonts w:hint="eastAsia" w:ascii="CESI仿宋-GB2312" w:hAnsi="CESI仿宋-GB2312" w:eastAsia="CESI仿宋-GB2312" w:cs="CESI仿宋-GB2312"/>
          <w:b w:val="0"/>
          <w:bCs w:val="0"/>
          <w:sz w:val="32"/>
          <w:szCs w:val="32"/>
        </w:rPr>
        <w:t>整体支出绩效自评结果</w:t>
      </w:r>
      <w:r>
        <w:rPr>
          <w:rFonts w:hint="eastAsia" w:ascii="CESI仿宋-GB2312" w:hAnsi="CESI仿宋-GB2312" w:eastAsia="CESI仿宋-GB2312" w:cs="CESI仿宋-GB2312"/>
          <w:b w:val="0"/>
          <w:bCs w:val="0"/>
          <w:sz w:val="32"/>
          <w:szCs w:val="32"/>
          <w:lang w:val="en-US" w:eastAsia="zh-CN"/>
        </w:rPr>
        <w:t>将作为完善单位制度，改进资金管理的重要依据，同时，是单位内部工作考核的参考依据。单位的预算绩效目标、预算、决算及绩效评价等信息均按相关规定及时在市城管局门户网站进行了公开，</w:t>
      </w:r>
      <w:r>
        <w:rPr>
          <w:rFonts w:hint="eastAsia" w:ascii="CESI仿宋-GB2312" w:hAnsi="CESI仿宋-GB2312" w:eastAsia="CESI仿宋-GB2312" w:cs="CESI仿宋-GB2312"/>
          <w:kern w:val="0"/>
          <w:sz w:val="32"/>
          <w:szCs w:val="32"/>
        </w:rPr>
        <w:t>公开信息基础数据和会计信息资料准确、真实、完整</w:t>
      </w:r>
      <w:r>
        <w:rPr>
          <w:rFonts w:hint="eastAsia" w:ascii="CESI仿宋-GB2312" w:hAnsi="CESI仿宋-GB2312" w:eastAsia="CESI仿宋-GB2312" w:cs="CESI仿宋-GB2312"/>
          <w:kern w:val="0"/>
          <w:sz w:val="32"/>
          <w:szCs w:val="32"/>
          <w:lang w:eastAsia="zh-CN"/>
        </w:rPr>
        <w:t>，无</w:t>
      </w:r>
      <w:r>
        <w:rPr>
          <w:rFonts w:hint="eastAsia" w:ascii="CESI仿宋-GB2312" w:hAnsi="CESI仿宋-GB2312" w:eastAsia="CESI仿宋-GB2312" w:cs="CESI仿宋-GB2312"/>
          <w:color w:val="auto"/>
          <w:sz w:val="32"/>
          <w:szCs w:val="32"/>
        </w:rPr>
        <w:t>其他需要说明的情况</w:t>
      </w:r>
      <w:r>
        <w:rPr>
          <w:rFonts w:hint="eastAsia" w:ascii="CESI仿宋-GB2312" w:hAnsi="CESI仿宋-GB2312" w:eastAsia="CESI仿宋-GB2312" w:cs="CESI仿宋-GB2312"/>
          <w:kern w:val="0"/>
          <w:sz w:val="32"/>
          <w:szCs w:val="32"/>
        </w:rPr>
        <w:t>。</w:t>
      </w:r>
    </w:p>
    <w:p w14:paraId="33AD349D">
      <w:pPr>
        <w:pStyle w:val="3"/>
        <w:keepNext w:val="0"/>
        <w:keepLines w:val="0"/>
        <w:pageBreakBefore w:val="0"/>
        <w:wordWrap/>
        <w:overflowPunct/>
        <w:topLinePunct w:val="0"/>
        <w:bidi w:val="0"/>
        <w:spacing w:line="580" w:lineRule="exact"/>
        <w:rPr>
          <w:rFonts w:hint="eastAsia"/>
          <w:lang w:eastAsia="zh-CN"/>
        </w:rPr>
      </w:pPr>
    </w:p>
    <w:p w14:paraId="34EBACB8">
      <w:pPr>
        <w:keepNext w:val="0"/>
        <w:keepLines w:val="0"/>
        <w:pageBreakBefore w:val="0"/>
        <w:widowControl/>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部门整体支出绩效评价基础数据表</w:t>
      </w:r>
    </w:p>
    <w:p w14:paraId="1A81301E">
      <w:pPr>
        <w:keepNext w:val="0"/>
        <w:keepLines w:val="0"/>
        <w:pageBreakBefore w:val="0"/>
        <w:widowControl/>
        <w:kinsoku/>
        <w:wordWrap/>
        <w:overflowPunct/>
        <w:topLinePunct w:val="0"/>
        <w:autoSpaceDE/>
        <w:autoSpaceDN/>
        <w:bidi w:val="0"/>
        <w:adjustRightInd/>
        <w:snapToGrid/>
        <w:spacing w:line="580" w:lineRule="exact"/>
        <w:ind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部门整体支出绩效自评表</w:t>
      </w:r>
    </w:p>
    <w:p w14:paraId="704F6CE4">
      <w:pPr>
        <w:keepNext w:val="0"/>
        <w:keepLines w:val="0"/>
        <w:pageBreakBefore w:val="0"/>
        <w:widowControl/>
        <w:kinsoku/>
        <w:wordWrap/>
        <w:overflowPunct/>
        <w:topLinePunct w:val="0"/>
        <w:autoSpaceDE/>
        <w:autoSpaceDN/>
        <w:bidi w:val="0"/>
        <w:adjustRightInd/>
        <w:snapToGrid/>
        <w:spacing w:line="580" w:lineRule="exact"/>
        <w:ind w:firstLine="960" w:firstLineChars="3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3.项目支出绩效自评表</w:t>
      </w:r>
    </w:p>
    <w:p w14:paraId="48AFBCAC">
      <w:pPr>
        <w:keepNext w:val="0"/>
        <w:keepLines w:val="0"/>
        <w:pageBreakBefore w:val="0"/>
        <w:wordWrap/>
        <w:overflowPunct/>
        <w:topLinePunct w:val="0"/>
        <w:bidi w:val="0"/>
        <w:spacing w:after="120" w:afterLines="50" w:line="580" w:lineRule="exact"/>
        <w:jc w:val="both"/>
        <w:rPr>
          <w:rFonts w:hint="eastAsia" w:ascii="黑体" w:hAnsi="黑体" w:eastAsia="黑体" w:cs="黑体"/>
          <w:sz w:val="32"/>
          <w:szCs w:val="32"/>
          <w:highlight w:val="none"/>
          <w:lang w:eastAsia="zh-CN"/>
        </w:rPr>
      </w:pPr>
    </w:p>
    <w:p w14:paraId="0E3CE6DF">
      <w:pPr>
        <w:pStyle w:val="3"/>
        <w:keepNext w:val="0"/>
        <w:keepLines w:val="0"/>
        <w:pageBreakBefore w:val="0"/>
        <w:wordWrap/>
        <w:overflowPunct/>
        <w:topLinePunct w:val="0"/>
        <w:bidi w:val="0"/>
        <w:spacing w:line="580" w:lineRule="exact"/>
        <w:rPr>
          <w:rFonts w:hint="eastAsia" w:ascii="黑体" w:hAnsi="黑体" w:eastAsia="黑体" w:cs="黑体"/>
          <w:sz w:val="32"/>
          <w:szCs w:val="32"/>
          <w:highlight w:val="none"/>
          <w:lang w:eastAsia="zh-CN"/>
        </w:rPr>
      </w:pPr>
    </w:p>
    <w:p w14:paraId="6F5B1FCB">
      <w:pPr>
        <w:pStyle w:val="4"/>
        <w:keepNext w:val="0"/>
        <w:keepLines w:val="0"/>
        <w:pageBreakBefore w:val="0"/>
        <w:wordWrap/>
        <w:overflowPunct/>
        <w:topLinePunct w:val="0"/>
        <w:bidi w:val="0"/>
        <w:spacing w:line="580" w:lineRule="exact"/>
        <w:ind w:firstLine="2240" w:firstLineChars="7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岳阳市城市照明管理中心</w:t>
      </w:r>
    </w:p>
    <w:p w14:paraId="5AD9E648">
      <w:pPr>
        <w:keepNext w:val="0"/>
        <w:keepLines w:val="0"/>
        <w:pageBreakBefore w:val="0"/>
        <w:wordWrap/>
        <w:overflowPunct/>
        <w:topLinePunct w:val="0"/>
        <w:bidi w:val="0"/>
        <w:spacing w:line="580" w:lineRule="exact"/>
        <w:rPr>
          <w:rFonts w:hint="default" w:eastAsia="仿宋_GB2312"/>
          <w:lang w:val="en-US" w:eastAsia="zh-CN"/>
        </w:rPr>
      </w:pPr>
      <w:r>
        <w:rPr>
          <w:rFonts w:hint="eastAsia" w:ascii="仿宋_GB2312" w:hAnsi="仿宋_GB2312" w:eastAsia="仿宋_GB2312" w:cs="仿宋_GB2312"/>
          <w:b w:val="0"/>
          <w:bCs w:val="0"/>
          <w:color w:val="000000"/>
          <w:sz w:val="32"/>
          <w:szCs w:val="32"/>
          <w:lang w:val="en-US" w:eastAsia="zh-CN"/>
        </w:rPr>
        <w:t xml:space="preserve">                                2026年6月4日</w:t>
      </w:r>
    </w:p>
    <w:p w14:paraId="5B9565D7">
      <w:pPr>
        <w:spacing w:after="120" w:afterLines="50" w:line="600" w:lineRule="exact"/>
        <w:jc w:val="both"/>
        <w:rPr>
          <w:rFonts w:hint="eastAsia" w:ascii="黑体" w:hAnsi="黑体" w:eastAsia="黑体" w:cs="黑体"/>
          <w:sz w:val="32"/>
          <w:szCs w:val="32"/>
          <w:highlight w:val="none"/>
          <w:lang w:eastAsia="zh-CN"/>
        </w:rPr>
      </w:pPr>
    </w:p>
    <w:p w14:paraId="1F345D8C">
      <w:pPr>
        <w:pStyle w:val="3"/>
        <w:rPr>
          <w:rFonts w:hint="eastAsia" w:ascii="黑体" w:hAnsi="黑体" w:eastAsia="黑体" w:cs="黑体"/>
          <w:sz w:val="32"/>
          <w:szCs w:val="32"/>
          <w:highlight w:val="none"/>
          <w:lang w:eastAsia="zh-CN"/>
        </w:rPr>
      </w:pPr>
    </w:p>
    <w:p w14:paraId="661F3566">
      <w:pPr>
        <w:pStyle w:val="4"/>
        <w:rPr>
          <w:rFonts w:hint="eastAsia" w:ascii="黑体" w:hAnsi="黑体" w:eastAsia="黑体" w:cs="黑体"/>
          <w:sz w:val="32"/>
          <w:szCs w:val="32"/>
          <w:highlight w:val="none"/>
          <w:lang w:eastAsia="zh-CN"/>
        </w:rPr>
      </w:pPr>
    </w:p>
    <w:p w14:paraId="20C1ABBA">
      <w:pPr>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br w:type="page"/>
      </w:r>
    </w:p>
    <w:p w14:paraId="702F4C5B">
      <w:pPr>
        <w:spacing w:after="120" w:afterLines="50" w:line="600" w:lineRule="exact"/>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10CFF5DD">
      <w:pPr>
        <w:spacing w:after="120" w:afterLines="50" w:line="600" w:lineRule="exact"/>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p w14:paraId="36F36F93">
      <w:pPr>
        <w:pStyle w:val="3"/>
        <w:rPr>
          <w:rFonts w:hint="eastAsia"/>
        </w:rPr>
      </w:pPr>
    </w:p>
    <w:tbl>
      <w:tblPr>
        <w:tblStyle w:val="10"/>
        <w:tblW w:w="9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9"/>
        <w:gridCol w:w="1104"/>
        <w:gridCol w:w="948"/>
        <w:gridCol w:w="1030"/>
        <w:gridCol w:w="1111"/>
        <w:gridCol w:w="919"/>
        <w:gridCol w:w="1122"/>
      </w:tblGrid>
      <w:tr w14:paraId="2AD9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vMerge w:val="restart"/>
            <w:noWrap w:val="0"/>
            <w:vAlign w:val="center"/>
          </w:tcPr>
          <w:p w14:paraId="287D8F3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52" w:type="dxa"/>
            <w:gridSpan w:val="2"/>
            <w:noWrap w:val="0"/>
            <w:vAlign w:val="center"/>
          </w:tcPr>
          <w:p w14:paraId="5D9BE72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141" w:type="dxa"/>
            <w:gridSpan w:val="2"/>
            <w:noWrap w:val="0"/>
            <w:vAlign w:val="center"/>
          </w:tcPr>
          <w:p w14:paraId="2B27B66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noWrap w:val="0"/>
            <w:vAlign w:val="center"/>
          </w:tcPr>
          <w:p w14:paraId="18466AB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755A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vMerge w:val="continue"/>
            <w:noWrap w:val="0"/>
            <w:vAlign w:val="center"/>
          </w:tcPr>
          <w:p w14:paraId="05D66AFC">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p>
        </w:tc>
        <w:tc>
          <w:tcPr>
            <w:tcW w:w="2052" w:type="dxa"/>
            <w:gridSpan w:val="2"/>
            <w:noWrap w:val="0"/>
            <w:vAlign w:val="center"/>
          </w:tcPr>
          <w:p w14:paraId="3FF8164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62</w:t>
            </w:r>
          </w:p>
        </w:tc>
        <w:tc>
          <w:tcPr>
            <w:tcW w:w="2141" w:type="dxa"/>
            <w:gridSpan w:val="2"/>
            <w:noWrap w:val="0"/>
            <w:vAlign w:val="center"/>
          </w:tcPr>
          <w:p w14:paraId="1D9EE82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rPr>
            </w:pPr>
            <w:r>
              <w:rPr>
                <w:rFonts w:hint="default" w:ascii="仿宋_GB2312" w:hAnsi="仿宋_GB2312" w:eastAsia="仿宋_GB2312" w:cs="仿宋_GB2312"/>
                <w:color w:val="auto"/>
                <w:sz w:val="20"/>
                <w:szCs w:val="20"/>
                <w:highlight w:val="none"/>
                <w:lang w:val="en-US" w:eastAsia="zh-CN"/>
              </w:rPr>
              <w:t>61</w:t>
            </w:r>
          </w:p>
        </w:tc>
        <w:tc>
          <w:tcPr>
            <w:tcW w:w="2041" w:type="dxa"/>
            <w:gridSpan w:val="2"/>
            <w:noWrap w:val="0"/>
            <w:vAlign w:val="center"/>
          </w:tcPr>
          <w:p w14:paraId="482C167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0"/>
                <w:szCs w:val="20"/>
                <w:highlight w:val="none"/>
              </w:rPr>
            </w:pPr>
            <w:r>
              <w:rPr>
                <w:rFonts w:hint="default" w:ascii="仿宋_GB2312" w:hAnsi="仿宋_GB2312" w:eastAsia="仿宋_GB2312" w:cs="仿宋_GB2312"/>
                <w:sz w:val="20"/>
                <w:szCs w:val="20"/>
                <w:highlight w:val="none"/>
                <w:lang w:val="en"/>
              </w:rPr>
              <w:t>100%</w:t>
            </w:r>
            <w:r>
              <w:rPr>
                <w:rFonts w:hint="eastAsia" w:ascii="仿宋_GB2312" w:hAnsi="仿宋_GB2312" w:eastAsia="仿宋_GB2312" w:cs="仿宋_GB2312"/>
                <w:sz w:val="20"/>
                <w:szCs w:val="20"/>
                <w:highlight w:val="none"/>
              </w:rPr>
              <w:t>　</w:t>
            </w:r>
          </w:p>
        </w:tc>
      </w:tr>
      <w:tr w14:paraId="67A0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886916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52" w:type="dxa"/>
            <w:gridSpan w:val="2"/>
            <w:noWrap w:val="0"/>
            <w:vAlign w:val="center"/>
          </w:tcPr>
          <w:p w14:paraId="62647FA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141" w:type="dxa"/>
            <w:gridSpan w:val="2"/>
            <w:noWrap w:val="0"/>
            <w:vAlign w:val="center"/>
          </w:tcPr>
          <w:p w14:paraId="2817736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noWrap w:val="0"/>
            <w:vAlign w:val="center"/>
          </w:tcPr>
          <w:p w14:paraId="29D88E0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0C33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219C9C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52" w:type="dxa"/>
            <w:gridSpan w:val="2"/>
            <w:noWrap w:val="0"/>
            <w:vAlign w:val="center"/>
          </w:tcPr>
          <w:p w14:paraId="254415B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31.21</w:t>
            </w:r>
          </w:p>
        </w:tc>
        <w:tc>
          <w:tcPr>
            <w:tcW w:w="2141" w:type="dxa"/>
            <w:gridSpan w:val="2"/>
            <w:noWrap w:val="0"/>
            <w:vAlign w:val="center"/>
          </w:tcPr>
          <w:p w14:paraId="4E841B3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rPr>
              <w:t>45.14</w:t>
            </w:r>
          </w:p>
        </w:tc>
        <w:tc>
          <w:tcPr>
            <w:tcW w:w="2041" w:type="dxa"/>
            <w:gridSpan w:val="2"/>
            <w:noWrap w:val="0"/>
            <w:vAlign w:val="center"/>
          </w:tcPr>
          <w:p w14:paraId="4EE2B4F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rPr>
            </w:pPr>
            <w:r>
              <w:rPr>
                <w:rFonts w:hint="default" w:ascii="仿宋_GB2312" w:hAnsi="仿宋_GB2312" w:eastAsia="仿宋_GB2312" w:cs="仿宋_GB2312"/>
                <w:sz w:val="20"/>
                <w:szCs w:val="20"/>
                <w:highlight w:val="none"/>
                <w:lang w:val="en-US"/>
              </w:rPr>
              <w:t>45.14</w:t>
            </w:r>
          </w:p>
        </w:tc>
      </w:tr>
      <w:tr w14:paraId="0DC2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763A628D">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52" w:type="dxa"/>
            <w:gridSpan w:val="2"/>
            <w:noWrap w:val="0"/>
            <w:vAlign w:val="center"/>
          </w:tcPr>
          <w:p w14:paraId="0C5BB51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31.08</w:t>
            </w:r>
          </w:p>
        </w:tc>
        <w:tc>
          <w:tcPr>
            <w:tcW w:w="2141" w:type="dxa"/>
            <w:gridSpan w:val="2"/>
            <w:noWrap w:val="0"/>
            <w:vAlign w:val="center"/>
          </w:tcPr>
          <w:p w14:paraId="2B65AD2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rPr>
              <w:t>45</w:t>
            </w:r>
          </w:p>
        </w:tc>
        <w:tc>
          <w:tcPr>
            <w:tcW w:w="2041" w:type="dxa"/>
            <w:gridSpan w:val="2"/>
            <w:noWrap w:val="0"/>
            <w:vAlign w:val="center"/>
          </w:tcPr>
          <w:p w14:paraId="350CEEA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rPr>
            </w:pPr>
            <w:r>
              <w:rPr>
                <w:rFonts w:hint="default" w:ascii="仿宋_GB2312" w:hAnsi="仿宋_GB2312" w:eastAsia="仿宋_GB2312" w:cs="仿宋_GB2312"/>
                <w:sz w:val="20"/>
                <w:szCs w:val="20"/>
                <w:highlight w:val="none"/>
                <w:lang w:val="en-US"/>
              </w:rPr>
              <w:t>45</w:t>
            </w:r>
          </w:p>
        </w:tc>
      </w:tr>
      <w:tr w14:paraId="330E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1BE2FA9">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w:t>
            </w:r>
            <w:r>
              <w:rPr>
                <w:rFonts w:hint="eastAsia" w:ascii="仿宋_GB2312" w:hAnsi="仿宋_GB2312" w:eastAsia="仿宋_GB2312" w:cs="仿宋_GB2312"/>
                <w:color w:val="auto"/>
                <w:sz w:val="20"/>
                <w:szCs w:val="20"/>
                <w:highlight w:val="none"/>
              </w:rPr>
              <w:t>中：公车购置</w:t>
            </w:r>
          </w:p>
        </w:tc>
        <w:tc>
          <w:tcPr>
            <w:tcW w:w="2052" w:type="dxa"/>
            <w:gridSpan w:val="2"/>
            <w:noWrap w:val="0"/>
            <w:vAlign w:val="center"/>
          </w:tcPr>
          <w:p w14:paraId="66EEFDE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0</w:t>
            </w:r>
          </w:p>
        </w:tc>
        <w:tc>
          <w:tcPr>
            <w:tcW w:w="2141" w:type="dxa"/>
            <w:gridSpan w:val="2"/>
            <w:noWrap w:val="0"/>
            <w:vAlign w:val="center"/>
          </w:tcPr>
          <w:p w14:paraId="0CDFFA7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rPr>
              <w:t>0</w:t>
            </w:r>
          </w:p>
        </w:tc>
        <w:tc>
          <w:tcPr>
            <w:tcW w:w="2041" w:type="dxa"/>
            <w:gridSpan w:val="2"/>
            <w:noWrap w:val="0"/>
            <w:vAlign w:val="center"/>
          </w:tcPr>
          <w:p w14:paraId="7FF7AE5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rPr>
            </w:pPr>
            <w:r>
              <w:rPr>
                <w:rFonts w:hint="default" w:ascii="仿宋_GB2312" w:hAnsi="仿宋_GB2312" w:eastAsia="仿宋_GB2312" w:cs="仿宋_GB2312"/>
                <w:sz w:val="20"/>
                <w:szCs w:val="20"/>
                <w:highlight w:val="none"/>
                <w:lang w:val="en-US"/>
              </w:rPr>
              <w:t>0</w:t>
            </w:r>
          </w:p>
        </w:tc>
      </w:tr>
      <w:tr w14:paraId="76BE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3D77B15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52" w:type="dxa"/>
            <w:gridSpan w:val="2"/>
            <w:noWrap w:val="0"/>
            <w:vAlign w:val="center"/>
          </w:tcPr>
          <w:p w14:paraId="1E3C274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31.08</w:t>
            </w:r>
          </w:p>
        </w:tc>
        <w:tc>
          <w:tcPr>
            <w:tcW w:w="2141" w:type="dxa"/>
            <w:gridSpan w:val="2"/>
            <w:noWrap w:val="0"/>
            <w:vAlign w:val="center"/>
          </w:tcPr>
          <w:p w14:paraId="07A9E5B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rPr>
              <w:t>45</w:t>
            </w:r>
          </w:p>
        </w:tc>
        <w:tc>
          <w:tcPr>
            <w:tcW w:w="2041" w:type="dxa"/>
            <w:gridSpan w:val="2"/>
            <w:noWrap w:val="0"/>
            <w:vAlign w:val="center"/>
          </w:tcPr>
          <w:p w14:paraId="43DC8EF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rPr>
            </w:pPr>
            <w:r>
              <w:rPr>
                <w:rFonts w:hint="default" w:ascii="仿宋_GB2312" w:hAnsi="仿宋_GB2312" w:eastAsia="仿宋_GB2312" w:cs="仿宋_GB2312"/>
                <w:sz w:val="20"/>
                <w:szCs w:val="20"/>
                <w:highlight w:val="none"/>
                <w:lang w:val="en-US"/>
              </w:rPr>
              <w:t>45</w:t>
            </w:r>
          </w:p>
        </w:tc>
      </w:tr>
      <w:tr w14:paraId="5CF2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1E43D696">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52" w:type="dxa"/>
            <w:gridSpan w:val="2"/>
            <w:noWrap w:val="0"/>
            <w:vAlign w:val="center"/>
          </w:tcPr>
          <w:p w14:paraId="7A03EE8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0</w:t>
            </w:r>
          </w:p>
        </w:tc>
        <w:tc>
          <w:tcPr>
            <w:tcW w:w="2141" w:type="dxa"/>
            <w:gridSpan w:val="2"/>
            <w:noWrap w:val="0"/>
            <w:vAlign w:val="center"/>
          </w:tcPr>
          <w:p w14:paraId="4DF11E5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rPr>
              <w:t>0</w:t>
            </w:r>
          </w:p>
        </w:tc>
        <w:tc>
          <w:tcPr>
            <w:tcW w:w="2041" w:type="dxa"/>
            <w:gridSpan w:val="2"/>
            <w:noWrap w:val="0"/>
            <w:vAlign w:val="center"/>
          </w:tcPr>
          <w:p w14:paraId="2908651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
              </w:rPr>
            </w:pPr>
            <w:r>
              <w:rPr>
                <w:rFonts w:hint="default" w:ascii="仿宋_GB2312" w:hAnsi="仿宋_GB2312" w:eastAsia="仿宋_GB2312" w:cs="仿宋_GB2312"/>
                <w:sz w:val="20"/>
                <w:szCs w:val="20"/>
                <w:highlight w:val="none"/>
                <w:lang w:val="en"/>
              </w:rPr>
              <w:t>0</w:t>
            </w:r>
          </w:p>
        </w:tc>
      </w:tr>
      <w:tr w14:paraId="655F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050B3C52">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52" w:type="dxa"/>
            <w:gridSpan w:val="2"/>
            <w:noWrap w:val="0"/>
            <w:vAlign w:val="center"/>
          </w:tcPr>
          <w:p w14:paraId="14B6005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default" w:ascii="仿宋_GB2312" w:hAnsi="仿宋_GB2312" w:eastAsia="仿宋_GB2312" w:cs="仿宋_GB2312"/>
                <w:sz w:val="20"/>
                <w:szCs w:val="20"/>
                <w:highlight w:val="none"/>
                <w:lang w:val="en"/>
              </w:rPr>
              <w:t>0.13</w:t>
            </w:r>
          </w:p>
        </w:tc>
        <w:tc>
          <w:tcPr>
            <w:tcW w:w="2141" w:type="dxa"/>
            <w:gridSpan w:val="2"/>
            <w:noWrap w:val="0"/>
            <w:vAlign w:val="center"/>
          </w:tcPr>
          <w:p w14:paraId="3B12ED6B">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rPr>
              <w:t>0.1</w:t>
            </w:r>
            <w:r>
              <w:rPr>
                <w:rFonts w:hint="default" w:ascii="仿宋_GB2312" w:hAnsi="仿宋_GB2312" w:eastAsia="仿宋_GB2312" w:cs="仿宋_GB2312"/>
                <w:sz w:val="20"/>
                <w:szCs w:val="20"/>
                <w:highlight w:val="none"/>
                <w:lang w:val="en-US"/>
              </w:rPr>
              <w:t>4</w:t>
            </w:r>
          </w:p>
        </w:tc>
        <w:tc>
          <w:tcPr>
            <w:tcW w:w="2041" w:type="dxa"/>
            <w:gridSpan w:val="2"/>
            <w:noWrap w:val="0"/>
            <w:vAlign w:val="center"/>
          </w:tcPr>
          <w:p w14:paraId="57B9A3C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rPr>
            </w:pPr>
            <w:r>
              <w:rPr>
                <w:rFonts w:hint="default" w:ascii="仿宋_GB2312" w:hAnsi="仿宋_GB2312" w:eastAsia="仿宋_GB2312" w:cs="仿宋_GB2312"/>
                <w:sz w:val="20"/>
                <w:szCs w:val="20"/>
                <w:highlight w:val="none"/>
                <w:lang w:val="en"/>
              </w:rPr>
              <w:t>0.1</w:t>
            </w:r>
            <w:r>
              <w:rPr>
                <w:rFonts w:hint="default" w:ascii="仿宋_GB2312" w:hAnsi="仿宋_GB2312" w:eastAsia="仿宋_GB2312" w:cs="仿宋_GB2312"/>
                <w:sz w:val="20"/>
                <w:szCs w:val="20"/>
                <w:highlight w:val="none"/>
                <w:lang w:val="en-US"/>
              </w:rPr>
              <w:t>4</w:t>
            </w:r>
          </w:p>
        </w:tc>
      </w:tr>
      <w:tr w14:paraId="1F43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999F5A2">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52" w:type="dxa"/>
            <w:gridSpan w:val="2"/>
            <w:noWrap w:val="0"/>
            <w:vAlign w:val="center"/>
          </w:tcPr>
          <w:p w14:paraId="1A0DE76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4328.14</w:t>
            </w:r>
          </w:p>
        </w:tc>
        <w:tc>
          <w:tcPr>
            <w:tcW w:w="2141" w:type="dxa"/>
            <w:gridSpan w:val="2"/>
            <w:noWrap w:val="0"/>
            <w:vAlign w:val="center"/>
          </w:tcPr>
          <w:p w14:paraId="7B5031D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4179.71</w:t>
            </w:r>
          </w:p>
        </w:tc>
        <w:tc>
          <w:tcPr>
            <w:tcW w:w="2041" w:type="dxa"/>
            <w:gridSpan w:val="2"/>
            <w:noWrap w:val="0"/>
            <w:vAlign w:val="center"/>
          </w:tcPr>
          <w:p w14:paraId="42326B0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4179.71</w:t>
            </w:r>
          </w:p>
        </w:tc>
      </w:tr>
      <w:tr w14:paraId="7730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4B5FF33">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1、业务工作经费</w:t>
            </w:r>
          </w:p>
        </w:tc>
        <w:tc>
          <w:tcPr>
            <w:tcW w:w="2052" w:type="dxa"/>
            <w:gridSpan w:val="2"/>
            <w:noWrap w:val="0"/>
            <w:vAlign w:val="center"/>
          </w:tcPr>
          <w:p w14:paraId="3FB81B0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0</w:t>
            </w:r>
          </w:p>
        </w:tc>
        <w:tc>
          <w:tcPr>
            <w:tcW w:w="2141" w:type="dxa"/>
            <w:gridSpan w:val="2"/>
            <w:noWrap w:val="0"/>
            <w:vAlign w:val="center"/>
          </w:tcPr>
          <w:p w14:paraId="40DAD31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0</w:t>
            </w:r>
          </w:p>
        </w:tc>
        <w:tc>
          <w:tcPr>
            <w:tcW w:w="2041" w:type="dxa"/>
            <w:gridSpan w:val="2"/>
            <w:noWrap w:val="0"/>
            <w:vAlign w:val="center"/>
          </w:tcPr>
          <w:p w14:paraId="07231D9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0</w:t>
            </w:r>
          </w:p>
        </w:tc>
      </w:tr>
      <w:tr w14:paraId="442E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03AFC3B">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2、运行维护经费</w:t>
            </w:r>
          </w:p>
        </w:tc>
        <w:tc>
          <w:tcPr>
            <w:tcW w:w="2052" w:type="dxa"/>
            <w:gridSpan w:val="2"/>
            <w:noWrap w:val="0"/>
            <w:vAlign w:val="center"/>
          </w:tcPr>
          <w:p w14:paraId="0757F69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799.97</w:t>
            </w:r>
          </w:p>
        </w:tc>
        <w:tc>
          <w:tcPr>
            <w:tcW w:w="2141" w:type="dxa"/>
            <w:gridSpan w:val="2"/>
            <w:noWrap w:val="0"/>
            <w:vAlign w:val="center"/>
          </w:tcPr>
          <w:p w14:paraId="092A71B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sz w:val="20"/>
                <w:szCs w:val="20"/>
                <w:highlight w:val="none"/>
                <w:lang w:val="en-US" w:eastAsia="zh-CN"/>
              </w:rPr>
              <w:t>990.71</w:t>
            </w:r>
          </w:p>
        </w:tc>
        <w:tc>
          <w:tcPr>
            <w:tcW w:w="2041" w:type="dxa"/>
            <w:gridSpan w:val="2"/>
            <w:noWrap w:val="0"/>
            <w:vAlign w:val="center"/>
          </w:tcPr>
          <w:p w14:paraId="494A002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990.71</w:t>
            </w:r>
          </w:p>
        </w:tc>
      </w:tr>
      <w:tr w14:paraId="05C6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6A86FA4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3、</w:t>
            </w:r>
            <w:r>
              <w:rPr>
                <w:rFonts w:hint="eastAsia" w:ascii="仿宋_GB2312" w:hAnsi="仿宋_GB2312" w:eastAsia="仿宋_GB2312" w:cs="仿宋_GB2312"/>
                <w:sz w:val="20"/>
                <w:szCs w:val="20"/>
                <w:highlight w:val="none"/>
                <w:lang w:eastAsia="zh-CN"/>
              </w:rPr>
              <w:t>市级</w:t>
            </w:r>
            <w:r>
              <w:rPr>
                <w:rFonts w:hint="eastAsia" w:ascii="仿宋_GB2312" w:hAnsi="仿宋_GB2312" w:eastAsia="仿宋_GB2312" w:cs="仿宋_GB2312"/>
                <w:sz w:val="20"/>
                <w:szCs w:val="20"/>
                <w:highlight w:val="none"/>
              </w:rPr>
              <w:t>专项资金</w:t>
            </w:r>
          </w:p>
        </w:tc>
        <w:tc>
          <w:tcPr>
            <w:tcW w:w="2052" w:type="dxa"/>
            <w:gridSpan w:val="2"/>
            <w:noWrap w:val="0"/>
            <w:vAlign w:val="center"/>
          </w:tcPr>
          <w:p w14:paraId="7EF3C82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3528.17</w:t>
            </w:r>
          </w:p>
        </w:tc>
        <w:tc>
          <w:tcPr>
            <w:tcW w:w="2141" w:type="dxa"/>
            <w:gridSpan w:val="2"/>
            <w:noWrap w:val="0"/>
            <w:vAlign w:val="center"/>
          </w:tcPr>
          <w:p w14:paraId="6CE9A35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3189</w:t>
            </w:r>
          </w:p>
        </w:tc>
        <w:tc>
          <w:tcPr>
            <w:tcW w:w="2041" w:type="dxa"/>
            <w:gridSpan w:val="2"/>
            <w:noWrap w:val="0"/>
            <w:vAlign w:val="center"/>
          </w:tcPr>
          <w:p w14:paraId="611EB20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FF0000"/>
                <w:sz w:val="20"/>
                <w:szCs w:val="20"/>
                <w:highlight w:val="none"/>
                <w:lang w:val="en-US" w:eastAsia="zh-CN"/>
              </w:rPr>
            </w:pPr>
            <w:r>
              <w:rPr>
                <w:rFonts w:hint="default" w:ascii="仿宋_GB2312" w:hAnsi="仿宋_GB2312" w:eastAsia="仿宋_GB2312" w:cs="仿宋_GB2312"/>
                <w:color w:val="000000" w:themeColor="text1"/>
                <w:sz w:val="20"/>
                <w:szCs w:val="20"/>
                <w:highlight w:val="none"/>
                <w:lang w:val="en-US" w:eastAsia="zh-CN"/>
                <w14:textFill>
                  <w14:solidFill>
                    <w14:schemeClr w14:val="tx1"/>
                  </w14:solidFill>
                </w14:textFill>
              </w:rPr>
              <w:t>3189</w:t>
            </w:r>
          </w:p>
        </w:tc>
      </w:tr>
      <w:tr w14:paraId="03C1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C53F0B8">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lang w:val="en-US" w:eastAsia="zh-CN"/>
              </w:rPr>
              <w:t>(1)</w:t>
            </w:r>
            <w:r>
              <w:rPr>
                <w:rFonts w:hint="eastAsia" w:ascii="仿宋_GB2312" w:hAnsi="仿宋_GB2312" w:eastAsia="仿宋_GB2312" w:cs="仿宋_GB2312"/>
                <w:color w:val="auto"/>
                <w:sz w:val="20"/>
                <w:szCs w:val="20"/>
              </w:rPr>
              <w:t>城区路灯大修经费</w:t>
            </w:r>
          </w:p>
        </w:tc>
        <w:tc>
          <w:tcPr>
            <w:tcW w:w="2052" w:type="dxa"/>
            <w:gridSpan w:val="2"/>
            <w:noWrap w:val="0"/>
            <w:vAlign w:val="center"/>
          </w:tcPr>
          <w:p w14:paraId="172DF10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35.00</w:t>
            </w:r>
          </w:p>
        </w:tc>
        <w:tc>
          <w:tcPr>
            <w:tcW w:w="2141" w:type="dxa"/>
            <w:gridSpan w:val="2"/>
            <w:noWrap w:val="0"/>
            <w:vAlign w:val="center"/>
          </w:tcPr>
          <w:p w14:paraId="6DA9991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p>
        </w:tc>
        <w:tc>
          <w:tcPr>
            <w:tcW w:w="2041" w:type="dxa"/>
            <w:gridSpan w:val="2"/>
            <w:noWrap w:val="0"/>
            <w:vAlign w:val="center"/>
          </w:tcPr>
          <w:p w14:paraId="4EF27EF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p>
        </w:tc>
      </w:tr>
      <w:tr w14:paraId="227A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50823C35">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lang w:val="en-US" w:eastAsia="zh-CN"/>
              </w:rPr>
              <w:t>(2)</w:t>
            </w:r>
            <w:r>
              <w:rPr>
                <w:rFonts w:hint="eastAsia" w:ascii="仿宋_GB2312" w:hAnsi="仿宋_GB2312" w:eastAsia="仿宋_GB2312" w:cs="仿宋_GB2312"/>
                <w:color w:val="auto"/>
                <w:sz w:val="20"/>
                <w:szCs w:val="20"/>
              </w:rPr>
              <w:t>亮化管理计量工作经费</w:t>
            </w:r>
          </w:p>
        </w:tc>
        <w:tc>
          <w:tcPr>
            <w:tcW w:w="2052" w:type="dxa"/>
            <w:gridSpan w:val="2"/>
            <w:noWrap w:val="0"/>
            <w:vAlign w:val="center"/>
          </w:tcPr>
          <w:p w14:paraId="6B2ABD4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54.05</w:t>
            </w:r>
          </w:p>
        </w:tc>
        <w:tc>
          <w:tcPr>
            <w:tcW w:w="2141" w:type="dxa"/>
            <w:gridSpan w:val="2"/>
            <w:noWrap w:val="0"/>
            <w:vAlign w:val="center"/>
          </w:tcPr>
          <w:p w14:paraId="709936A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p>
        </w:tc>
        <w:tc>
          <w:tcPr>
            <w:tcW w:w="2041" w:type="dxa"/>
            <w:gridSpan w:val="2"/>
            <w:noWrap w:val="0"/>
            <w:vAlign w:val="center"/>
          </w:tcPr>
          <w:p w14:paraId="4E1F81C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p>
        </w:tc>
      </w:tr>
      <w:tr w14:paraId="2089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70092E6C">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lang w:val="en-US" w:eastAsia="zh-CN"/>
              </w:rPr>
              <w:t>(3)路灯及公用亮化设施维护费用</w:t>
            </w:r>
          </w:p>
        </w:tc>
        <w:tc>
          <w:tcPr>
            <w:tcW w:w="2052" w:type="dxa"/>
            <w:gridSpan w:val="2"/>
            <w:noWrap w:val="0"/>
            <w:vAlign w:val="center"/>
          </w:tcPr>
          <w:p w14:paraId="52754B9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1046.25</w:t>
            </w:r>
          </w:p>
        </w:tc>
        <w:tc>
          <w:tcPr>
            <w:tcW w:w="2141" w:type="dxa"/>
            <w:gridSpan w:val="2"/>
            <w:vMerge w:val="restart"/>
            <w:noWrap w:val="0"/>
            <w:vAlign w:val="center"/>
          </w:tcPr>
          <w:p w14:paraId="79F64BF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2689</w:t>
            </w:r>
          </w:p>
        </w:tc>
        <w:tc>
          <w:tcPr>
            <w:tcW w:w="2041" w:type="dxa"/>
            <w:gridSpan w:val="2"/>
            <w:vMerge w:val="restart"/>
            <w:noWrap w:val="0"/>
            <w:vAlign w:val="center"/>
          </w:tcPr>
          <w:p w14:paraId="12EFEA2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2689</w:t>
            </w:r>
          </w:p>
        </w:tc>
      </w:tr>
      <w:tr w14:paraId="3092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625AF1D1">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lang w:val="en-US" w:eastAsia="zh-CN"/>
              </w:rPr>
              <w:t>(4)路灯及公用亮化设施运行电费</w:t>
            </w:r>
          </w:p>
        </w:tc>
        <w:tc>
          <w:tcPr>
            <w:tcW w:w="2052" w:type="dxa"/>
            <w:gridSpan w:val="2"/>
            <w:noWrap w:val="0"/>
            <w:vAlign w:val="center"/>
          </w:tcPr>
          <w:p w14:paraId="697A5C8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1719.00</w:t>
            </w:r>
          </w:p>
        </w:tc>
        <w:tc>
          <w:tcPr>
            <w:tcW w:w="2141" w:type="dxa"/>
            <w:gridSpan w:val="2"/>
            <w:vMerge w:val="continue"/>
            <w:noWrap w:val="0"/>
            <w:vAlign w:val="center"/>
          </w:tcPr>
          <w:p w14:paraId="0D9FA40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p>
        </w:tc>
        <w:tc>
          <w:tcPr>
            <w:tcW w:w="2041" w:type="dxa"/>
            <w:gridSpan w:val="2"/>
            <w:vMerge w:val="continue"/>
            <w:noWrap w:val="0"/>
            <w:vAlign w:val="center"/>
          </w:tcPr>
          <w:p w14:paraId="669C802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p>
        </w:tc>
      </w:tr>
      <w:tr w14:paraId="0DDDD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57F263B4">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lang w:val="en-US" w:eastAsia="zh-CN"/>
              </w:rPr>
              <w:t>(5)中心城区景观亮化大修专项经费</w:t>
            </w:r>
          </w:p>
        </w:tc>
        <w:tc>
          <w:tcPr>
            <w:tcW w:w="2052" w:type="dxa"/>
            <w:gridSpan w:val="2"/>
            <w:noWrap w:val="0"/>
            <w:vAlign w:val="center"/>
          </w:tcPr>
          <w:p w14:paraId="0FD0B84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197.81</w:t>
            </w:r>
          </w:p>
        </w:tc>
        <w:tc>
          <w:tcPr>
            <w:tcW w:w="2141" w:type="dxa"/>
            <w:gridSpan w:val="2"/>
            <w:noWrap w:val="0"/>
            <w:vAlign w:val="center"/>
          </w:tcPr>
          <w:p w14:paraId="4B27B8E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p>
        </w:tc>
        <w:tc>
          <w:tcPr>
            <w:tcW w:w="2041" w:type="dxa"/>
            <w:gridSpan w:val="2"/>
            <w:noWrap w:val="0"/>
            <w:vAlign w:val="center"/>
          </w:tcPr>
          <w:p w14:paraId="7C9B84B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p>
        </w:tc>
      </w:tr>
      <w:tr w14:paraId="689F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8FB0DB5">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lang w:val="en-US" w:eastAsia="zh-CN"/>
              </w:rPr>
              <w:t>(6)全城临街楼宇亮化设施电费</w:t>
            </w:r>
          </w:p>
        </w:tc>
        <w:tc>
          <w:tcPr>
            <w:tcW w:w="2052" w:type="dxa"/>
            <w:gridSpan w:val="2"/>
            <w:noWrap w:val="0"/>
            <w:vAlign w:val="center"/>
          </w:tcPr>
          <w:p w14:paraId="490DDD2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395.16</w:t>
            </w:r>
          </w:p>
        </w:tc>
        <w:tc>
          <w:tcPr>
            <w:tcW w:w="2141" w:type="dxa"/>
            <w:gridSpan w:val="2"/>
            <w:noWrap w:val="0"/>
            <w:vAlign w:val="center"/>
          </w:tcPr>
          <w:p w14:paraId="64046F9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500</w:t>
            </w:r>
          </w:p>
        </w:tc>
        <w:tc>
          <w:tcPr>
            <w:tcW w:w="2041" w:type="dxa"/>
            <w:gridSpan w:val="2"/>
            <w:noWrap w:val="0"/>
            <w:vAlign w:val="center"/>
          </w:tcPr>
          <w:p w14:paraId="7125836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500</w:t>
            </w:r>
          </w:p>
        </w:tc>
      </w:tr>
      <w:tr w14:paraId="4A9D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7077F6FE">
            <w:pPr>
              <w:keepNext w:val="0"/>
              <w:keepLines w:val="0"/>
              <w:pageBreakBefore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20"/>
                <w:szCs w:val="20"/>
                <w:lang w:val="en" w:eastAsia="zh-CN"/>
              </w:rPr>
            </w:pPr>
            <w:r>
              <w:rPr>
                <w:rFonts w:hint="eastAsia" w:ascii="仿宋_GB2312" w:hAnsi="仿宋_GB2312" w:eastAsia="仿宋_GB2312" w:cs="仿宋_GB2312"/>
                <w:color w:val="auto"/>
                <w:sz w:val="20"/>
                <w:szCs w:val="20"/>
                <w:lang w:val="en" w:eastAsia="zh-CN"/>
              </w:rPr>
              <w:t>(</w:t>
            </w:r>
            <w:r>
              <w:rPr>
                <w:rFonts w:hint="eastAsia" w:ascii="仿宋_GB2312" w:hAnsi="仿宋_GB2312" w:eastAsia="仿宋_GB2312" w:cs="仿宋_GB2312"/>
                <w:color w:val="auto"/>
                <w:sz w:val="20"/>
                <w:szCs w:val="20"/>
                <w:lang w:val="en-US" w:eastAsia="zh-CN"/>
              </w:rPr>
              <w:t>7</w:t>
            </w:r>
            <w:r>
              <w:rPr>
                <w:rFonts w:hint="eastAsia" w:ascii="仿宋_GB2312" w:hAnsi="仿宋_GB2312" w:eastAsia="仿宋_GB2312" w:cs="仿宋_GB2312"/>
                <w:color w:val="auto"/>
                <w:sz w:val="20"/>
                <w:szCs w:val="20"/>
                <w:lang w:val="en" w:eastAsia="zh-CN"/>
              </w:rPr>
              <w:t>)</w:t>
            </w:r>
            <w:r>
              <w:rPr>
                <w:rFonts w:hint="eastAsia" w:ascii="仿宋_GB2312" w:hAnsi="仿宋_GB2312" w:eastAsia="仿宋_GB2312" w:cs="仿宋_GB2312"/>
                <w:sz w:val="20"/>
                <w:szCs w:val="20"/>
                <w:lang w:val="en" w:eastAsia="zh-CN"/>
              </w:rPr>
              <w:t>非税收入征管经费</w:t>
            </w:r>
          </w:p>
        </w:tc>
        <w:tc>
          <w:tcPr>
            <w:tcW w:w="2052" w:type="dxa"/>
            <w:gridSpan w:val="2"/>
            <w:noWrap w:val="0"/>
            <w:vAlign w:val="center"/>
          </w:tcPr>
          <w:p w14:paraId="3763CD4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kern w:val="0"/>
                <w:sz w:val="20"/>
                <w:szCs w:val="20"/>
                <w:lang w:val="en-US" w:eastAsia="zh-CN" w:bidi="ar-SA"/>
              </w:rPr>
            </w:pPr>
            <w:r>
              <w:rPr>
                <w:rFonts w:hint="eastAsia" w:ascii="仿宋_GB2312" w:hAnsi="仿宋_GB2312" w:eastAsia="仿宋_GB2312" w:cs="仿宋_GB2312"/>
                <w:color w:val="auto"/>
                <w:sz w:val="20"/>
                <w:szCs w:val="20"/>
                <w:highlight w:val="none"/>
                <w:lang w:val="en-US" w:eastAsia="zh-CN"/>
              </w:rPr>
              <w:t>80.90</w:t>
            </w:r>
          </w:p>
        </w:tc>
        <w:tc>
          <w:tcPr>
            <w:tcW w:w="2141" w:type="dxa"/>
            <w:gridSpan w:val="2"/>
            <w:noWrap w:val="0"/>
            <w:vAlign w:val="center"/>
          </w:tcPr>
          <w:p w14:paraId="38F98C2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p>
        </w:tc>
        <w:tc>
          <w:tcPr>
            <w:tcW w:w="2041" w:type="dxa"/>
            <w:gridSpan w:val="2"/>
            <w:noWrap w:val="0"/>
            <w:vAlign w:val="center"/>
          </w:tcPr>
          <w:p w14:paraId="68D0C36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p>
        </w:tc>
      </w:tr>
      <w:tr w14:paraId="73F5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3439" w:type="dxa"/>
            <w:noWrap w:val="0"/>
            <w:vAlign w:val="center"/>
          </w:tcPr>
          <w:p w14:paraId="53ABE941">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52" w:type="dxa"/>
            <w:gridSpan w:val="2"/>
            <w:noWrap w:val="0"/>
            <w:vAlign w:val="center"/>
          </w:tcPr>
          <w:p w14:paraId="6441083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111.21</w:t>
            </w:r>
          </w:p>
        </w:tc>
        <w:tc>
          <w:tcPr>
            <w:tcW w:w="2141" w:type="dxa"/>
            <w:gridSpan w:val="2"/>
            <w:noWrap w:val="0"/>
            <w:vAlign w:val="center"/>
          </w:tcPr>
          <w:p w14:paraId="5BF35E23">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136.05</w:t>
            </w:r>
          </w:p>
        </w:tc>
        <w:tc>
          <w:tcPr>
            <w:tcW w:w="2041" w:type="dxa"/>
            <w:gridSpan w:val="2"/>
            <w:noWrap w:val="0"/>
            <w:vAlign w:val="center"/>
          </w:tcPr>
          <w:p w14:paraId="01646F2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136.05</w:t>
            </w:r>
          </w:p>
        </w:tc>
      </w:tr>
      <w:tr w14:paraId="7BEF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651DC36F">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52" w:type="dxa"/>
            <w:gridSpan w:val="2"/>
            <w:noWrap w:val="0"/>
            <w:vAlign w:val="center"/>
          </w:tcPr>
          <w:p w14:paraId="725FAAE6">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FF0000"/>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5.00</w:t>
            </w:r>
          </w:p>
        </w:tc>
        <w:tc>
          <w:tcPr>
            <w:tcW w:w="2141" w:type="dxa"/>
            <w:gridSpan w:val="2"/>
            <w:noWrap w:val="0"/>
            <w:vAlign w:val="center"/>
          </w:tcPr>
          <w:p w14:paraId="4C834D3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5.00</w:t>
            </w:r>
          </w:p>
        </w:tc>
        <w:tc>
          <w:tcPr>
            <w:tcW w:w="2041" w:type="dxa"/>
            <w:gridSpan w:val="2"/>
            <w:noWrap w:val="0"/>
            <w:vAlign w:val="center"/>
          </w:tcPr>
          <w:p w14:paraId="6F85979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5.00</w:t>
            </w:r>
          </w:p>
        </w:tc>
      </w:tr>
      <w:tr w14:paraId="216A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7A8E0A22">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52" w:type="dxa"/>
            <w:gridSpan w:val="2"/>
            <w:noWrap w:val="0"/>
            <w:vAlign w:val="center"/>
          </w:tcPr>
          <w:p w14:paraId="497E181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FF0000"/>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3.59</w:t>
            </w:r>
          </w:p>
        </w:tc>
        <w:tc>
          <w:tcPr>
            <w:tcW w:w="2141" w:type="dxa"/>
            <w:gridSpan w:val="2"/>
            <w:noWrap w:val="0"/>
            <w:vAlign w:val="center"/>
          </w:tcPr>
          <w:p w14:paraId="0D99691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1.83</w:t>
            </w:r>
          </w:p>
        </w:tc>
        <w:tc>
          <w:tcPr>
            <w:tcW w:w="2041" w:type="dxa"/>
            <w:gridSpan w:val="2"/>
            <w:noWrap w:val="0"/>
            <w:vAlign w:val="center"/>
          </w:tcPr>
          <w:p w14:paraId="7F19E75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1.83</w:t>
            </w:r>
          </w:p>
        </w:tc>
      </w:tr>
      <w:tr w14:paraId="545E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439" w:type="dxa"/>
            <w:noWrap w:val="0"/>
            <w:vAlign w:val="center"/>
          </w:tcPr>
          <w:p w14:paraId="73A6A74C">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52" w:type="dxa"/>
            <w:gridSpan w:val="2"/>
            <w:noWrap w:val="0"/>
            <w:vAlign w:val="center"/>
          </w:tcPr>
          <w:p w14:paraId="04B3611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FF0000"/>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0</w:t>
            </w:r>
          </w:p>
        </w:tc>
        <w:tc>
          <w:tcPr>
            <w:tcW w:w="2141" w:type="dxa"/>
            <w:gridSpan w:val="2"/>
            <w:noWrap w:val="0"/>
            <w:vAlign w:val="center"/>
          </w:tcPr>
          <w:p w14:paraId="1B12747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c>
          <w:tcPr>
            <w:tcW w:w="2041" w:type="dxa"/>
            <w:gridSpan w:val="2"/>
            <w:noWrap w:val="0"/>
            <w:vAlign w:val="center"/>
          </w:tcPr>
          <w:p w14:paraId="14FD903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0</w:t>
            </w:r>
          </w:p>
        </w:tc>
      </w:tr>
      <w:tr w14:paraId="59A3A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3E8084C">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52" w:type="dxa"/>
            <w:gridSpan w:val="2"/>
            <w:noWrap w:val="0"/>
            <w:vAlign w:val="center"/>
          </w:tcPr>
          <w:p w14:paraId="4ADE10D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sz w:val="20"/>
                <w:szCs w:val="20"/>
                <w:highlight w:val="none"/>
                <w:lang w:val="en-US" w:eastAsia="zh-CN"/>
              </w:rPr>
              <w:t>1190.98</w:t>
            </w:r>
          </w:p>
        </w:tc>
        <w:tc>
          <w:tcPr>
            <w:tcW w:w="2141" w:type="dxa"/>
            <w:gridSpan w:val="2"/>
            <w:noWrap w:val="0"/>
            <w:vAlign w:val="center"/>
          </w:tcPr>
          <w:p w14:paraId="375C3C8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180.8</w:t>
            </w:r>
          </w:p>
        </w:tc>
        <w:tc>
          <w:tcPr>
            <w:tcW w:w="2041" w:type="dxa"/>
            <w:gridSpan w:val="2"/>
            <w:noWrap w:val="0"/>
            <w:vAlign w:val="center"/>
          </w:tcPr>
          <w:p w14:paraId="6AAA7C2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180.8</w:t>
            </w:r>
          </w:p>
        </w:tc>
      </w:tr>
      <w:tr w14:paraId="33F5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079E9DFD">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52" w:type="dxa"/>
            <w:gridSpan w:val="2"/>
            <w:noWrap w:val="0"/>
            <w:vAlign w:val="center"/>
          </w:tcPr>
          <w:p w14:paraId="58DB62B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kern w:val="0"/>
                <w:sz w:val="20"/>
                <w:szCs w:val="20"/>
                <w:highlight w:val="none"/>
                <w:lang w:val="en-US" w:eastAsia="zh-CN" w:bidi="ar-SA"/>
              </w:rPr>
            </w:pPr>
            <w:r>
              <w:rPr>
                <w:rFonts w:hint="eastAsia" w:ascii="仿宋_GB2312" w:hAnsi="仿宋_GB2312" w:eastAsia="仿宋_GB2312" w:cs="仿宋_GB2312"/>
                <w:kern w:val="0"/>
                <w:sz w:val="20"/>
                <w:szCs w:val="20"/>
                <w:highlight w:val="none"/>
                <w:lang w:val="en-US" w:eastAsia="zh-CN" w:bidi="ar-SA"/>
              </w:rPr>
              <w:t>0</w:t>
            </w:r>
          </w:p>
        </w:tc>
        <w:tc>
          <w:tcPr>
            <w:tcW w:w="2141" w:type="dxa"/>
            <w:gridSpan w:val="2"/>
            <w:noWrap w:val="0"/>
            <w:vAlign w:val="center"/>
          </w:tcPr>
          <w:p w14:paraId="6744716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0</w:t>
            </w:r>
          </w:p>
        </w:tc>
        <w:tc>
          <w:tcPr>
            <w:tcW w:w="2041" w:type="dxa"/>
            <w:gridSpan w:val="2"/>
            <w:noWrap w:val="0"/>
            <w:vAlign w:val="center"/>
          </w:tcPr>
          <w:p w14:paraId="015718D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US" w:eastAsia="zh-CN"/>
              </w:rPr>
              <w:t>0</w:t>
            </w:r>
          </w:p>
        </w:tc>
      </w:tr>
      <w:tr w14:paraId="60AD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vMerge w:val="restart"/>
            <w:noWrap w:val="0"/>
            <w:vAlign w:val="center"/>
          </w:tcPr>
          <w:p w14:paraId="14666F9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default" w:ascii="仿宋_GB2312" w:hAnsi="仿宋_GB2312" w:eastAsia="仿宋_GB2312" w:cs="仿宋_GB2312"/>
                <w:sz w:val="20"/>
                <w:szCs w:val="20"/>
                <w:highlight w:val="none"/>
                <w:lang w:val="en"/>
              </w:rPr>
              <w:t>4</w:t>
            </w:r>
            <w:r>
              <w:rPr>
                <w:rFonts w:hint="eastAsia" w:ascii="仿宋_GB2312" w:hAnsi="仿宋_GB2312" w:eastAsia="仿宋_GB2312" w:cs="仿宋_GB2312"/>
                <w:sz w:val="20"/>
                <w:szCs w:val="20"/>
                <w:highlight w:val="none"/>
              </w:rPr>
              <w:t>年完工项目）</w:t>
            </w:r>
          </w:p>
        </w:tc>
        <w:tc>
          <w:tcPr>
            <w:tcW w:w="1104" w:type="dxa"/>
            <w:noWrap w:val="0"/>
            <w:vAlign w:val="center"/>
          </w:tcPr>
          <w:p w14:paraId="097AE01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948" w:type="dxa"/>
            <w:noWrap w:val="0"/>
            <w:vAlign w:val="center"/>
          </w:tcPr>
          <w:p w14:paraId="2D3CCDC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030" w:type="dxa"/>
            <w:noWrap w:val="0"/>
            <w:vAlign w:val="center"/>
          </w:tcPr>
          <w:p w14:paraId="54FC838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noWrap w:val="0"/>
            <w:vAlign w:val="center"/>
          </w:tcPr>
          <w:p w14:paraId="77410BA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919" w:type="dxa"/>
            <w:noWrap w:val="0"/>
            <w:vAlign w:val="center"/>
          </w:tcPr>
          <w:p w14:paraId="36B3499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1122" w:type="dxa"/>
            <w:noWrap w:val="0"/>
            <w:vAlign w:val="center"/>
          </w:tcPr>
          <w:p w14:paraId="4292F06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7EA3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vMerge w:val="continue"/>
            <w:noWrap w:val="0"/>
            <w:vAlign w:val="center"/>
          </w:tcPr>
          <w:p w14:paraId="6EA61120">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p>
        </w:tc>
        <w:tc>
          <w:tcPr>
            <w:tcW w:w="1104" w:type="dxa"/>
            <w:noWrap w:val="0"/>
            <w:vAlign w:val="center"/>
          </w:tcPr>
          <w:p w14:paraId="32F3F74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948" w:type="dxa"/>
            <w:noWrap w:val="0"/>
            <w:vAlign w:val="center"/>
          </w:tcPr>
          <w:p w14:paraId="1835ED1B">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030" w:type="dxa"/>
            <w:noWrap w:val="0"/>
            <w:vAlign w:val="center"/>
          </w:tcPr>
          <w:p w14:paraId="4635749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111" w:type="dxa"/>
            <w:noWrap w:val="0"/>
            <w:vAlign w:val="center"/>
          </w:tcPr>
          <w:p w14:paraId="61FBAE84">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919" w:type="dxa"/>
            <w:noWrap w:val="0"/>
            <w:vAlign w:val="center"/>
          </w:tcPr>
          <w:p w14:paraId="3D5EEFEA">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0</w:t>
            </w:r>
          </w:p>
        </w:tc>
        <w:tc>
          <w:tcPr>
            <w:tcW w:w="1122" w:type="dxa"/>
            <w:noWrap w:val="0"/>
            <w:vAlign w:val="center"/>
          </w:tcPr>
          <w:p w14:paraId="693C3BBC">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rPr>
              <w:t>　</w:t>
            </w:r>
            <w:r>
              <w:rPr>
                <w:rFonts w:hint="eastAsia" w:ascii="仿宋_GB2312" w:hAnsi="仿宋_GB2312" w:eastAsia="仿宋_GB2312" w:cs="仿宋_GB2312"/>
                <w:sz w:val="20"/>
                <w:szCs w:val="20"/>
                <w:highlight w:val="none"/>
                <w:lang w:val="en-US" w:eastAsia="zh-CN"/>
              </w:rPr>
              <w:t>---</w:t>
            </w:r>
          </w:p>
        </w:tc>
      </w:tr>
      <w:tr w14:paraId="594D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9" w:type="dxa"/>
            <w:noWrap w:val="0"/>
            <w:vAlign w:val="center"/>
          </w:tcPr>
          <w:p w14:paraId="2BCF74B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234" w:type="dxa"/>
            <w:gridSpan w:val="6"/>
            <w:noWrap w:val="0"/>
            <w:vAlign w:val="center"/>
          </w:tcPr>
          <w:p w14:paraId="4F6C2B0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bCs/>
                <w:sz w:val="20"/>
                <w:szCs w:val="20"/>
                <w:highlight w:val="none"/>
                <w:lang w:val="en-US" w:eastAsia="zh-CN"/>
              </w:rPr>
              <w:t xml:space="preserve"> 以《党政机关厉行节约反对浪费条例》为根本遵循，强化预算刚性约束，坚持“无预算不支出”，严控三公经费和一般性支出。</w:t>
            </w:r>
            <w:r>
              <w:rPr>
                <w:rFonts w:hint="eastAsia" w:ascii="仿宋_GB2312" w:hAnsi="仿宋_GB2312" w:eastAsia="仿宋_GB2312" w:cs="仿宋_GB2312"/>
                <w:sz w:val="20"/>
                <w:szCs w:val="20"/>
                <w:lang w:val="en-US" w:eastAsia="zh-CN"/>
              </w:rPr>
              <w:t>进一步完善单位财务管理制度和内控管理制度，</w:t>
            </w:r>
            <w:r>
              <w:rPr>
                <w:rFonts w:hint="eastAsia" w:ascii="仿宋_GB2312" w:hAnsi="仿宋_GB2312" w:eastAsia="仿宋_GB2312" w:cs="仿宋_GB2312"/>
                <w:spacing w:val="6"/>
                <w:kern w:val="0"/>
                <w:sz w:val="20"/>
                <w:szCs w:val="20"/>
                <w:lang w:val="en-US" w:eastAsia="zh-CN"/>
              </w:rPr>
              <w:t>费用支出</w:t>
            </w:r>
            <w:r>
              <w:rPr>
                <w:rFonts w:hint="eastAsia" w:ascii="仿宋_GB2312" w:hAnsi="仿宋_GB2312" w:eastAsia="仿宋_GB2312" w:cs="仿宋_GB2312"/>
                <w:bCs/>
                <w:sz w:val="20"/>
                <w:szCs w:val="20"/>
                <w:highlight w:val="none"/>
                <w:lang w:val="en-US" w:eastAsia="zh-CN"/>
              </w:rPr>
              <w:t>按照"先报再审后用”的原则，加强重要岗位，关键环节管理。定期开展资产清查、盘点工作，按照厉行节约、物尽其用的原则，资产管理采取统一建帐、统一核算管理，对每件固定资产使用明确保管职责，闲置的资产，由综合部</w:t>
            </w:r>
            <w:bookmarkStart w:id="0" w:name="_GoBack"/>
            <w:bookmarkEnd w:id="0"/>
            <w:r>
              <w:rPr>
                <w:rFonts w:hint="eastAsia" w:ascii="仿宋_GB2312" w:hAnsi="仿宋_GB2312" w:eastAsia="仿宋_GB2312" w:cs="仿宋_GB2312"/>
                <w:bCs/>
                <w:sz w:val="20"/>
                <w:szCs w:val="20"/>
                <w:highlight w:val="none"/>
                <w:lang w:val="en-US" w:eastAsia="zh-CN"/>
              </w:rPr>
              <w:t>统一调整，合理流动，发挥其使用效益，降低单位运行成本。</w:t>
            </w:r>
          </w:p>
        </w:tc>
      </w:tr>
    </w:tbl>
    <w:p w14:paraId="6A890820">
      <w:pPr>
        <w:keepNext w:val="0"/>
        <w:keepLines w:val="0"/>
        <w:pageBreakBefore w:val="0"/>
        <w:widowControl/>
        <w:kinsoku/>
        <w:wordWrap/>
        <w:overflowPunct/>
        <w:topLinePunct w:val="0"/>
        <w:autoSpaceDE/>
        <w:autoSpaceDN/>
        <w:bidi w:val="0"/>
        <w:adjustRightInd/>
        <w:snapToGrid/>
        <w:spacing w:afterLines="0" w:line="500" w:lineRule="exact"/>
        <w:jc w:val="left"/>
        <w:textAlignment w:val="auto"/>
        <w:rPr>
          <w:rFonts w:hint="default" w:ascii="Times New Roman" w:hAnsi="Times New Roman" w:eastAsia="仿宋_GB2312" w:cs="Times New Roman"/>
          <w:sz w:val="22"/>
          <w:highlight w:val="none"/>
        </w:rPr>
      </w:pPr>
    </w:p>
    <w:p w14:paraId="1A51EC3A">
      <w:pPr>
        <w:keepNext w:val="0"/>
        <w:keepLines w:val="0"/>
        <w:pageBreakBefore w:val="0"/>
        <w:widowControl/>
        <w:kinsoku/>
        <w:wordWrap/>
        <w:overflowPunct/>
        <w:topLinePunct w:val="0"/>
        <w:autoSpaceDE/>
        <w:autoSpaceDN/>
        <w:bidi w:val="0"/>
        <w:adjustRightInd/>
        <w:snapToGrid/>
        <w:spacing w:after="0" w:afterLines="0" w:line="500" w:lineRule="exact"/>
        <w:jc w:val="left"/>
        <w:textAlignment w:val="auto"/>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lang w:eastAsia="zh-CN"/>
        </w:rPr>
        <w:t>章迪</w:t>
      </w:r>
      <w:r>
        <w:rPr>
          <w:rFonts w:hint="eastAsia" w:ascii="仿宋_GB2312" w:hAnsi="仿宋_GB2312" w:eastAsia="仿宋_GB2312" w:cs="仿宋_GB2312"/>
          <w:sz w:val="22"/>
          <w:szCs w:val="22"/>
        </w:rPr>
        <w:t xml:space="preserve">  </w:t>
      </w:r>
      <w:r>
        <w:rPr>
          <w:rFonts w:hint="eastAsia" w:ascii="仿宋_GB2312" w:hAnsi="仿宋_GB2312" w:eastAsia="仿宋_GB2312" w:cs="仿宋_GB2312"/>
          <w:sz w:val="22"/>
          <w:szCs w:val="22"/>
          <w:lang w:val="en-US" w:eastAsia="zh-CN"/>
        </w:rPr>
        <w:t xml:space="preserve"> </w:t>
      </w:r>
      <w:r>
        <w:rPr>
          <w:rFonts w:hint="eastAsia" w:ascii="仿宋_GB2312" w:hAnsi="仿宋_GB2312" w:eastAsia="仿宋_GB2312" w:cs="仿宋_GB2312"/>
          <w:sz w:val="22"/>
          <w:szCs w:val="22"/>
        </w:rPr>
        <w:t>填报日期：</w:t>
      </w:r>
      <w:r>
        <w:rPr>
          <w:rFonts w:hint="eastAsia" w:ascii="仿宋_GB2312" w:hAnsi="仿宋_GB2312" w:eastAsia="仿宋_GB2312" w:cs="仿宋_GB2312"/>
          <w:sz w:val="22"/>
          <w:szCs w:val="22"/>
          <w:lang w:val="en-US" w:eastAsia="zh-CN"/>
        </w:rPr>
        <w:t xml:space="preserve">2026.6.4 </w:t>
      </w:r>
      <w:r>
        <w:rPr>
          <w:rFonts w:hint="eastAsia" w:ascii="仿宋_GB2312" w:hAnsi="仿宋_GB2312" w:eastAsia="仿宋_GB2312" w:cs="仿宋_GB2312"/>
          <w:sz w:val="22"/>
          <w:szCs w:val="22"/>
        </w:rPr>
        <w:t xml:space="preserve"> 联系电话：</w:t>
      </w:r>
      <w:r>
        <w:rPr>
          <w:rFonts w:hint="eastAsia" w:ascii="仿宋_GB2312" w:hAnsi="仿宋_GB2312" w:eastAsia="仿宋_GB2312" w:cs="仿宋_GB2312"/>
          <w:sz w:val="22"/>
          <w:szCs w:val="22"/>
          <w:lang w:val="en-US" w:eastAsia="zh-CN"/>
        </w:rPr>
        <w:t>8222406</w:t>
      </w:r>
      <w:r>
        <w:rPr>
          <w:rFonts w:hint="eastAsia" w:ascii="仿宋_GB2312" w:hAnsi="仿宋_GB2312" w:eastAsia="仿宋_GB2312" w:cs="仿宋_GB2312"/>
          <w:sz w:val="22"/>
          <w:szCs w:val="22"/>
        </w:rPr>
        <w:t xml:space="preserve">  </w:t>
      </w:r>
      <w:r>
        <w:rPr>
          <w:rFonts w:hint="eastAsia" w:ascii="仿宋_GB2312" w:hAnsi="仿宋_GB2312" w:eastAsia="仿宋_GB2312" w:cs="仿宋_GB2312"/>
          <w:color w:val="auto"/>
          <w:sz w:val="22"/>
          <w:szCs w:val="22"/>
          <w:lang w:val="en-US" w:eastAsia="zh-CN"/>
        </w:rPr>
        <w:t xml:space="preserve"> </w:t>
      </w:r>
      <w:r>
        <w:rPr>
          <w:rFonts w:hint="eastAsia" w:ascii="仿宋_GB2312" w:hAnsi="仿宋_GB2312" w:eastAsia="仿宋_GB2312" w:cs="仿宋_GB2312"/>
          <w:color w:val="auto"/>
          <w:sz w:val="22"/>
          <w:szCs w:val="22"/>
        </w:rPr>
        <w:t>单位负责人</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王玮</w:t>
      </w:r>
    </w:p>
    <w:p w14:paraId="3505401B">
      <w:pPr>
        <w:widowControl/>
        <w:spacing w:after="0" w:afterLines="0" w:line="400" w:lineRule="exact"/>
        <w:jc w:val="left"/>
        <w:rPr>
          <w:rFonts w:hint="eastAsia" w:ascii="仿宋_GB2312" w:hAnsi="仿宋_GB2312" w:eastAsia="仿宋_GB2312" w:cs="仿宋_GB2312"/>
          <w:color w:val="auto"/>
          <w:sz w:val="22"/>
          <w:szCs w:val="22"/>
          <w:lang w:eastAsia="zh-CN"/>
        </w:rPr>
      </w:pPr>
    </w:p>
    <w:p w14:paraId="0E97D3A0">
      <w:pPr>
        <w:widowControl/>
        <w:spacing w:after="0" w:afterLines="0" w:line="400" w:lineRule="exact"/>
        <w:jc w:val="left"/>
        <w:rPr>
          <w:rFonts w:hint="eastAsia" w:ascii="仿宋_GB2312" w:hAnsi="仿宋_GB2312" w:eastAsia="仿宋_GB2312" w:cs="仿宋_GB2312"/>
          <w:color w:val="auto"/>
          <w:sz w:val="22"/>
          <w:szCs w:val="22"/>
          <w:lang w:eastAsia="zh-CN"/>
        </w:rPr>
      </w:pPr>
    </w:p>
    <w:p w14:paraId="6B1ADCD9">
      <w:pPr>
        <w:widowControl/>
        <w:spacing w:after="0" w:afterLines="0" w:line="400" w:lineRule="exact"/>
        <w:jc w:val="left"/>
        <w:rPr>
          <w:rFonts w:hint="eastAsia" w:ascii="仿宋_GB2312" w:hAnsi="仿宋_GB2312" w:eastAsia="仿宋_GB2312" w:cs="仿宋_GB2312"/>
          <w:color w:val="auto"/>
          <w:sz w:val="22"/>
          <w:szCs w:val="22"/>
          <w:lang w:eastAsia="zh-CN"/>
        </w:rPr>
      </w:pPr>
    </w:p>
    <w:p w14:paraId="689D768D">
      <w:pPr>
        <w:pStyle w:val="3"/>
        <w:rPr>
          <w:rFonts w:hint="eastAsia" w:ascii="仿宋_GB2312" w:hAnsi="仿宋_GB2312" w:eastAsia="仿宋_GB2312" w:cs="仿宋_GB2312"/>
          <w:color w:val="auto"/>
          <w:sz w:val="22"/>
          <w:szCs w:val="22"/>
          <w:lang w:eastAsia="zh-CN"/>
        </w:rPr>
      </w:pPr>
    </w:p>
    <w:p w14:paraId="604C2766">
      <w:pPr>
        <w:pStyle w:val="4"/>
        <w:ind w:left="0" w:leftChars="0" w:firstLine="0" w:firstLineChars="0"/>
        <w:rPr>
          <w:rFonts w:hint="eastAsia"/>
          <w:lang w:eastAsia="zh-CN"/>
        </w:rPr>
      </w:pPr>
    </w:p>
    <w:p w14:paraId="23AB8BE0">
      <w:pPr>
        <w:rPr>
          <w:rFonts w:hint="eastAsia"/>
          <w:lang w:eastAsia="zh-CN"/>
        </w:rPr>
      </w:pPr>
    </w:p>
    <w:p w14:paraId="06CC28D4">
      <w:pPr>
        <w:widowControl/>
        <w:spacing w:after="0" w:afterLines="0" w:line="400" w:lineRule="exact"/>
        <w:jc w:val="left"/>
        <w:rPr>
          <w:rFonts w:hint="eastAsia" w:ascii="黑体" w:hAnsi="黑体" w:eastAsia="黑体" w:cs="黑体"/>
          <w:sz w:val="32"/>
          <w:szCs w:val="32"/>
          <w:highlight w:val="none"/>
        </w:rPr>
      </w:pPr>
    </w:p>
    <w:p w14:paraId="732A8F3E">
      <w:pPr>
        <w:widowControl/>
        <w:spacing w:after="0" w:afterLines="0" w:line="400" w:lineRule="exact"/>
        <w:jc w:val="left"/>
        <w:rPr>
          <w:rFonts w:hint="eastAsia" w:ascii="黑体" w:hAnsi="黑体" w:eastAsia="黑体" w:cs="黑体"/>
          <w:sz w:val="32"/>
          <w:szCs w:val="32"/>
          <w:highlight w:val="none"/>
        </w:rPr>
      </w:pPr>
    </w:p>
    <w:p w14:paraId="1D898ACF">
      <w:pPr>
        <w:widowControl/>
        <w:spacing w:after="0" w:afterLines="0" w:line="400" w:lineRule="exact"/>
        <w:jc w:val="left"/>
        <w:rPr>
          <w:rFonts w:hint="eastAsia" w:ascii="黑体" w:hAnsi="黑体" w:eastAsia="黑体" w:cs="黑体"/>
          <w:sz w:val="32"/>
          <w:szCs w:val="32"/>
          <w:highlight w:val="none"/>
        </w:rPr>
      </w:pPr>
    </w:p>
    <w:p w14:paraId="5CD941CD">
      <w:pPr>
        <w:widowControl/>
        <w:spacing w:after="0" w:afterLines="0" w:line="400" w:lineRule="exact"/>
        <w:jc w:val="left"/>
        <w:rPr>
          <w:rFonts w:hint="eastAsia" w:ascii="黑体" w:hAnsi="黑体" w:eastAsia="黑体" w:cs="黑体"/>
          <w:sz w:val="32"/>
          <w:szCs w:val="32"/>
          <w:highlight w:val="none"/>
        </w:rPr>
      </w:pPr>
    </w:p>
    <w:p w14:paraId="16296D5F">
      <w:pPr>
        <w:widowControl/>
        <w:spacing w:after="0" w:afterLines="0" w:line="400" w:lineRule="exact"/>
        <w:jc w:val="left"/>
        <w:rPr>
          <w:rFonts w:hint="eastAsia" w:ascii="黑体" w:hAnsi="黑体" w:eastAsia="黑体" w:cs="黑体"/>
          <w:sz w:val="32"/>
          <w:szCs w:val="32"/>
          <w:highlight w:val="none"/>
        </w:rPr>
      </w:pPr>
    </w:p>
    <w:p w14:paraId="34F1A6A8">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04ABC3EA">
      <w:pPr>
        <w:widowControl/>
        <w:spacing w:after="0" w:afterLines="0" w:line="400" w:lineRule="exact"/>
        <w:jc w:val="left"/>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5645DBA8">
      <w:pPr>
        <w:widowControl/>
        <w:spacing w:after="120" w:afterLines="50"/>
        <w:jc w:val="center"/>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10"/>
        <w:tblW w:w="10079" w:type="dxa"/>
        <w:jc w:val="center"/>
        <w:tblLayout w:type="autofit"/>
        <w:tblCellMar>
          <w:top w:w="0" w:type="dxa"/>
          <w:left w:w="108" w:type="dxa"/>
          <w:bottom w:w="0" w:type="dxa"/>
          <w:right w:w="108" w:type="dxa"/>
        </w:tblCellMar>
      </w:tblPr>
      <w:tblGrid>
        <w:gridCol w:w="1080"/>
        <w:gridCol w:w="1080"/>
        <w:gridCol w:w="1034"/>
        <w:gridCol w:w="1270"/>
        <w:gridCol w:w="1311"/>
        <w:gridCol w:w="1269"/>
        <w:gridCol w:w="716"/>
        <w:gridCol w:w="873"/>
        <w:gridCol w:w="1446"/>
      </w:tblGrid>
      <w:tr w14:paraId="70528315">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36F8A49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eastAsia="zh-CN"/>
              </w:rPr>
              <w:t>市</w:t>
            </w:r>
            <w:r>
              <w:rPr>
                <w:rFonts w:hint="eastAsia" w:ascii="仿宋_GB2312" w:hAnsi="仿宋_GB2312" w:eastAsia="仿宋_GB2312" w:cs="仿宋_GB2312"/>
                <w:color w:val="000000"/>
                <w:sz w:val="20"/>
                <w:szCs w:val="20"/>
                <w:highlight w:val="none"/>
              </w:rPr>
              <w:t>级预算部门名称</w:t>
            </w:r>
          </w:p>
        </w:tc>
        <w:tc>
          <w:tcPr>
            <w:tcW w:w="8999" w:type="dxa"/>
            <w:gridSpan w:val="8"/>
            <w:tcBorders>
              <w:top w:val="single" w:color="auto" w:sz="4" w:space="0"/>
              <w:left w:val="single" w:color="auto" w:sz="4" w:space="0"/>
              <w:bottom w:val="single" w:color="auto" w:sz="4" w:space="0"/>
              <w:right w:val="single" w:color="auto" w:sz="4" w:space="0"/>
            </w:tcBorders>
            <w:noWrap w:val="0"/>
            <w:vAlign w:val="center"/>
          </w:tcPr>
          <w:p w14:paraId="2164629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u w:val="none"/>
              </w:rPr>
              <w:t>岳阳市城市照明管理中心</w:t>
            </w:r>
            <w:r>
              <w:rPr>
                <w:rFonts w:hint="eastAsia" w:ascii="仿宋_GB2312" w:hAnsi="仿宋_GB2312" w:eastAsia="仿宋_GB2312" w:cs="仿宋_GB2312"/>
                <w:color w:val="000000"/>
                <w:sz w:val="20"/>
                <w:szCs w:val="20"/>
                <w:highlight w:val="none"/>
              </w:rPr>
              <w:t>　</w:t>
            </w:r>
          </w:p>
        </w:tc>
      </w:tr>
      <w:tr w14:paraId="7C4F95F9">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6400FE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年度预</w:t>
            </w:r>
          </w:p>
          <w:p w14:paraId="0600940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算申请</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4" w:type="dxa"/>
            <w:gridSpan w:val="2"/>
            <w:tcBorders>
              <w:top w:val="single" w:color="auto" w:sz="4" w:space="0"/>
              <w:left w:val="single" w:color="auto" w:sz="4" w:space="0"/>
              <w:bottom w:val="single" w:color="auto" w:sz="4" w:space="0"/>
              <w:right w:val="single" w:color="auto" w:sz="4" w:space="0"/>
            </w:tcBorders>
            <w:noWrap w:val="0"/>
            <w:vAlign w:val="center"/>
          </w:tcPr>
          <w:p w14:paraId="4ECBB52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807E30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年初预算数</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C20F21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全年预算数</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655AE3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全年执行数</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3756D5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8AD045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02CF2A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28FE59C6">
        <w:tblPrEx>
          <w:tblCellMar>
            <w:top w:w="0" w:type="dxa"/>
            <w:left w:w="108" w:type="dxa"/>
            <w:bottom w:w="0" w:type="dxa"/>
            <w:right w:w="108" w:type="dxa"/>
          </w:tblCellMar>
        </w:tblPrEx>
        <w:trPr>
          <w:trHeight w:val="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727A16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2114" w:type="dxa"/>
            <w:gridSpan w:val="2"/>
            <w:tcBorders>
              <w:top w:val="single" w:color="auto" w:sz="4" w:space="0"/>
              <w:left w:val="single" w:color="auto" w:sz="4" w:space="0"/>
              <w:bottom w:val="single" w:color="auto" w:sz="4" w:space="0"/>
              <w:right w:val="single" w:color="auto" w:sz="4" w:space="0"/>
            </w:tcBorders>
            <w:noWrap w:val="0"/>
            <w:vAlign w:val="center"/>
          </w:tcPr>
          <w:p w14:paraId="3F94B52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000000"/>
                <w:sz w:val="20"/>
                <w:szCs w:val="20"/>
                <w:highlight w:val="none"/>
              </w:rPr>
              <w:t>年度资金总额</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446807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US" w:eastAsia="zh-CN"/>
              </w:rPr>
            </w:pPr>
            <w:r>
              <w:rPr>
                <w:rFonts w:hint="eastAsia" w:ascii="仿宋_GB2312" w:hAnsi="仿宋_GB2312" w:eastAsia="仿宋_GB2312" w:cs="仿宋_GB2312"/>
                <w:sz w:val="20"/>
                <w:szCs w:val="20"/>
                <w:highlight w:val="none"/>
                <w:lang w:val="en-US" w:eastAsia="zh-CN"/>
              </w:rPr>
              <w:t>5539.489319</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C7A2E6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 w:eastAsia="zh-CN"/>
              </w:rPr>
            </w:pPr>
            <w:r>
              <w:rPr>
                <w:rFonts w:hint="eastAsia" w:ascii="仿宋_GB2312" w:hAnsi="仿宋_GB2312" w:eastAsia="仿宋_GB2312" w:cs="仿宋_GB2312"/>
                <w:sz w:val="20"/>
                <w:szCs w:val="20"/>
                <w:highlight w:val="none"/>
                <w:lang w:val="en-US" w:eastAsia="zh-CN"/>
              </w:rPr>
              <w:t>5539.489319</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72C855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 w:eastAsia="zh-CN"/>
              </w:rPr>
            </w:pPr>
            <w:r>
              <w:rPr>
                <w:rFonts w:hint="eastAsia" w:ascii="仿宋_GB2312" w:hAnsi="仿宋_GB2312" w:eastAsia="仿宋_GB2312" w:cs="仿宋_GB2312"/>
                <w:sz w:val="20"/>
                <w:szCs w:val="20"/>
                <w:highlight w:val="none"/>
                <w:lang w:val="en-US" w:eastAsia="zh-CN"/>
              </w:rPr>
              <w:t>5539.489319</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6B36AB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91CAD4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sz w:val="20"/>
                <w:szCs w:val="20"/>
                <w:highlight w:val="none"/>
                <w:lang w:val="en-US" w:eastAsia="zh-CN"/>
              </w:rPr>
            </w:pPr>
            <w:r>
              <w:rPr>
                <w:rFonts w:hint="default" w:ascii="仿宋_GB2312" w:hAnsi="仿宋_GB2312" w:eastAsia="仿宋_GB2312" w:cs="仿宋_GB2312"/>
                <w:sz w:val="20"/>
                <w:szCs w:val="20"/>
                <w:highlight w:val="none"/>
                <w:lang w:val="en" w:eastAsia="zh-CN"/>
              </w:rPr>
              <w:t>9</w:t>
            </w:r>
            <w:r>
              <w:rPr>
                <w:rFonts w:hint="default" w:ascii="仿宋_GB2312" w:hAnsi="仿宋_GB2312" w:eastAsia="仿宋_GB2312" w:cs="仿宋_GB2312"/>
                <w:sz w:val="20"/>
                <w:szCs w:val="20"/>
                <w:highlight w:val="none"/>
                <w:lang w:val="en-US" w:eastAsia="zh-CN"/>
              </w:rPr>
              <w:t>9</w:t>
            </w:r>
            <w:r>
              <w:rPr>
                <w:rFonts w:hint="eastAsia" w:ascii="仿宋_GB2312" w:hAnsi="仿宋_GB2312" w:eastAsia="仿宋_GB2312" w:cs="仿宋_GB2312"/>
                <w:sz w:val="20"/>
                <w:szCs w:val="20"/>
                <w:highlight w:val="none"/>
                <w:lang w:val="en-US" w:eastAsia="zh-CN"/>
              </w:rPr>
              <w:t>%</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09346F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0"/>
                <w:szCs w:val="20"/>
                <w:highlight w:val="none"/>
                <w:lang w:val="en" w:eastAsia="zh-CN"/>
              </w:rPr>
            </w:pPr>
            <w:r>
              <w:rPr>
                <w:rFonts w:hint="default" w:ascii="仿宋_GB2312" w:hAnsi="仿宋_GB2312" w:eastAsia="仿宋_GB2312" w:cs="仿宋_GB2312"/>
                <w:sz w:val="20"/>
                <w:szCs w:val="20"/>
                <w:highlight w:val="none"/>
                <w:lang w:val="en" w:eastAsia="zh-CN"/>
              </w:rPr>
              <w:t>9.</w:t>
            </w:r>
            <w:r>
              <w:rPr>
                <w:rFonts w:hint="default" w:ascii="仿宋_GB2312" w:hAnsi="仿宋_GB2312" w:eastAsia="仿宋_GB2312" w:cs="仿宋_GB2312"/>
                <w:sz w:val="20"/>
                <w:szCs w:val="20"/>
                <w:highlight w:val="none"/>
                <w:lang w:val="en-US" w:eastAsia="zh-CN"/>
              </w:rPr>
              <w:t>9</w:t>
            </w:r>
          </w:p>
        </w:tc>
      </w:tr>
      <w:tr w14:paraId="2FB8E27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7E65D5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single" w:color="auto" w:sz="4" w:space="0"/>
              <w:bottom w:val="single" w:color="auto" w:sz="4" w:space="0"/>
              <w:right w:val="single" w:color="auto" w:sz="4" w:space="0"/>
            </w:tcBorders>
            <w:noWrap w:val="0"/>
            <w:vAlign w:val="center"/>
          </w:tcPr>
          <w:p w14:paraId="744DACC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按收入性质分：</w:t>
            </w:r>
            <w:r>
              <w:rPr>
                <w:rFonts w:hint="eastAsia" w:ascii="仿宋_GB2312" w:hAnsi="仿宋_GB2312" w:eastAsia="仿宋_GB2312" w:cs="仿宋_GB2312"/>
                <w:sz w:val="20"/>
                <w:szCs w:val="20"/>
                <w:highlight w:val="none"/>
                <w:lang w:val="en-US" w:eastAsia="zh-CN"/>
              </w:rPr>
              <w:t>5539.489319</w:t>
            </w:r>
          </w:p>
        </w:tc>
        <w:tc>
          <w:tcPr>
            <w:tcW w:w="4304" w:type="dxa"/>
            <w:gridSpan w:val="4"/>
            <w:tcBorders>
              <w:top w:val="single" w:color="auto" w:sz="4" w:space="0"/>
              <w:left w:val="single" w:color="auto" w:sz="4" w:space="0"/>
              <w:bottom w:val="single" w:color="auto" w:sz="4" w:space="0"/>
              <w:right w:val="single" w:color="auto" w:sz="4" w:space="0"/>
            </w:tcBorders>
            <w:noWrap w:val="0"/>
            <w:vAlign w:val="center"/>
          </w:tcPr>
          <w:p w14:paraId="17EA3C8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按支出性质分：</w:t>
            </w:r>
            <w:r>
              <w:rPr>
                <w:rFonts w:hint="eastAsia" w:ascii="仿宋_GB2312" w:hAnsi="仿宋_GB2312" w:eastAsia="仿宋_GB2312" w:cs="仿宋_GB2312"/>
                <w:sz w:val="20"/>
                <w:szCs w:val="20"/>
                <w:highlight w:val="none"/>
                <w:lang w:val="en-US" w:eastAsia="zh-CN"/>
              </w:rPr>
              <w:t>5539.489319</w:t>
            </w:r>
          </w:p>
        </w:tc>
      </w:tr>
      <w:tr w14:paraId="5EF2DE19">
        <w:tblPrEx>
          <w:tblCellMar>
            <w:top w:w="0" w:type="dxa"/>
            <w:left w:w="108" w:type="dxa"/>
            <w:bottom w:w="0" w:type="dxa"/>
            <w:right w:w="108" w:type="dxa"/>
          </w:tblCellMar>
        </w:tblPrEx>
        <w:trPr>
          <w:trHeight w:val="34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7B19BE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single" w:color="auto" w:sz="4" w:space="0"/>
              <w:bottom w:val="single" w:color="auto" w:sz="4" w:space="0"/>
              <w:right w:val="single" w:color="auto" w:sz="4" w:space="0"/>
            </w:tcBorders>
            <w:noWrap w:val="0"/>
            <w:vAlign w:val="center"/>
          </w:tcPr>
          <w:p w14:paraId="12516B51">
            <w:pPr>
              <w:keepNext w:val="0"/>
              <w:keepLines w:val="0"/>
              <w:pageBreakBefore w:val="0"/>
              <w:widowControl/>
              <w:tabs>
                <w:tab w:val="left" w:pos="3402"/>
              </w:tabs>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xml:space="preserve">  </w:t>
            </w: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000000"/>
                <w:sz w:val="20"/>
                <w:szCs w:val="20"/>
                <w:highlight w:val="none"/>
              </w:rPr>
              <w:t>其中一般公共预算</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4870.805387</w:t>
            </w:r>
          </w:p>
        </w:tc>
        <w:tc>
          <w:tcPr>
            <w:tcW w:w="4304" w:type="dxa"/>
            <w:gridSpan w:val="4"/>
            <w:tcBorders>
              <w:top w:val="single" w:color="auto" w:sz="4" w:space="0"/>
              <w:left w:val="single" w:color="auto" w:sz="4" w:space="0"/>
              <w:bottom w:val="single" w:color="auto" w:sz="4" w:space="0"/>
              <w:right w:val="single" w:color="auto" w:sz="4" w:space="0"/>
            </w:tcBorders>
            <w:noWrap w:val="0"/>
            <w:vAlign w:val="center"/>
          </w:tcPr>
          <w:p w14:paraId="41FA45F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其中基本支出</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1359.775911</w:t>
            </w:r>
          </w:p>
        </w:tc>
      </w:tr>
      <w:tr w14:paraId="4024CE64">
        <w:tblPrEx>
          <w:tblCellMar>
            <w:top w:w="0" w:type="dxa"/>
            <w:left w:w="108" w:type="dxa"/>
            <w:bottom w:w="0" w:type="dxa"/>
            <w:right w:w="108" w:type="dxa"/>
          </w:tblCellMar>
        </w:tblPrEx>
        <w:trPr>
          <w:trHeight w:val="34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796FA0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single" w:color="auto" w:sz="4" w:space="0"/>
              <w:bottom w:val="single" w:color="auto" w:sz="4" w:space="0"/>
              <w:right w:val="single" w:color="auto" w:sz="4" w:space="0"/>
            </w:tcBorders>
            <w:noWrap w:val="0"/>
            <w:vAlign w:val="center"/>
          </w:tcPr>
          <w:p w14:paraId="71AD02B9">
            <w:pPr>
              <w:keepNext w:val="0"/>
              <w:keepLines w:val="0"/>
              <w:pageBreakBefore w:val="0"/>
              <w:widowControl/>
              <w:kinsoku/>
              <w:wordWrap/>
              <w:overflowPunct/>
              <w:topLinePunct w:val="0"/>
              <w:autoSpaceDE/>
              <w:autoSpaceDN/>
              <w:bidi w:val="0"/>
              <w:adjustRightInd/>
              <w:snapToGrid/>
              <w:spacing w:line="340" w:lineRule="exact"/>
              <w:ind w:firstLine="1200" w:firstLineChars="600"/>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政府性基金拨款：</w:t>
            </w:r>
            <w:r>
              <w:rPr>
                <w:rFonts w:hint="default" w:ascii="仿宋_GB2312" w:hAnsi="仿宋_GB2312" w:eastAsia="仿宋_GB2312" w:cs="仿宋_GB2312"/>
                <w:color w:val="000000"/>
                <w:sz w:val="20"/>
                <w:szCs w:val="20"/>
                <w:highlight w:val="none"/>
                <w:lang w:val="en-US"/>
              </w:rPr>
              <w:t>0</w:t>
            </w:r>
          </w:p>
        </w:tc>
        <w:tc>
          <w:tcPr>
            <w:tcW w:w="4304" w:type="dxa"/>
            <w:gridSpan w:val="4"/>
            <w:tcBorders>
              <w:top w:val="single" w:color="auto" w:sz="4" w:space="0"/>
              <w:left w:val="single" w:color="auto" w:sz="4" w:space="0"/>
              <w:bottom w:val="single" w:color="auto" w:sz="4" w:space="0"/>
              <w:right w:val="single" w:color="auto" w:sz="4" w:space="0"/>
            </w:tcBorders>
            <w:noWrap w:val="0"/>
            <w:vAlign w:val="center"/>
          </w:tcPr>
          <w:p w14:paraId="788CEA7F">
            <w:pPr>
              <w:keepNext w:val="0"/>
              <w:keepLines w:val="0"/>
              <w:pageBreakBefore w:val="0"/>
              <w:widowControl/>
              <w:kinsoku/>
              <w:wordWrap/>
              <w:overflowPunct/>
              <w:topLinePunct w:val="0"/>
              <w:autoSpaceDE/>
              <w:autoSpaceDN/>
              <w:bidi w:val="0"/>
              <w:adjustRightInd/>
              <w:snapToGrid/>
              <w:spacing w:line="340" w:lineRule="exact"/>
              <w:ind w:firstLine="400" w:firstLineChars="200"/>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项目支出</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4179.713508</w:t>
            </w:r>
          </w:p>
        </w:tc>
      </w:tr>
      <w:tr w14:paraId="5502BF2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BF51F2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single" w:color="auto" w:sz="4" w:space="0"/>
              <w:bottom w:val="single" w:color="auto" w:sz="4" w:space="0"/>
              <w:right w:val="single" w:color="auto" w:sz="4" w:space="0"/>
            </w:tcBorders>
            <w:noWrap w:val="0"/>
            <w:vAlign w:val="center"/>
          </w:tcPr>
          <w:p w14:paraId="7D54D6B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纳入专户管理的非税收入拨款：</w:t>
            </w:r>
            <w:r>
              <w:rPr>
                <w:rFonts w:hint="default" w:ascii="仿宋_GB2312" w:hAnsi="仿宋_GB2312" w:eastAsia="仿宋_GB2312" w:cs="仿宋_GB2312"/>
                <w:color w:val="000000"/>
                <w:sz w:val="20"/>
                <w:szCs w:val="20"/>
                <w:highlight w:val="none"/>
                <w:lang w:val="en-US"/>
              </w:rPr>
              <w:t>0</w:t>
            </w:r>
          </w:p>
        </w:tc>
        <w:tc>
          <w:tcPr>
            <w:tcW w:w="4304" w:type="dxa"/>
            <w:gridSpan w:val="4"/>
            <w:tcBorders>
              <w:top w:val="single" w:color="auto" w:sz="4" w:space="0"/>
              <w:left w:val="single" w:color="auto" w:sz="4" w:space="0"/>
              <w:bottom w:val="single" w:color="auto" w:sz="4" w:space="0"/>
              <w:right w:val="single" w:color="auto" w:sz="4" w:space="0"/>
            </w:tcBorders>
            <w:noWrap w:val="0"/>
            <w:vAlign w:val="center"/>
          </w:tcPr>
          <w:p w14:paraId="461F80F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2AF2E29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E8CB98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single" w:color="auto" w:sz="4" w:space="0"/>
              <w:bottom w:val="single" w:color="auto" w:sz="4" w:space="0"/>
              <w:right w:val="single" w:color="auto" w:sz="4" w:space="0"/>
            </w:tcBorders>
            <w:noWrap w:val="0"/>
            <w:vAlign w:val="center"/>
          </w:tcPr>
          <w:p w14:paraId="44293F93">
            <w:pPr>
              <w:keepNext w:val="0"/>
              <w:keepLines w:val="0"/>
              <w:pageBreakBefore w:val="0"/>
              <w:widowControl/>
              <w:kinsoku/>
              <w:wordWrap/>
              <w:overflowPunct/>
              <w:topLinePunct w:val="0"/>
              <w:autoSpaceDE/>
              <w:autoSpaceDN/>
              <w:bidi w:val="0"/>
              <w:adjustRightInd/>
              <w:snapToGrid/>
              <w:spacing w:line="340" w:lineRule="exact"/>
              <w:ind w:firstLine="1800" w:firstLineChars="9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其他资金：</w:t>
            </w:r>
            <w:r>
              <w:rPr>
                <w:rFonts w:hint="eastAsia" w:ascii="仿宋_GB2312" w:hAnsi="仿宋_GB2312" w:eastAsia="仿宋_GB2312" w:cs="仿宋_GB2312"/>
                <w:color w:val="000000"/>
                <w:sz w:val="20"/>
                <w:szCs w:val="20"/>
                <w:highlight w:val="none"/>
                <w:lang w:val="en-US" w:eastAsia="zh-CN"/>
              </w:rPr>
              <w:t>758.68</w:t>
            </w:r>
          </w:p>
        </w:tc>
        <w:tc>
          <w:tcPr>
            <w:tcW w:w="4304" w:type="dxa"/>
            <w:gridSpan w:val="4"/>
            <w:tcBorders>
              <w:top w:val="single" w:color="auto" w:sz="4" w:space="0"/>
              <w:left w:val="single" w:color="auto" w:sz="4" w:space="0"/>
              <w:bottom w:val="single" w:color="auto" w:sz="4" w:space="0"/>
              <w:right w:val="single" w:color="auto" w:sz="4" w:space="0"/>
            </w:tcBorders>
            <w:noWrap w:val="0"/>
            <w:vAlign w:val="center"/>
          </w:tcPr>
          <w:p w14:paraId="522823A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5E86B12F">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CC3AFE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695" w:type="dxa"/>
            <w:gridSpan w:val="4"/>
            <w:tcBorders>
              <w:top w:val="single" w:color="auto" w:sz="4" w:space="0"/>
              <w:left w:val="single" w:color="auto" w:sz="4" w:space="0"/>
              <w:bottom w:val="single" w:color="auto" w:sz="4" w:space="0"/>
              <w:right w:val="single" w:color="auto" w:sz="4" w:space="0"/>
            </w:tcBorders>
            <w:noWrap w:val="0"/>
            <w:vAlign w:val="center"/>
          </w:tcPr>
          <w:p w14:paraId="7DA38F8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04" w:type="dxa"/>
            <w:gridSpan w:val="4"/>
            <w:tcBorders>
              <w:top w:val="single" w:color="auto" w:sz="4" w:space="0"/>
              <w:left w:val="single" w:color="auto" w:sz="4" w:space="0"/>
              <w:bottom w:val="single" w:color="auto" w:sz="4" w:space="0"/>
              <w:right w:val="single" w:color="auto" w:sz="4" w:space="0"/>
            </w:tcBorders>
            <w:noWrap w:val="0"/>
            <w:vAlign w:val="center"/>
          </w:tcPr>
          <w:p w14:paraId="3627210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422BDD79">
        <w:tblPrEx>
          <w:tblCellMar>
            <w:top w:w="0" w:type="dxa"/>
            <w:left w:w="108" w:type="dxa"/>
            <w:bottom w:w="0" w:type="dxa"/>
            <w:right w:w="108" w:type="dxa"/>
          </w:tblCellMar>
        </w:tblPrEx>
        <w:trPr>
          <w:trHeight w:val="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DFC369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4695" w:type="dxa"/>
            <w:gridSpan w:val="4"/>
            <w:tcBorders>
              <w:top w:val="single" w:color="auto" w:sz="4" w:space="0"/>
              <w:left w:val="single" w:color="auto" w:sz="4" w:space="0"/>
              <w:bottom w:val="single" w:color="auto" w:sz="4" w:space="0"/>
              <w:right w:val="single" w:color="auto" w:sz="4" w:space="0"/>
            </w:tcBorders>
            <w:noWrap w:val="0"/>
            <w:vAlign w:val="center"/>
          </w:tcPr>
          <w:p w14:paraId="3018BC6F">
            <w:pPr>
              <w:keepNext w:val="0"/>
              <w:keepLines w:val="0"/>
              <w:pageBreakBefore w:val="0"/>
              <w:widowControl/>
              <w:numPr>
                <w:ilvl w:val="0"/>
                <w:numId w:val="0"/>
              </w:numPr>
              <w:kinsoku/>
              <w:wordWrap/>
              <w:overflowPunct/>
              <w:topLinePunct w:val="0"/>
              <w:autoSpaceDE/>
              <w:autoSpaceDN/>
              <w:bidi w:val="0"/>
              <w:adjustRightInd/>
              <w:snapToGrid/>
              <w:spacing w:line="3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1、</w:t>
            </w:r>
            <w:r>
              <w:rPr>
                <w:rFonts w:hint="eastAsia" w:ascii="仿宋_GB2312" w:hAnsi="仿宋_GB2312" w:eastAsia="仿宋_GB2312" w:cs="仿宋_GB2312"/>
                <w:color w:val="000000"/>
                <w:sz w:val="20"/>
                <w:szCs w:val="20"/>
                <w:highlight w:val="none"/>
              </w:rPr>
              <w:t>不断提高维护管养水平和公共服务意识，保障城区主次干道路灯（26777盏）及小街巷路灯（4229盏）</w:t>
            </w:r>
            <w:r>
              <w:rPr>
                <w:rFonts w:hint="eastAsia" w:ascii="仿宋_GB2312" w:hAnsi="仿宋_GB2312" w:eastAsia="仿宋_GB2312" w:cs="仿宋_GB2312"/>
                <w:color w:val="000000"/>
                <w:sz w:val="20"/>
                <w:szCs w:val="20"/>
                <w:highlight w:val="none"/>
                <w:lang w:eastAsia="zh-CN"/>
              </w:rPr>
              <w:t>和公用亮化设施（功率</w:t>
            </w:r>
            <w:r>
              <w:rPr>
                <w:rFonts w:hint="eastAsia" w:ascii="仿宋_GB2312" w:hAnsi="仿宋_GB2312" w:eastAsia="仿宋_GB2312" w:cs="仿宋_GB2312"/>
                <w:color w:val="000000"/>
                <w:sz w:val="20"/>
                <w:szCs w:val="20"/>
                <w:highlight w:val="none"/>
              </w:rPr>
              <w:t>4008.2</w:t>
            </w:r>
            <w:r>
              <w:rPr>
                <w:rFonts w:hint="eastAsia" w:ascii="仿宋_GB2312" w:hAnsi="仿宋_GB2312" w:eastAsia="仿宋_GB2312" w:cs="仿宋_GB2312"/>
                <w:color w:val="000000"/>
                <w:sz w:val="20"/>
                <w:szCs w:val="20"/>
                <w:highlight w:val="none"/>
                <w:lang w:val="en-US" w:eastAsia="zh-CN"/>
              </w:rPr>
              <w:t>6</w:t>
            </w:r>
            <w:r>
              <w:rPr>
                <w:rFonts w:hint="eastAsia" w:ascii="仿宋_GB2312" w:hAnsi="仿宋_GB2312" w:eastAsia="仿宋_GB2312" w:cs="仿宋_GB2312"/>
                <w:color w:val="000000"/>
                <w:sz w:val="20"/>
                <w:szCs w:val="20"/>
                <w:highlight w:val="none"/>
              </w:rPr>
              <w:t>KW</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正常运行；</w:t>
            </w:r>
          </w:p>
          <w:p w14:paraId="0EE52515">
            <w:pPr>
              <w:keepNext w:val="0"/>
              <w:keepLines w:val="0"/>
              <w:pageBreakBefore w:val="0"/>
              <w:widowControl/>
              <w:numPr>
                <w:ilvl w:val="0"/>
                <w:numId w:val="0"/>
              </w:numPr>
              <w:kinsoku/>
              <w:wordWrap/>
              <w:overflowPunct/>
              <w:topLinePunct w:val="0"/>
              <w:autoSpaceDE/>
              <w:autoSpaceDN/>
              <w:bidi w:val="0"/>
              <w:adjustRightInd/>
              <w:snapToGrid/>
              <w:spacing w:line="3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2、</w:t>
            </w:r>
            <w:r>
              <w:rPr>
                <w:rFonts w:hint="eastAsia" w:ascii="仿宋_GB2312" w:hAnsi="仿宋_GB2312" w:eastAsia="仿宋_GB2312" w:cs="仿宋_GB2312"/>
                <w:color w:val="000000"/>
                <w:sz w:val="20"/>
                <w:szCs w:val="20"/>
                <w:highlight w:val="none"/>
              </w:rPr>
              <w:t>美化、亮化城市，提升岳阳城市形象，方便市民夜间出行，保障夜间道路安全；</w:t>
            </w:r>
          </w:p>
          <w:p w14:paraId="5086980C">
            <w:pPr>
              <w:keepNext w:val="0"/>
              <w:keepLines w:val="0"/>
              <w:pageBreakBefore w:val="0"/>
              <w:widowControl/>
              <w:numPr>
                <w:ilvl w:val="0"/>
                <w:numId w:val="0"/>
              </w:numPr>
              <w:kinsoku/>
              <w:wordWrap/>
              <w:overflowPunct/>
              <w:topLinePunct w:val="0"/>
              <w:autoSpaceDE/>
              <w:autoSpaceDN/>
              <w:bidi w:val="0"/>
              <w:adjustRightInd/>
              <w:snapToGrid/>
              <w:spacing w:line="3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3、</w:t>
            </w:r>
            <w:r>
              <w:rPr>
                <w:rFonts w:hint="eastAsia" w:ascii="仿宋_GB2312" w:hAnsi="仿宋_GB2312" w:eastAsia="仿宋_GB2312" w:cs="仿宋_GB2312"/>
                <w:color w:val="000000"/>
                <w:sz w:val="20"/>
                <w:szCs w:val="20"/>
                <w:highlight w:val="none"/>
              </w:rPr>
              <w:t>指导中心城区夜景亮化方案的设计，新建楼宇亮化方案审批及亮化单位用电量计量管理，协助城区夜景亮化工程的施工检查、竣工验收；</w:t>
            </w:r>
          </w:p>
          <w:p w14:paraId="0846672C">
            <w:pPr>
              <w:keepNext w:val="0"/>
              <w:keepLines w:val="0"/>
              <w:pageBreakBefore w:val="0"/>
              <w:widowControl/>
              <w:numPr>
                <w:ilvl w:val="0"/>
                <w:numId w:val="0"/>
              </w:numPr>
              <w:kinsoku/>
              <w:wordWrap/>
              <w:overflowPunct/>
              <w:topLinePunct w:val="0"/>
              <w:autoSpaceDE/>
              <w:autoSpaceDN/>
              <w:bidi w:val="0"/>
              <w:adjustRightInd/>
              <w:snapToGrid/>
              <w:spacing w:line="3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w:t>
            </w:r>
            <w:r>
              <w:rPr>
                <w:rFonts w:hint="eastAsia" w:ascii="仿宋_GB2312" w:hAnsi="仿宋_GB2312" w:eastAsia="仿宋_GB2312" w:cs="仿宋_GB2312"/>
                <w:color w:val="000000"/>
                <w:sz w:val="20"/>
                <w:szCs w:val="20"/>
                <w:highlight w:val="none"/>
              </w:rPr>
              <w:t>实施中心城区路灯节能改造，达到节约电力资源，建设生态绿色城市的目标</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　　</w:t>
            </w:r>
          </w:p>
        </w:tc>
        <w:tc>
          <w:tcPr>
            <w:tcW w:w="4304" w:type="dxa"/>
            <w:gridSpan w:val="4"/>
            <w:tcBorders>
              <w:top w:val="single" w:color="auto" w:sz="4" w:space="0"/>
              <w:left w:val="single" w:color="auto" w:sz="4" w:space="0"/>
              <w:bottom w:val="single" w:color="auto" w:sz="4" w:space="0"/>
              <w:right w:val="single" w:color="auto" w:sz="4" w:space="0"/>
            </w:tcBorders>
            <w:noWrap w:val="0"/>
            <w:vAlign w:val="center"/>
          </w:tcPr>
          <w:p w14:paraId="703075E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w:t>
            </w:r>
            <w:r>
              <w:rPr>
                <w:rFonts w:hint="eastAsia" w:ascii="仿宋_GB2312" w:hAnsi="仿宋_GB2312" w:eastAsia="仿宋_GB2312" w:cs="仿宋_GB2312"/>
                <w:color w:val="000000"/>
                <w:sz w:val="20"/>
                <w:szCs w:val="20"/>
                <w:lang w:val="en-US" w:eastAsia="zh-CN"/>
              </w:rPr>
              <w:t>1、路灯</w:t>
            </w:r>
            <w:r>
              <w:rPr>
                <w:rFonts w:hint="eastAsia" w:ascii="仿宋_GB2312" w:hAnsi="仿宋_GB2312" w:eastAsia="仿宋_GB2312" w:cs="仿宋_GB2312"/>
                <w:color w:val="000000"/>
                <w:sz w:val="20"/>
                <w:szCs w:val="20"/>
                <w:lang w:eastAsia="zh-CN"/>
              </w:rPr>
              <w:t>维护管养水平和公共服务意识不断提高，保障</w:t>
            </w:r>
            <w:r>
              <w:rPr>
                <w:rFonts w:hint="eastAsia" w:ascii="仿宋_GB2312" w:hAnsi="仿宋_GB2312" w:eastAsia="仿宋_GB2312" w:cs="仿宋_GB2312"/>
                <w:color w:val="000000"/>
                <w:sz w:val="20"/>
                <w:szCs w:val="20"/>
                <w:lang w:val="en-US" w:eastAsia="zh-CN"/>
              </w:rPr>
              <w:t>了</w:t>
            </w:r>
            <w:r>
              <w:rPr>
                <w:rFonts w:hint="eastAsia" w:ascii="仿宋_GB2312" w:hAnsi="仿宋_GB2312" w:eastAsia="仿宋_GB2312" w:cs="仿宋_GB2312"/>
                <w:color w:val="000000"/>
                <w:sz w:val="20"/>
                <w:szCs w:val="20"/>
                <w:lang w:eastAsia="zh-CN"/>
              </w:rPr>
              <w:t>城区主次干道</w:t>
            </w:r>
            <w:r>
              <w:rPr>
                <w:rFonts w:hint="eastAsia" w:ascii="仿宋_GB2312" w:hAnsi="仿宋_GB2312" w:eastAsia="仿宋_GB2312" w:cs="仿宋_GB2312"/>
                <w:color w:val="000000"/>
                <w:sz w:val="20"/>
                <w:szCs w:val="20"/>
                <w:highlight w:val="none"/>
              </w:rPr>
              <w:t>路灯</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2</w:t>
            </w:r>
            <w:r>
              <w:rPr>
                <w:rFonts w:hint="eastAsia" w:ascii="仿宋_GB2312" w:hAnsi="仿宋_GB2312" w:eastAsia="仿宋_GB2312" w:cs="仿宋_GB2312"/>
                <w:color w:val="000000"/>
                <w:sz w:val="20"/>
                <w:szCs w:val="20"/>
                <w:highlight w:val="none"/>
                <w:lang w:val="en-US" w:eastAsia="zh-CN"/>
              </w:rPr>
              <w:t>6777</w:t>
            </w:r>
            <w:r>
              <w:rPr>
                <w:rFonts w:hint="eastAsia" w:ascii="仿宋_GB2312" w:hAnsi="仿宋_GB2312" w:eastAsia="仿宋_GB2312" w:cs="仿宋_GB2312"/>
                <w:color w:val="000000"/>
                <w:sz w:val="20"/>
                <w:szCs w:val="20"/>
                <w:highlight w:val="none"/>
              </w:rPr>
              <w:t>盏</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及小街巷路灯</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4229</w:t>
            </w:r>
            <w:r>
              <w:rPr>
                <w:rFonts w:hint="eastAsia" w:ascii="仿宋_GB2312" w:hAnsi="仿宋_GB2312" w:eastAsia="仿宋_GB2312" w:cs="仿宋_GB2312"/>
                <w:color w:val="000000"/>
                <w:sz w:val="20"/>
                <w:szCs w:val="20"/>
                <w:highlight w:val="none"/>
              </w:rPr>
              <w:t>盏</w:t>
            </w:r>
            <w:r>
              <w:rPr>
                <w:rFonts w:hint="eastAsia" w:ascii="仿宋_GB2312" w:hAnsi="仿宋_GB2312" w:eastAsia="仿宋_GB2312" w:cs="仿宋_GB2312"/>
                <w:color w:val="000000"/>
                <w:sz w:val="20"/>
                <w:szCs w:val="20"/>
                <w:highlight w:val="none"/>
                <w:lang w:eastAsia="zh-CN"/>
              </w:rPr>
              <w:t>）和公用亮化设施（功率</w:t>
            </w:r>
            <w:r>
              <w:rPr>
                <w:rFonts w:hint="eastAsia" w:ascii="仿宋_GB2312" w:hAnsi="仿宋_GB2312" w:eastAsia="仿宋_GB2312" w:cs="仿宋_GB2312"/>
                <w:color w:val="000000"/>
                <w:sz w:val="20"/>
                <w:szCs w:val="20"/>
                <w:highlight w:val="none"/>
              </w:rPr>
              <w:t>4008.2</w:t>
            </w:r>
            <w:r>
              <w:rPr>
                <w:rFonts w:hint="eastAsia" w:ascii="仿宋_GB2312" w:hAnsi="仿宋_GB2312" w:eastAsia="仿宋_GB2312" w:cs="仿宋_GB2312"/>
                <w:color w:val="000000"/>
                <w:sz w:val="20"/>
                <w:szCs w:val="20"/>
                <w:highlight w:val="none"/>
                <w:lang w:val="en-US" w:eastAsia="zh-CN"/>
              </w:rPr>
              <w:t>6</w:t>
            </w:r>
            <w:r>
              <w:rPr>
                <w:rFonts w:hint="eastAsia" w:ascii="仿宋_GB2312" w:hAnsi="仿宋_GB2312" w:eastAsia="仿宋_GB2312" w:cs="仿宋_GB2312"/>
                <w:color w:val="000000"/>
                <w:sz w:val="20"/>
                <w:szCs w:val="20"/>
                <w:highlight w:val="none"/>
              </w:rPr>
              <w:t>KW</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rPr>
              <w:t>正常运行</w:t>
            </w:r>
            <w:r>
              <w:rPr>
                <w:rFonts w:hint="eastAsia" w:ascii="仿宋_GB2312" w:hAnsi="仿宋_GB2312" w:eastAsia="仿宋_GB2312" w:cs="仿宋_GB2312"/>
                <w:color w:val="000000"/>
                <w:sz w:val="20"/>
                <w:szCs w:val="20"/>
                <w:lang w:eastAsia="zh-CN"/>
              </w:rPr>
              <w:t>；</w:t>
            </w:r>
          </w:p>
          <w:p w14:paraId="197EA875">
            <w:pPr>
              <w:keepNext w:val="0"/>
              <w:keepLines w:val="0"/>
              <w:pageBreakBefore w:val="0"/>
              <w:widowControl/>
              <w:kinsoku/>
              <w:wordWrap/>
              <w:overflowPunct/>
              <w:topLinePunct w:val="0"/>
              <w:autoSpaceDE/>
              <w:autoSpaceDN/>
              <w:bidi w:val="0"/>
              <w:adjustRightInd/>
              <w:snapToGrid/>
              <w:spacing w:line="340" w:lineRule="exact"/>
              <w:ind w:firstLine="400" w:firstLineChars="200"/>
              <w:jc w:val="left"/>
              <w:textAlignment w:val="auto"/>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lang w:val="en-US" w:eastAsia="zh-CN"/>
              </w:rPr>
              <w:t>2、加大了路灯及公用亮化设施的维护力度，</w:t>
            </w:r>
            <w:r>
              <w:rPr>
                <w:rFonts w:hint="eastAsia" w:ascii="仿宋_GB2312" w:hAnsi="仿宋_GB2312" w:eastAsia="仿宋_GB2312" w:cs="仿宋_GB2312"/>
                <w:color w:val="000000"/>
                <w:sz w:val="20"/>
                <w:szCs w:val="20"/>
                <w:lang w:eastAsia="zh-CN"/>
              </w:rPr>
              <w:t>美化、亮化</w:t>
            </w:r>
            <w:r>
              <w:rPr>
                <w:rFonts w:hint="eastAsia" w:ascii="仿宋_GB2312" w:hAnsi="仿宋_GB2312" w:eastAsia="仿宋_GB2312" w:cs="仿宋_GB2312"/>
                <w:color w:val="000000"/>
                <w:sz w:val="20"/>
                <w:szCs w:val="20"/>
                <w:lang w:val="en-US" w:eastAsia="zh-CN"/>
              </w:rPr>
              <w:t>了</w:t>
            </w:r>
            <w:r>
              <w:rPr>
                <w:rFonts w:hint="eastAsia" w:ascii="仿宋_GB2312" w:hAnsi="仿宋_GB2312" w:eastAsia="仿宋_GB2312" w:cs="仿宋_GB2312"/>
                <w:color w:val="000000"/>
                <w:sz w:val="20"/>
                <w:szCs w:val="20"/>
                <w:lang w:eastAsia="zh-CN"/>
              </w:rPr>
              <w:t>城市</w:t>
            </w:r>
            <w:r>
              <w:rPr>
                <w:rFonts w:hint="eastAsia" w:ascii="仿宋_GB2312" w:hAnsi="仿宋_GB2312" w:eastAsia="仿宋_GB2312" w:cs="仿宋_GB2312"/>
                <w:color w:val="000000"/>
                <w:sz w:val="20"/>
                <w:szCs w:val="20"/>
                <w:lang w:val="en-US" w:eastAsia="zh-CN"/>
              </w:rPr>
              <w:t>夜间环境</w:t>
            </w:r>
            <w:r>
              <w:rPr>
                <w:rFonts w:hint="eastAsia" w:ascii="仿宋_GB2312" w:hAnsi="仿宋_GB2312" w:eastAsia="仿宋_GB2312" w:cs="仿宋_GB2312"/>
                <w:color w:val="000000"/>
                <w:sz w:val="20"/>
                <w:szCs w:val="20"/>
                <w:lang w:eastAsia="zh-CN"/>
              </w:rPr>
              <w:t>，提升</w:t>
            </w:r>
            <w:r>
              <w:rPr>
                <w:rFonts w:hint="eastAsia" w:ascii="仿宋_GB2312" w:hAnsi="仿宋_GB2312" w:eastAsia="仿宋_GB2312" w:cs="仿宋_GB2312"/>
                <w:color w:val="000000"/>
                <w:sz w:val="20"/>
                <w:szCs w:val="20"/>
                <w:lang w:val="en-US" w:eastAsia="zh-CN"/>
              </w:rPr>
              <w:t>了</w:t>
            </w:r>
            <w:r>
              <w:rPr>
                <w:rFonts w:hint="eastAsia" w:ascii="仿宋_GB2312" w:hAnsi="仿宋_GB2312" w:eastAsia="仿宋_GB2312" w:cs="仿宋_GB2312"/>
                <w:color w:val="000000"/>
                <w:sz w:val="20"/>
                <w:szCs w:val="20"/>
                <w:lang w:eastAsia="zh-CN"/>
              </w:rPr>
              <w:t>岳阳</w:t>
            </w:r>
            <w:r>
              <w:rPr>
                <w:rFonts w:hint="eastAsia" w:ascii="仿宋_GB2312" w:hAnsi="仿宋_GB2312" w:eastAsia="仿宋_GB2312" w:cs="仿宋_GB2312"/>
                <w:color w:val="000000"/>
                <w:sz w:val="20"/>
                <w:szCs w:val="20"/>
                <w:lang w:val="en-US" w:eastAsia="zh-CN"/>
              </w:rPr>
              <w:t>城市</w:t>
            </w:r>
            <w:r>
              <w:rPr>
                <w:rFonts w:hint="eastAsia" w:ascii="仿宋_GB2312" w:hAnsi="仿宋_GB2312" w:eastAsia="仿宋_GB2312" w:cs="仿宋_GB2312"/>
                <w:color w:val="000000"/>
                <w:sz w:val="20"/>
                <w:szCs w:val="20"/>
                <w:lang w:eastAsia="zh-CN"/>
              </w:rPr>
              <w:t>形象，方便</w:t>
            </w:r>
            <w:r>
              <w:rPr>
                <w:rFonts w:hint="eastAsia" w:ascii="仿宋_GB2312" w:hAnsi="仿宋_GB2312" w:eastAsia="仿宋_GB2312" w:cs="仿宋_GB2312"/>
                <w:color w:val="000000"/>
                <w:sz w:val="20"/>
                <w:szCs w:val="20"/>
                <w:lang w:val="en-US" w:eastAsia="zh-CN"/>
              </w:rPr>
              <w:t>了</w:t>
            </w:r>
            <w:r>
              <w:rPr>
                <w:rFonts w:hint="eastAsia" w:ascii="仿宋_GB2312" w:hAnsi="仿宋_GB2312" w:eastAsia="仿宋_GB2312" w:cs="仿宋_GB2312"/>
                <w:color w:val="000000"/>
                <w:sz w:val="20"/>
                <w:szCs w:val="20"/>
                <w:lang w:eastAsia="zh-CN"/>
              </w:rPr>
              <w:t>市民夜间出行，保障夜间道路安全；</w:t>
            </w:r>
          </w:p>
          <w:p w14:paraId="6131AAD4">
            <w:pPr>
              <w:keepNext w:val="0"/>
              <w:keepLines w:val="0"/>
              <w:pageBreakBefore w:val="0"/>
              <w:widowControl/>
              <w:kinsoku/>
              <w:wordWrap/>
              <w:overflowPunct/>
              <w:topLinePunct w:val="0"/>
              <w:autoSpaceDE/>
              <w:autoSpaceDN/>
              <w:bidi w:val="0"/>
              <w:adjustRightInd/>
              <w:snapToGrid/>
              <w:spacing w:line="340" w:lineRule="exact"/>
              <w:ind w:firstLine="400" w:firstLineChars="200"/>
              <w:jc w:val="left"/>
              <w:textAlignment w:val="auto"/>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lang w:val="en-US" w:eastAsia="zh-CN"/>
              </w:rPr>
              <w:t>3、</w:t>
            </w:r>
            <w:r>
              <w:rPr>
                <w:rFonts w:hint="eastAsia" w:ascii="仿宋_GB2312" w:hAnsi="仿宋_GB2312" w:eastAsia="仿宋_GB2312" w:cs="仿宋_GB2312"/>
                <w:color w:val="000000"/>
                <w:sz w:val="20"/>
                <w:szCs w:val="20"/>
                <w:lang w:eastAsia="zh-CN"/>
              </w:rPr>
              <w:t>为中心城区夜景亮化方案的设计提出了建设性意见，</w:t>
            </w:r>
            <w:r>
              <w:rPr>
                <w:rFonts w:hint="eastAsia" w:ascii="仿宋_GB2312" w:hAnsi="仿宋_GB2312" w:eastAsia="仿宋_GB2312" w:cs="仿宋_GB2312"/>
                <w:color w:val="000000"/>
                <w:sz w:val="20"/>
                <w:szCs w:val="20"/>
                <w:lang w:val="en-US" w:eastAsia="zh-CN"/>
              </w:rPr>
              <w:t>完成了</w:t>
            </w:r>
            <w:r>
              <w:rPr>
                <w:rFonts w:hint="eastAsia" w:ascii="仿宋_GB2312" w:hAnsi="仿宋_GB2312" w:eastAsia="仿宋_GB2312" w:cs="仿宋_GB2312"/>
                <w:color w:val="000000"/>
                <w:sz w:val="20"/>
                <w:szCs w:val="20"/>
                <w:lang w:eastAsia="zh-CN"/>
              </w:rPr>
              <w:t>新建楼宇亮化方案审批及亮化单位用电量计量管理，</w:t>
            </w:r>
            <w:r>
              <w:rPr>
                <w:rFonts w:hint="eastAsia" w:ascii="仿宋_GB2312" w:hAnsi="仿宋_GB2312" w:eastAsia="仿宋_GB2312" w:cs="仿宋_GB2312"/>
                <w:color w:val="000000"/>
                <w:sz w:val="20"/>
                <w:szCs w:val="20"/>
                <w:lang w:val="en-US" w:eastAsia="zh-CN"/>
              </w:rPr>
              <w:t>并</w:t>
            </w:r>
            <w:r>
              <w:rPr>
                <w:rFonts w:hint="eastAsia" w:ascii="仿宋_GB2312" w:hAnsi="仿宋_GB2312" w:eastAsia="仿宋_GB2312" w:cs="仿宋_GB2312"/>
                <w:color w:val="000000"/>
                <w:sz w:val="20"/>
                <w:szCs w:val="20"/>
                <w:lang w:eastAsia="zh-CN"/>
              </w:rPr>
              <w:t>协助</w:t>
            </w:r>
            <w:r>
              <w:rPr>
                <w:rFonts w:hint="eastAsia" w:ascii="仿宋_GB2312" w:hAnsi="仿宋_GB2312" w:eastAsia="仿宋_GB2312" w:cs="仿宋_GB2312"/>
                <w:color w:val="000000"/>
                <w:sz w:val="20"/>
                <w:szCs w:val="20"/>
                <w:lang w:val="en-US" w:eastAsia="zh-CN"/>
              </w:rPr>
              <w:t>完成了</w:t>
            </w:r>
            <w:r>
              <w:rPr>
                <w:rFonts w:hint="eastAsia" w:ascii="仿宋_GB2312" w:hAnsi="仿宋_GB2312" w:eastAsia="仿宋_GB2312" w:cs="仿宋_GB2312"/>
                <w:color w:val="000000"/>
                <w:sz w:val="20"/>
                <w:szCs w:val="20"/>
                <w:lang w:eastAsia="zh-CN"/>
              </w:rPr>
              <w:t>城区夜景亮化工程的施工检查、竣工验收</w:t>
            </w:r>
            <w:r>
              <w:rPr>
                <w:rFonts w:hint="eastAsia" w:ascii="仿宋_GB2312" w:hAnsi="仿宋_GB2312" w:eastAsia="仿宋_GB2312" w:cs="仿宋_GB2312"/>
                <w:color w:val="000000"/>
                <w:sz w:val="20"/>
                <w:szCs w:val="20"/>
                <w:lang w:val="en-US" w:eastAsia="zh-CN"/>
              </w:rPr>
              <w:t>工作</w:t>
            </w:r>
            <w:r>
              <w:rPr>
                <w:rFonts w:hint="eastAsia" w:ascii="仿宋_GB2312" w:hAnsi="仿宋_GB2312" w:eastAsia="仿宋_GB2312" w:cs="仿宋_GB2312"/>
                <w:color w:val="000000"/>
                <w:sz w:val="20"/>
                <w:szCs w:val="20"/>
                <w:lang w:eastAsia="zh-CN"/>
              </w:rPr>
              <w:t>；</w:t>
            </w:r>
          </w:p>
          <w:p w14:paraId="3AAE4073">
            <w:pPr>
              <w:keepNext w:val="0"/>
              <w:keepLines w:val="0"/>
              <w:pageBreakBefore w:val="0"/>
              <w:widowControl/>
              <w:kinsoku/>
              <w:wordWrap/>
              <w:overflowPunct/>
              <w:topLinePunct w:val="0"/>
              <w:autoSpaceDE/>
              <w:autoSpaceDN/>
              <w:bidi w:val="0"/>
              <w:adjustRightInd/>
              <w:snapToGrid/>
              <w:spacing w:line="34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4、</w:t>
            </w:r>
            <w:r>
              <w:rPr>
                <w:rFonts w:hint="eastAsia" w:ascii="仿宋_GB2312" w:hAnsi="仿宋_GB2312" w:eastAsia="仿宋_GB2312" w:cs="仿宋_GB2312"/>
                <w:color w:val="000000"/>
                <w:sz w:val="20"/>
                <w:szCs w:val="20"/>
                <w:lang w:eastAsia="zh-CN"/>
              </w:rPr>
              <w:t>中心城区路灯节能改造</w:t>
            </w:r>
            <w:r>
              <w:rPr>
                <w:rFonts w:hint="eastAsia" w:ascii="仿宋_GB2312" w:hAnsi="仿宋_GB2312" w:eastAsia="仿宋_GB2312" w:cs="仿宋_GB2312"/>
                <w:color w:val="000000"/>
                <w:sz w:val="20"/>
                <w:szCs w:val="20"/>
                <w:lang w:val="en-US" w:eastAsia="zh-CN"/>
              </w:rPr>
              <w:t>工作有序推进</w:t>
            </w:r>
            <w:r>
              <w:rPr>
                <w:rFonts w:hint="eastAsia" w:ascii="仿宋_GB2312" w:hAnsi="仿宋_GB2312" w:eastAsia="仿宋_GB2312" w:cs="仿宋_GB2312"/>
                <w:color w:val="000000"/>
                <w:sz w:val="20"/>
                <w:szCs w:val="20"/>
                <w:lang w:eastAsia="zh-CN"/>
              </w:rPr>
              <w:t>，节约</w:t>
            </w:r>
            <w:r>
              <w:rPr>
                <w:rFonts w:hint="eastAsia" w:ascii="仿宋_GB2312" w:hAnsi="仿宋_GB2312" w:eastAsia="仿宋_GB2312" w:cs="仿宋_GB2312"/>
                <w:color w:val="000000"/>
                <w:sz w:val="20"/>
                <w:szCs w:val="20"/>
                <w:lang w:val="en-US" w:eastAsia="zh-CN"/>
              </w:rPr>
              <w:t>了</w:t>
            </w:r>
            <w:r>
              <w:rPr>
                <w:rFonts w:hint="eastAsia" w:ascii="仿宋_GB2312" w:hAnsi="仿宋_GB2312" w:eastAsia="仿宋_GB2312" w:cs="仿宋_GB2312"/>
                <w:color w:val="000000"/>
                <w:sz w:val="20"/>
                <w:szCs w:val="20"/>
                <w:lang w:eastAsia="zh-CN"/>
              </w:rPr>
              <w:t>电力资源，</w:t>
            </w:r>
            <w:r>
              <w:rPr>
                <w:rFonts w:hint="eastAsia" w:ascii="仿宋_GB2312" w:hAnsi="仿宋_GB2312" w:eastAsia="仿宋_GB2312" w:cs="仿宋_GB2312"/>
                <w:color w:val="000000"/>
                <w:sz w:val="20"/>
                <w:szCs w:val="20"/>
                <w:lang w:val="en-US" w:eastAsia="zh-CN"/>
              </w:rPr>
              <w:t>城市照明事业发展向着</w:t>
            </w:r>
            <w:r>
              <w:rPr>
                <w:rFonts w:hint="eastAsia" w:ascii="仿宋_GB2312" w:hAnsi="仿宋_GB2312" w:eastAsia="仿宋_GB2312" w:cs="仿宋_GB2312"/>
                <w:color w:val="000000"/>
                <w:sz w:val="20"/>
                <w:szCs w:val="20"/>
                <w:lang w:eastAsia="zh-CN"/>
              </w:rPr>
              <w:t>建设生态绿色城市的目标</w:t>
            </w:r>
            <w:r>
              <w:rPr>
                <w:rFonts w:hint="eastAsia" w:ascii="仿宋_GB2312" w:hAnsi="仿宋_GB2312" w:eastAsia="仿宋_GB2312" w:cs="仿宋_GB2312"/>
                <w:color w:val="000000"/>
                <w:sz w:val="20"/>
                <w:szCs w:val="20"/>
                <w:lang w:val="en-US" w:eastAsia="zh-CN"/>
              </w:rPr>
              <w:t>奋进</w:t>
            </w:r>
            <w:r>
              <w:rPr>
                <w:rFonts w:hint="eastAsia" w:ascii="仿宋_GB2312" w:hAnsi="仿宋_GB2312" w:eastAsia="仿宋_GB2312" w:cs="仿宋_GB2312"/>
                <w:color w:val="000000"/>
                <w:sz w:val="20"/>
                <w:szCs w:val="20"/>
                <w:lang w:eastAsia="zh-CN"/>
              </w:rPr>
              <w:t>。</w:t>
            </w:r>
          </w:p>
        </w:tc>
      </w:tr>
      <w:tr w14:paraId="6126E228">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C20A46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6791E99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5C5DD63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27324D7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p w14:paraId="7FDB39A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79681D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7C44CA9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37C95D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20CB29A7">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年度指标值</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B7E664E">
            <w:pPr>
              <w:keepNext w:val="0"/>
              <w:keepLines w:val="0"/>
              <w:pageBreakBefore w:val="0"/>
              <w:widowControl/>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477B84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D5B4A2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F537F60">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48F478E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8DCF1E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6335FD8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688B3BD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p w14:paraId="4BC102A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77A07AE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264D32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保障主次干道路灯正常运行</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B22DEE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26777</w:t>
            </w:r>
            <w:r>
              <w:rPr>
                <w:rFonts w:hint="eastAsia" w:ascii="仿宋_GB2312" w:hAnsi="仿宋_GB2312" w:eastAsia="仿宋_GB2312" w:cs="仿宋_GB2312"/>
                <w:color w:val="000000"/>
                <w:sz w:val="20"/>
                <w:szCs w:val="20"/>
                <w:highlight w:val="none"/>
              </w:rPr>
              <w:t>盏</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B10F38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2</w:t>
            </w:r>
            <w:r>
              <w:rPr>
                <w:rFonts w:hint="eastAsia" w:ascii="仿宋_GB2312" w:hAnsi="仿宋_GB2312" w:eastAsia="仿宋_GB2312" w:cs="仿宋_GB2312"/>
                <w:color w:val="000000"/>
                <w:sz w:val="20"/>
                <w:szCs w:val="20"/>
                <w:highlight w:val="none"/>
                <w:lang w:val="en-US" w:eastAsia="zh-CN"/>
              </w:rPr>
              <w:t>6777</w:t>
            </w:r>
            <w:r>
              <w:rPr>
                <w:rFonts w:hint="eastAsia" w:ascii="仿宋_GB2312" w:hAnsi="仿宋_GB2312" w:eastAsia="仿宋_GB2312" w:cs="仿宋_GB2312"/>
                <w:color w:val="000000"/>
                <w:sz w:val="20"/>
                <w:szCs w:val="20"/>
                <w:highlight w:val="none"/>
              </w:rPr>
              <w:t>盏</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2A9461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361346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FB512A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E8FA59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4CBE41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257752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9D2229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F7A908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保障小街巷路灯正常运行</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BB16C3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4229</w:t>
            </w:r>
            <w:r>
              <w:rPr>
                <w:rFonts w:hint="eastAsia" w:ascii="仿宋_GB2312" w:hAnsi="仿宋_GB2312" w:eastAsia="仿宋_GB2312" w:cs="仿宋_GB2312"/>
                <w:color w:val="000000"/>
                <w:sz w:val="20"/>
                <w:szCs w:val="20"/>
                <w:highlight w:val="none"/>
              </w:rPr>
              <w:t>盏</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4E4732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4229</w:t>
            </w:r>
            <w:r>
              <w:rPr>
                <w:rFonts w:hint="eastAsia" w:ascii="仿宋_GB2312" w:hAnsi="仿宋_GB2312" w:eastAsia="仿宋_GB2312" w:cs="仿宋_GB2312"/>
                <w:color w:val="000000"/>
                <w:sz w:val="20"/>
                <w:szCs w:val="20"/>
                <w:highlight w:val="none"/>
              </w:rPr>
              <w:t>盏</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F552C4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54295B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rPr>
            </w:pPr>
            <w:r>
              <w:rPr>
                <w:rFonts w:hint="default" w:ascii="仿宋_GB2312" w:hAnsi="仿宋_GB2312" w:eastAsia="仿宋_GB2312" w:cs="仿宋_GB2312"/>
                <w:color w:val="000000"/>
                <w:sz w:val="20"/>
                <w:szCs w:val="20"/>
                <w:highlight w:val="none"/>
                <w:lang w:val="e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8DB142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626000A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DAF453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6E343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35DDACB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1349AE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保障亮化单位用电维护</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D1397B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325家</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562130E">
            <w:pPr>
              <w:keepNext w:val="0"/>
              <w:keepLines w:val="0"/>
              <w:pageBreakBefore w:val="0"/>
              <w:widowControl/>
              <w:kinsoku/>
              <w:wordWrap/>
              <w:overflowPunct/>
              <w:topLinePunct w:val="0"/>
              <w:autoSpaceDE/>
              <w:autoSpaceDN/>
              <w:bidi w:val="0"/>
              <w:adjustRightInd/>
              <w:snapToGrid/>
              <w:spacing w:line="34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325家</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BEC5A0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42BDAB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558613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24E22D08">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4AF99B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B44DD4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AA471C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0CAAEFF">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对城区老旧变压器1</w:t>
            </w:r>
            <w:r>
              <w:rPr>
                <w:rFonts w:hint="eastAsia" w:ascii="仿宋_GB2312" w:hAnsi="仿宋_GB2312" w:eastAsia="仿宋_GB2312" w:cs="仿宋_GB2312"/>
                <w:color w:val="000000"/>
                <w:sz w:val="20"/>
                <w:szCs w:val="20"/>
                <w:highlight w:val="none"/>
                <w:lang w:val="en-US" w:eastAsia="zh-CN"/>
              </w:rPr>
              <w:t>83</w:t>
            </w:r>
            <w:r>
              <w:rPr>
                <w:rFonts w:hint="eastAsia" w:ascii="仿宋_GB2312" w:hAnsi="仿宋_GB2312" w:eastAsia="仿宋_GB2312" w:cs="仿宋_GB2312"/>
                <w:color w:val="000000"/>
                <w:sz w:val="20"/>
                <w:szCs w:val="20"/>
                <w:highlight w:val="none"/>
              </w:rPr>
              <w:t>台、配电箱249个进行维护大修</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FC2674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变压器1</w:t>
            </w:r>
            <w:r>
              <w:rPr>
                <w:rFonts w:hint="eastAsia" w:ascii="仿宋_GB2312" w:hAnsi="仿宋_GB2312" w:eastAsia="仿宋_GB2312" w:cs="仿宋_GB2312"/>
                <w:color w:val="000000"/>
                <w:sz w:val="20"/>
                <w:szCs w:val="20"/>
                <w:highlight w:val="none"/>
                <w:lang w:val="en-US" w:eastAsia="zh-CN"/>
              </w:rPr>
              <w:t>83</w:t>
            </w:r>
            <w:r>
              <w:rPr>
                <w:rFonts w:hint="eastAsia" w:ascii="仿宋_GB2312" w:hAnsi="仿宋_GB2312" w:eastAsia="仿宋_GB2312" w:cs="仿宋_GB2312"/>
                <w:color w:val="000000"/>
                <w:sz w:val="20"/>
                <w:szCs w:val="20"/>
                <w:highlight w:val="none"/>
              </w:rPr>
              <w:t>台、配电箱249个</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9111A8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变压器1</w:t>
            </w:r>
            <w:r>
              <w:rPr>
                <w:rFonts w:hint="eastAsia" w:ascii="仿宋_GB2312" w:hAnsi="仿宋_GB2312" w:eastAsia="仿宋_GB2312" w:cs="仿宋_GB2312"/>
                <w:color w:val="000000"/>
                <w:sz w:val="20"/>
                <w:szCs w:val="20"/>
                <w:highlight w:val="none"/>
                <w:lang w:val="en-US" w:eastAsia="zh-CN"/>
              </w:rPr>
              <w:t>83</w:t>
            </w:r>
            <w:r>
              <w:rPr>
                <w:rFonts w:hint="eastAsia" w:ascii="仿宋_GB2312" w:hAnsi="仿宋_GB2312" w:eastAsia="仿宋_GB2312" w:cs="仿宋_GB2312"/>
                <w:color w:val="000000"/>
                <w:sz w:val="20"/>
                <w:szCs w:val="20"/>
                <w:highlight w:val="none"/>
              </w:rPr>
              <w:t>台、配电箱249个</w:t>
            </w:r>
            <w:r>
              <w:rPr>
                <w:rFonts w:hint="eastAsia" w:ascii="仿宋_GB2312" w:hAnsi="仿宋_GB2312" w:eastAsia="仿宋_GB2312" w:cs="仿宋_GB2312"/>
                <w:color w:val="000000"/>
                <w:sz w:val="20"/>
                <w:szCs w:val="20"/>
                <w:highlight w:val="none"/>
                <w:lang w:eastAsia="zh-CN"/>
              </w:rPr>
              <w:t>正常运行</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F13E17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ED8944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C0E7DA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1DFF52A6">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492450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F12AB5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52190D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C7DDD9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保障公用亮化设施正常运行</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85A5A8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公用亮化设</w:t>
            </w:r>
            <w:r>
              <w:rPr>
                <w:rFonts w:hint="eastAsia" w:ascii="仿宋_GB2312" w:hAnsi="仿宋_GB2312" w:eastAsia="仿宋_GB2312" w:cs="仿宋_GB2312"/>
                <w:color w:val="000000"/>
                <w:sz w:val="20"/>
                <w:szCs w:val="20"/>
                <w:highlight w:val="none"/>
                <w:lang w:val="en-US" w:eastAsia="zh-CN"/>
              </w:rPr>
              <w:t>施</w:t>
            </w:r>
            <w:r>
              <w:rPr>
                <w:rFonts w:hint="eastAsia" w:ascii="仿宋_GB2312" w:hAnsi="仿宋_GB2312" w:eastAsia="仿宋_GB2312" w:cs="仿宋_GB2312"/>
                <w:color w:val="000000"/>
                <w:sz w:val="20"/>
                <w:szCs w:val="20"/>
                <w:highlight w:val="none"/>
              </w:rPr>
              <w:t>4008.2</w:t>
            </w:r>
            <w:r>
              <w:rPr>
                <w:rFonts w:hint="eastAsia" w:ascii="仿宋_GB2312" w:hAnsi="仿宋_GB2312" w:eastAsia="仿宋_GB2312" w:cs="仿宋_GB2312"/>
                <w:color w:val="000000"/>
                <w:sz w:val="20"/>
                <w:szCs w:val="20"/>
                <w:highlight w:val="none"/>
                <w:lang w:val="en-US" w:eastAsia="zh-CN"/>
              </w:rPr>
              <w:t>6</w:t>
            </w:r>
            <w:r>
              <w:rPr>
                <w:rFonts w:hint="eastAsia" w:ascii="仿宋_GB2312" w:hAnsi="仿宋_GB2312" w:eastAsia="仿宋_GB2312" w:cs="仿宋_GB2312"/>
                <w:color w:val="000000"/>
                <w:sz w:val="20"/>
                <w:szCs w:val="20"/>
                <w:highlight w:val="none"/>
              </w:rPr>
              <w:t>KW</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59499A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4008.2</w:t>
            </w:r>
            <w:r>
              <w:rPr>
                <w:rFonts w:hint="eastAsia" w:ascii="仿宋_GB2312" w:hAnsi="仿宋_GB2312" w:eastAsia="仿宋_GB2312" w:cs="仿宋_GB2312"/>
                <w:color w:val="000000"/>
                <w:sz w:val="20"/>
                <w:szCs w:val="20"/>
                <w:highlight w:val="none"/>
                <w:lang w:val="en-US" w:eastAsia="zh-CN"/>
              </w:rPr>
              <w:t>6</w:t>
            </w:r>
            <w:r>
              <w:rPr>
                <w:rFonts w:hint="eastAsia" w:ascii="仿宋_GB2312" w:hAnsi="仿宋_GB2312" w:eastAsia="仿宋_GB2312" w:cs="仿宋_GB2312"/>
                <w:color w:val="000000"/>
                <w:sz w:val="20"/>
                <w:szCs w:val="20"/>
                <w:highlight w:val="none"/>
              </w:rPr>
              <w:t>KW公用亮化设施正常运行</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3B57F1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kern w:val="0"/>
                <w:sz w:val="20"/>
                <w:szCs w:val="20"/>
                <w:highlight w:val="none"/>
                <w:lang w:val="en" w:eastAsia="zh-CN" w:bidi="ar-SA"/>
              </w:rPr>
            </w:pPr>
            <w:r>
              <w:rPr>
                <w:rFonts w:hint="default" w:ascii="仿宋_GB2312" w:hAnsi="仿宋_GB2312" w:eastAsia="仿宋_GB2312" w:cs="仿宋_GB2312"/>
                <w:color w:val="000000"/>
                <w:sz w:val="20"/>
                <w:szCs w:val="20"/>
                <w:highlight w:val="none"/>
                <w:lang w:val="en"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B6C51C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kern w:val="0"/>
                <w:sz w:val="20"/>
                <w:szCs w:val="20"/>
                <w:highlight w:val="none"/>
                <w:lang w:val="en" w:eastAsia="zh-CN" w:bidi="ar-SA"/>
              </w:rPr>
            </w:pPr>
            <w:r>
              <w:rPr>
                <w:rFonts w:hint="default" w:ascii="仿宋_GB2312" w:hAnsi="仿宋_GB2312" w:eastAsia="仿宋_GB2312" w:cs="仿宋_GB2312"/>
                <w:color w:val="000000"/>
                <w:sz w:val="20"/>
                <w:szCs w:val="20"/>
                <w:highlight w:val="none"/>
                <w:lang w:val="en"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BDF904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p>
        </w:tc>
      </w:tr>
      <w:tr w14:paraId="7E570E2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4D2AE6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F8EA2C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7D06EB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D37F42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sz w:val="20"/>
                <w:szCs w:val="20"/>
              </w:rPr>
              <w:t>城区路灯景观亮化大修</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1834C4A1">
            <w:pPr>
              <w:keepNext w:val="0"/>
              <w:keepLines w:val="0"/>
              <w:pageBreakBefore w:val="0"/>
              <w:widowControl/>
              <w:kinsoku/>
              <w:wordWrap/>
              <w:overflowPunct/>
              <w:topLinePunct w:val="0"/>
              <w:autoSpaceDE/>
              <w:autoSpaceDN/>
              <w:bidi w:val="0"/>
              <w:adjustRightInd/>
              <w:snapToGrid/>
              <w:spacing w:line="340" w:lineRule="exact"/>
              <w:ind w:firstLine="200" w:firstLineChars="100"/>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325处</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CB2B9A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确保</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lang w:val="en-US" w:eastAsia="zh-CN"/>
              </w:rPr>
              <w:t>325处</w:t>
            </w:r>
            <w:r>
              <w:rPr>
                <w:rFonts w:hint="eastAsia" w:ascii="仿宋_GB2312" w:hAnsi="仿宋_GB2312" w:eastAsia="仿宋_GB2312" w:cs="仿宋_GB2312"/>
                <w:color w:val="000000"/>
                <w:sz w:val="20"/>
                <w:szCs w:val="20"/>
                <w:highlight w:val="none"/>
              </w:rPr>
              <w:t>景观照明正常运行</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33A295A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34857C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8829C2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0E92236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70068E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211CB1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014C675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2EEE9A9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路灯及亮化设施完好率、亮灯率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3A27F2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达96%</w:t>
            </w:r>
            <w:r>
              <w:rPr>
                <w:rFonts w:hint="eastAsia" w:ascii="仿宋_GB2312" w:hAnsi="仿宋_GB2312" w:eastAsia="仿宋_GB2312" w:cs="仿宋_GB2312"/>
                <w:color w:val="000000"/>
                <w:sz w:val="20"/>
                <w:szCs w:val="20"/>
                <w:highlight w:val="none"/>
                <w:lang w:val="en-US" w:eastAsia="zh-CN"/>
              </w:rPr>
              <w:t>以上</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6F3D83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均在98%以上</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A36821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1EE310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785C1F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8B3D65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57B785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B67469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AE0498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F0180A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亮化用电计量率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E8916C0">
            <w:pPr>
              <w:keepNext w:val="0"/>
              <w:keepLines w:val="0"/>
              <w:pageBreakBefore w:val="0"/>
              <w:widowControl/>
              <w:kinsoku/>
              <w:wordWrap/>
              <w:overflowPunct/>
              <w:topLinePunct w:val="0"/>
              <w:autoSpaceDE/>
              <w:autoSpaceDN/>
              <w:bidi w:val="0"/>
              <w:adjustRightInd/>
              <w:snapToGrid/>
              <w:spacing w:line="340" w:lineRule="exact"/>
              <w:ind w:firstLine="400" w:firstLineChars="2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100</w:t>
            </w:r>
            <w:r>
              <w:rPr>
                <w:rFonts w:hint="eastAsia" w:ascii="仿宋_GB2312" w:hAnsi="仿宋_GB2312" w:eastAsia="仿宋_GB2312" w:cs="仿宋_GB2312"/>
                <w:color w:val="000000"/>
                <w:sz w:val="20"/>
                <w:szCs w:val="20"/>
                <w:highlight w:val="none"/>
              </w:rPr>
              <w:t>%</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2019EE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100%</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E72724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045277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74E6BF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88AEB2F">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A1B02F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B15B48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17A9D25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79BD03C">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亮化绿色照明达标率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55FDC0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80%</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F6B94B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80%以上</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2F2BDF2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BC61DB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95E5FB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5EB621E3">
        <w:tblPrEx>
          <w:tblCellMar>
            <w:top w:w="0" w:type="dxa"/>
            <w:left w:w="108" w:type="dxa"/>
            <w:bottom w:w="0" w:type="dxa"/>
            <w:right w:w="108" w:type="dxa"/>
          </w:tblCellMar>
        </w:tblPrEx>
        <w:trPr>
          <w:trHeight w:val="83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844AAF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D1A3B6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17E0A0E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87DA2D4">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质量符合行业相关标准</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B57680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质量符合行业相关标准</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7ABAF4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质量符合行业相关标准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E7201C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2AF6FB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 w:eastAsia="zh-CN"/>
              </w:rPr>
            </w:pPr>
            <w:r>
              <w:rPr>
                <w:rFonts w:hint="default" w:ascii="仿宋_GB2312" w:hAnsi="仿宋_GB2312" w:eastAsia="仿宋_GB2312" w:cs="仿宋_GB2312"/>
                <w:color w:val="000000"/>
                <w:sz w:val="20"/>
                <w:szCs w:val="20"/>
                <w:highlight w:val="none"/>
                <w:lang w:val="en"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ABF08E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6AC3888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6797ED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AEF1AC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3FAC9BF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37BD7B2">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路灯节能控制及照明设施监控</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3ADC42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节能达到行业标准、照明监控设施安全、完整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54EAB8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节能达到行业标准、照明监控设施安全、完整</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94816A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58D5E5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D86D35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25CB9D2">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1C6737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C96E51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51499B6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E6E874B">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按照计划完成本年度维护管理工作</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2E4A3B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717794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均如期完成</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9FA195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A6DED5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F08EB2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94C4A19">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77D847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D8D21C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EEF87A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602BEF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路灯故障排除时间</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B94321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及时有效处置</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9360DC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均及时妥善解决</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6194E3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 w:eastAsia="zh-CN"/>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EDCA43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 w:eastAsia="zh-CN"/>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 w:eastAsia="zh-CN"/>
              </w:rPr>
              <w:t>3</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8D89C5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DA2E2B2">
        <w:tblPrEx>
          <w:tblCellMar>
            <w:top w:w="0" w:type="dxa"/>
            <w:left w:w="108" w:type="dxa"/>
            <w:bottom w:w="0" w:type="dxa"/>
            <w:right w:w="108" w:type="dxa"/>
          </w:tblCellMar>
        </w:tblPrEx>
        <w:trPr>
          <w:trHeight w:val="76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7A4769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4F60ED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23B128C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DCDCF6D">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单位履职成本</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658F77A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控制在预算金额内</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5160BA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未超预算</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77D923E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2D5B6B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594386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969210B">
        <w:tblPrEx>
          <w:tblCellMar>
            <w:top w:w="0" w:type="dxa"/>
            <w:left w:w="108" w:type="dxa"/>
            <w:bottom w:w="0" w:type="dxa"/>
            <w:right w:w="108" w:type="dxa"/>
          </w:tblCellMar>
        </w:tblPrEx>
        <w:trPr>
          <w:trHeight w:val="80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377A4C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76CE54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104C0B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AD0162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对社会造成</w:t>
            </w:r>
            <w:r>
              <w:rPr>
                <w:rFonts w:hint="eastAsia" w:ascii="仿宋_GB2312" w:hAnsi="仿宋_GB2312" w:eastAsia="仿宋_GB2312" w:cs="仿宋_GB2312"/>
                <w:color w:val="000000"/>
                <w:sz w:val="20"/>
                <w:szCs w:val="20"/>
                <w:highlight w:val="none"/>
                <w:lang w:val="en-US" w:eastAsia="zh-CN"/>
              </w:rPr>
              <w:t>负面</w:t>
            </w:r>
            <w:r>
              <w:rPr>
                <w:rFonts w:hint="eastAsia" w:ascii="仿宋_GB2312" w:hAnsi="仿宋_GB2312" w:eastAsia="仿宋_GB2312" w:cs="仿宋_GB2312"/>
                <w:color w:val="000000"/>
                <w:sz w:val="20"/>
                <w:szCs w:val="20"/>
                <w:highlight w:val="none"/>
              </w:rPr>
              <w:t>影响</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7B613C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9B91B6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6A4FDE5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4B78AB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4B3E69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0E6BE13">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303DC4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F65DBB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4EC83A5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9D9819E">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w:t>
            </w:r>
            <w:r>
              <w:rPr>
                <w:rFonts w:hint="eastAsia" w:ascii="仿宋_GB2312" w:hAnsi="仿宋_GB2312" w:eastAsia="仿宋_GB2312" w:cs="仿宋_GB2312"/>
                <w:color w:val="000000"/>
                <w:sz w:val="20"/>
                <w:szCs w:val="20"/>
                <w:highlight w:val="none"/>
                <w:lang w:val="en-US" w:eastAsia="zh-CN"/>
              </w:rPr>
              <w:t>生态环境</w:t>
            </w:r>
            <w:r>
              <w:rPr>
                <w:rFonts w:hint="eastAsia" w:ascii="仿宋_GB2312" w:hAnsi="仿宋_GB2312" w:eastAsia="仿宋_GB2312" w:cs="仿宋_GB2312"/>
                <w:color w:val="000000"/>
                <w:sz w:val="20"/>
                <w:szCs w:val="20"/>
                <w:highlight w:val="none"/>
              </w:rPr>
              <w:t>造成</w:t>
            </w:r>
            <w:r>
              <w:rPr>
                <w:rFonts w:hint="eastAsia" w:ascii="仿宋_GB2312" w:hAnsi="仿宋_GB2312" w:eastAsia="仿宋_GB2312" w:cs="仿宋_GB2312"/>
                <w:color w:val="000000"/>
                <w:sz w:val="20"/>
                <w:szCs w:val="20"/>
                <w:highlight w:val="none"/>
                <w:lang w:val="en-US" w:eastAsia="zh-CN"/>
              </w:rPr>
              <w:t>负面</w:t>
            </w:r>
            <w:r>
              <w:rPr>
                <w:rFonts w:hint="eastAsia" w:ascii="仿宋_GB2312" w:hAnsi="仿宋_GB2312" w:eastAsia="仿宋_GB2312" w:cs="仿宋_GB2312"/>
                <w:color w:val="000000"/>
                <w:sz w:val="20"/>
                <w:szCs w:val="20"/>
                <w:highlight w:val="none"/>
              </w:rPr>
              <w:t>影响</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A5AF54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654842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1E565ED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186BCA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B2E201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249CA65">
        <w:tblPrEx>
          <w:tblCellMar>
            <w:top w:w="0" w:type="dxa"/>
            <w:left w:w="108" w:type="dxa"/>
            <w:bottom w:w="0" w:type="dxa"/>
            <w:right w:w="108" w:type="dxa"/>
          </w:tblCellMar>
        </w:tblPrEx>
        <w:trPr>
          <w:trHeight w:val="165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194CAF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5F6948A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05749D0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p w14:paraId="7B1A32B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7EDA08E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7FE159E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47121EF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DEDB46A">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本项目为公益项目，</w:t>
            </w:r>
            <w:r>
              <w:rPr>
                <w:rFonts w:hint="eastAsia" w:ascii="仿宋_GB2312" w:hAnsi="仿宋_GB2312" w:eastAsia="仿宋_GB2312" w:cs="仿宋_GB2312"/>
                <w:color w:val="000000"/>
                <w:sz w:val="20"/>
                <w:szCs w:val="20"/>
                <w:highlight w:val="none"/>
                <w:lang w:val="en-US" w:eastAsia="zh-CN"/>
              </w:rPr>
              <w:t>间接助力岳阳经济发展</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3C989E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本项目为公益项目，</w:t>
            </w:r>
            <w:r>
              <w:rPr>
                <w:rFonts w:hint="eastAsia" w:ascii="仿宋_GB2312" w:hAnsi="仿宋_GB2312" w:eastAsia="仿宋_GB2312" w:cs="仿宋_GB2312"/>
                <w:color w:val="000000"/>
                <w:sz w:val="20"/>
                <w:szCs w:val="20"/>
                <w:highlight w:val="none"/>
                <w:lang w:val="en-US" w:eastAsia="zh-CN"/>
              </w:rPr>
              <w:t>间接助力岳阳经济发展</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74432E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本项目为公益项目，</w:t>
            </w:r>
            <w:r>
              <w:rPr>
                <w:rFonts w:hint="eastAsia" w:ascii="仿宋_GB2312" w:hAnsi="仿宋_GB2312" w:eastAsia="仿宋_GB2312" w:cs="仿宋_GB2312"/>
                <w:color w:val="000000"/>
                <w:sz w:val="20"/>
                <w:szCs w:val="20"/>
                <w:highlight w:val="none"/>
                <w:lang w:val="en-US" w:eastAsia="zh-CN"/>
              </w:rPr>
              <w:t>间接助力了岳阳经济发展</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3E2D64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B2D5BD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56AF1F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5FB07E0">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A20AF7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E91DA4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619714F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1870347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20D5F7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保障城区</w:t>
            </w:r>
            <w:r>
              <w:rPr>
                <w:rFonts w:hint="eastAsia" w:ascii="仿宋_GB2312" w:hAnsi="仿宋_GB2312" w:eastAsia="仿宋_GB2312" w:cs="仿宋_GB2312"/>
                <w:color w:val="000000"/>
                <w:sz w:val="20"/>
                <w:szCs w:val="20"/>
                <w:highlight w:val="none"/>
                <w:lang w:eastAsia="zh-CN"/>
              </w:rPr>
              <w:t>路灯</w:t>
            </w:r>
            <w:r>
              <w:rPr>
                <w:rFonts w:hint="eastAsia" w:ascii="仿宋_GB2312" w:hAnsi="仿宋_GB2312" w:eastAsia="仿宋_GB2312" w:cs="仿宋_GB2312"/>
                <w:color w:val="000000"/>
                <w:sz w:val="20"/>
                <w:szCs w:val="20"/>
                <w:highlight w:val="none"/>
              </w:rPr>
              <w:t>及公</w:t>
            </w:r>
            <w:r>
              <w:rPr>
                <w:rFonts w:hint="eastAsia" w:ascii="仿宋_GB2312" w:hAnsi="仿宋_GB2312" w:eastAsia="仿宋_GB2312" w:cs="仿宋_GB2312"/>
                <w:color w:val="000000"/>
                <w:sz w:val="20"/>
                <w:szCs w:val="20"/>
                <w:highlight w:val="none"/>
                <w:lang w:eastAsia="zh-CN"/>
              </w:rPr>
              <w:t>用</w:t>
            </w:r>
            <w:r>
              <w:rPr>
                <w:rFonts w:hint="eastAsia" w:ascii="仿宋_GB2312" w:hAnsi="仿宋_GB2312" w:eastAsia="仿宋_GB2312" w:cs="仿宋_GB2312"/>
                <w:color w:val="000000"/>
                <w:sz w:val="20"/>
                <w:szCs w:val="20"/>
                <w:highlight w:val="none"/>
              </w:rPr>
              <w:t>亮化设施正常运行</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7181FAD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保障城区</w:t>
            </w:r>
            <w:r>
              <w:rPr>
                <w:rFonts w:hint="eastAsia" w:ascii="仿宋_GB2312" w:hAnsi="仿宋_GB2312" w:eastAsia="仿宋_GB2312" w:cs="仿宋_GB2312"/>
                <w:color w:val="000000"/>
                <w:sz w:val="20"/>
                <w:szCs w:val="20"/>
                <w:highlight w:val="none"/>
                <w:lang w:eastAsia="zh-CN"/>
              </w:rPr>
              <w:t>路灯</w:t>
            </w:r>
            <w:r>
              <w:rPr>
                <w:rFonts w:hint="eastAsia" w:ascii="仿宋_GB2312" w:hAnsi="仿宋_GB2312" w:eastAsia="仿宋_GB2312" w:cs="仿宋_GB2312"/>
                <w:color w:val="000000"/>
                <w:sz w:val="20"/>
                <w:szCs w:val="20"/>
                <w:highlight w:val="none"/>
              </w:rPr>
              <w:t>及公</w:t>
            </w:r>
            <w:r>
              <w:rPr>
                <w:rFonts w:hint="eastAsia" w:ascii="仿宋_GB2312" w:hAnsi="仿宋_GB2312" w:eastAsia="仿宋_GB2312" w:cs="仿宋_GB2312"/>
                <w:color w:val="000000"/>
                <w:sz w:val="20"/>
                <w:szCs w:val="20"/>
                <w:highlight w:val="none"/>
                <w:lang w:eastAsia="zh-CN"/>
              </w:rPr>
              <w:t>用</w:t>
            </w:r>
            <w:r>
              <w:rPr>
                <w:rFonts w:hint="eastAsia" w:ascii="仿宋_GB2312" w:hAnsi="仿宋_GB2312" w:eastAsia="仿宋_GB2312" w:cs="仿宋_GB2312"/>
                <w:color w:val="000000"/>
                <w:sz w:val="20"/>
                <w:szCs w:val="20"/>
                <w:highlight w:val="none"/>
              </w:rPr>
              <w:t>亮化设施正常运行</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31D24D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保障了城区</w:t>
            </w:r>
            <w:r>
              <w:rPr>
                <w:rFonts w:hint="eastAsia" w:ascii="仿宋_GB2312" w:hAnsi="仿宋_GB2312" w:eastAsia="仿宋_GB2312" w:cs="仿宋_GB2312"/>
                <w:color w:val="000000"/>
                <w:sz w:val="20"/>
                <w:szCs w:val="20"/>
                <w:highlight w:val="none"/>
                <w:lang w:eastAsia="zh-CN"/>
              </w:rPr>
              <w:t>路灯</w:t>
            </w:r>
            <w:r>
              <w:rPr>
                <w:rFonts w:hint="eastAsia" w:ascii="仿宋_GB2312" w:hAnsi="仿宋_GB2312" w:eastAsia="仿宋_GB2312" w:cs="仿宋_GB2312"/>
                <w:color w:val="000000"/>
                <w:sz w:val="20"/>
                <w:szCs w:val="20"/>
                <w:highlight w:val="none"/>
              </w:rPr>
              <w:t>及公共亮化设施的正常运行</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0E2BAA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0FF90B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11BCB18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D2CDEBE">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4BA303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51CA00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1C1E47E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2513AF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rPr>
              <w:t>保障夜间道路交通安全，增加市民夜间活动休闲空间</w:t>
            </w:r>
            <w:r>
              <w:rPr>
                <w:rFonts w:hint="eastAsia" w:ascii="仿宋_GB2312" w:hAnsi="仿宋_GB2312" w:eastAsia="仿宋_GB2312" w:cs="仿宋_GB2312"/>
                <w:color w:val="000000"/>
                <w:sz w:val="20"/>
                <w:szCs w:val="20"/>
                <w:highlight w:val="none"/>
                <w:lang w:eastAsia="zh-CN"/>
              </w:rPr>
              <w:t>。</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3D6A5A0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保障夜间道路交通安全，增加市民夜间活动休闲空间</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629B11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道路照明设施安全运行，增强</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市民幸福感、获得感</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495E139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84EE1D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D111C4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EBEF5FB">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787FE4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86F3DB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2B86F9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41E17F9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4625C2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推动路灯节能改造</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0567C2A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推动路灯节能改造，建设生态绿色城市</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AB690E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有序推进</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57E5AD9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2E858E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default" w:ascii="仿宋_GB2312" w:hAnsi="仿宋_GB2312" w:eastAsia="仿宋_GB2312" w:cs="仿宋_GB2312"/>
                <w:color w:val="auto"/>
                <w:sz w:val="20"/>
                <w:szCs w:val="20"/>
                <w:highlight w:val="none"/>
                <w:lang w:val="en-US"/>
              </w:rPr>
              <w:t>4</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49A326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节能改造</w:t>
            </w:r>
            <w:r>
              <w:rPr>
                <w:rFonts w:hint="eastAsia" w:ascii="仿宋_GB2312" w:hAnsi="仿宋_GB2312" w:eastAsia="仿宋_GB2312" w:cs="仿宋_GB2312"/>
                <w:color w:val="auto"/>
                <w:sz w:val="20"/>
                <w:szCs w:val="20"/>
                <w:highlight w:val="none"/>
                <w:lang w:val="en-US" w:eastAsia="zh-CN"/>
              </w:rPr>
              <w:t>实施进度有待加快，下一步加大节能改造资金投入，尽快更换节能清洁能源灯具。</w:t>
            </w:r>
          </w:p>
        </w:tc>
      </w:tr>
      <w:tr w14:paraId="493B0B7A">
        <w:tblPrEx>
          <w:tblCellMar>
            <w:top w:w="0" w:type="dxa"/>
            <w:left w:w="108" w:type="dxa"/>
            <w:bottom w:w="0" w:type="dxa"/>
            <w:right w:w="108" w:type="dxa"/>
          </w:tblCellMar>
        </w:tblPrEx>
        <w:trPr>
          <w:trHeight w:val="76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0BBFDE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02291B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3E5D191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1FDF61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美化亮化城市</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4874696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提升岳阳</w:t>
            </w:r>
            <w:r>
              <w:rPr>
                <w:rFonts w:hint="eastAsia" w:ascii="仿宋_GB2312" w:hAnsi="仿宋_GB2312" w:eastAsia="仿宋_GB2312" w:cs="仿宋_GB2312"/>
                <w:color w:val="000000"/>
                <w:sz w:val="20"/>
                <w:szCs w:val="20"/>
                <w:highlight w:val="none"/>
                <w:lang w:val="en-US" w:eastAsia="zh-CN"/>
              </w:rPr>
              <w:t>城市</w:t>
            </w:r>
            <w:r>
              <w:rPr>
                <w:rFonts w:hint="eastAsia" w:ascii="仿宋_GB2312" w:hAnsi="仿宋_GB2312" w:eastAsia="仿宋_GB2312" w:cs="仿宋_GB2312"/>
                <w:color w:val="000000"/>
                <w:sz w:val="20"/>
                <w:szCs w:val="20"/>
                <w:highlight w:val="none"/>
              </w:rPr>
              <w:t>形象</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C20FF7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有效提升</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A3A14B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6E7B89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6BB4929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DA18A65">
        <w:tblPrEx>
          <w:tblCellMar>
            <w:top w:w="0" w:type="dxa"/>
            <w:left w:w="108" w:type="dxa"/>
            <w:bottom w:w="0" w:type="dxa"/>
            <w:right w:w="108" w:type="dxa"/>
          </w:tblCellMar>
        </w:tblPrEx>
        <w:trPr>
          <w:trHeight w:val="27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48D89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9D5738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1A3A60E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CB7436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助力经济发展</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62E30F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改善夜间环境</w:t>
            </w:r>
            <w:r>
              <w:rPr>
                <w:rFonts w:hint="eastAsia" w:ascii="仿宋_GB2312" w:hAnsi="仿宋_GB2312" w:eastAsia="仿宋_GB2312" w:cs="仿宋_GB2312"/>
                <w:color w:val="000000"/>
                <w:sz w:val="20"/>
                <w:szCs w:val="20"/>
                <w:highlight w:val="none"/>
                <w:lang w:eastAsia="zh-CN"/>
              </w:rPr>
              <w:t>，</w:t>
            </w:r>
            <w:r>
              <w:rPr>
                <w:rFonts w:hint="eastAsia" w:ascii="仿宋_GB2312" w:hAnsi="仿宋_GB2312" w:eastAsia="仿宋_GB2312" w:cs="仿宋_GB2312"/>
                <w:color w:val="000000"/>
                <w:sz w:val="20"/>
                <w:szCs w:val="20"/>
                <w:highlight w:val="none"/>
                <w:lang w:val="en-US" w:eastAsia="zh-CN"/>
              </w:rPr>
              <w:t>助力旅游业发展。</w:t>
            </w:r>
            <w:r>
              <w:rPr>
                <w:rFonts w:hint="eastAsia" w:ascii="仿宋_GB2312" w:hAnsi="仿宋_GB2312" w:eastAsia="仿宋_GB2312" w:cs="仿宋_GB2312"/>
                <w:color w:val="000000"/>
                <w:sz w:val="20"/>
                <w:szCs w:val="20"/>
                <w:highlight w:val="none"/>
              </w:rPr>
              <w:t>　</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9A2A42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有效助力</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9D8957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D7BC07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F866FB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9614462">
        <w:tblPrEx>
          <w:tblCellMar>
            <w:top w:w="0" w:type="dxa"/>
            <w:left w:w="108" w:type="dxa"/>
            <w:bottom w:w="0" w:type="dxa"/>
            <w:right w:w="108" w:type="dxa"/>
          </w:tblCellMar>
        </w:tblPrEx>
        <w:trPr>
          <w:trHeight w:val="3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3F9ED0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7A1B27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61459E4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49003F0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1F0175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AD3079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市民满意率</w:t>
            </w:r>
          </w:p>
        </w:tc>
        <w:tc>
          <w:tcPr>
            <w:tcW w:w="1311" w:type="dxa"/>
            <w:tcBorders>
              <w:top w:val="single" w:color="auto" w:sz="4" w:space="0"/>
              <w:left w:val="single" w:color="auto" w:sz="4" w:space="0"/>
              <w:bottom w:val="single" w:color="auto" w:sz="4" w:space="0"/>
              <w:right w:val="single" w:color="auto" w:sz="4" w:space="0"/>
            </w:tcBorders>
            <w:noWrap w:val="0"/>
            <w:vAlign w:val="center"/>
          </w:tcPr>
          <w:p w14:paraId="57CB171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96%以上</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1AEAE4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97%</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FE587A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D65F15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8F87CC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948809D">
        <w:tblPrEx>
          <w:tblCellMar>
            <w:top w:w="0" w:type="dxa"/>
            <w:left w:w="108" w:type="dxa"/>
            <w:bottom w:w="0" w:type="dxa"/>
            <w:right w:w="108" w:type="dxa"/>
          </w:tblCellMar>
        </w:tblPrEx>
        <w:trPr>
          <w:trHeight w:val="435" w:hRule="atLeast"/>
          <w:jc w:val="center"/>
        </w:trPr>
        <w:tc>
          <w:tcPr>
            <w:tcW w:w="7044" w:type="dxa"/>
            <w:gridSpan w:val="6"/>
            <w:tcBorders>
              <w:top w:val="single" w:color="auto" w:sz="4" w:space="0"/>
              <w:left w:val="single" w:color="auto" w:sz="4" w:space="0"/>
              <w:bottom w:val="single" w:color="auto" w:sz="4" w:space="0"/>
              <w:right w:val="single" w:color="auto" w:sz="4" w:space="0"/>
            </w:tcBorders>
            <w:noWrap w:val="0"/>
            <w:vAlign w:val="center"/>
          </w:tcPr>
          <w:p w14:paraId="6AC195B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716" w:type="dxa"/>
            <w:tcBorders>
              <w:top w:val="single" w:color="auto" w:sz="4" w:space="0"/>
              <w:left w:val="single" w:color="auto" w:sz="4" w:space="0"/>
              <w:bottom w:val="single" w:color="auto" w:sz="4" w:space="0"/>
              <w:right w:val="single" w:color="auto" w:sz="4" w:space="0"/>
            </w:tcBorders>
            <w:noWrap w:val="0"/>
            <w:vAlign w:val="center"/>
          </w:tcPr>
          <w:p w14:paraId="0E959CA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57F42B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auto"/>
                <w:sz w:val="20"/>
                <w:szCs w:val="20"/>
                <w:highlight w:val="none"/>
                <w:lang w:val="en-US" w:eastAsia="zh-CN"/>
              </w:rPr>
            </w:pPr>
            <w:r>
              <w:rPr>
                <w:rFonts w:hint="default" w:ascii="仿宋_GB2312" w:hAnsi="仿宋_GB2312" w:eastAsia="仿宋_GB2312" w:cs="仿宋_GB2312"/>
                <w:color w:val="auto"/>
                <w:sz w:val="20"/>
                <w:szCs w:val="20"/>
                <w:highlight w:val="none"/>
                <w:lang w:val="en-US" w:eastAsia="zh-CN"/>
              </w:rPr>
              <w:t>99</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DB11D0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5653972C">
      <w:pPr>
        <w:keepNext w:val="0"/>
        <w:keepLines w:val="0"/>
        <w:pageBreakBefore w:val="0"/>
        <w:kinsoku/>
        <w:wordWrap/>
        <w:overflowPunct/>
        <w:topLinePunct w:val="0"/>
        <w:autoSpaceDE/>
        <w:autoSpaceDN/>
        <w:bidi w:val="0"/>
        <w:adjustRightInd/>
        <w:snapToGrid/>
        <w:spacing w:line="340" w:lineRule="exact"/>
        <w:textAlignment w:val="auto"/>
        <w:rPr>
          <w:rFonts w:hint="eastAsia" w:ascii="CESI仿宋-GB2312" w:hAnsi="CESI仿宋-GB2312" w:eastAsia="CESI仿宋-GB2312" w:cs="CESI仿宋-GB2312"/>
          <w:sz w:val="22"/>
          <w:szCs w:val="22"/>
        </w:rPr>
      </w:pPr>
    </w:p>
    <w:p w14:paraId="2AE99364">
      <w:pPr>
        <w:keepNext w:val="0"/>
        <w:keepLines w:val="0"/>
        <w:pageBreakBefore w:val="0"/>
        <w:kinsoku/>
        <w:wordWrap/>
        <w:overflowPunct/>
        <w:topLinePunct w:val="0"/>
        <w:autoSpaceDE/>
        <w:autoSpaceDN/>
        <w:bidi w:val="0"/>
        <w:adjustRightInd/>
        <w:snapToGrid/>
        <w:spacing w:line="340" w:lineRule="exact"/>
        <w:textAlignment w:val="auto"/>
        <w:rPr>
          <w:rFonts w:hint="default" w:ascii="Times New Roman" w:hAnsi="Times New Roman" w:eastAsia="仿宋_GB2312" w:cs="Times New Roman"/>
          <w:sz w:val="22"/>
          <w:szCs w:val="22"/>
          <w:highlight w:val="none"/>
        </w:rPr>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lang w:eastAsia="zh-CN"/>
        </w:rPr>
        <w:t>章迪</w:t>
      </w:r>
      <w:r>
        <w:rPr>
          <w:rFonts w:hint="eastAsia" w:ascii="仿宋_GB2312" w:hAnsi="仿宋_GB2312" w:eastAsia="仿宋_GB2312" w:cs="仿宋_GB2312"/>
          <w:sz w:val="22"/>
          <w:szCs w:val="22"/>
          <w:lang w:val="en-US" w:eastAsia="zh-CN"/>
        </w:rPr>
        <w:t xml:space="preserve"> </w:t>
      </w:r>
      <w:r>
        <w:rPr>
          <w:rFonts w:hint="eastAsia" w:ascii="仿宋_GB2312" w:hAnsi="仿宋_GB2312" w:eastAsia="仿宋_GB2312" w:cs="仿宋_GB2312"/>
          <w:sz w:val="22"/>
          <w:szCs w:val="22"/>
        </w:rPr>
        <w:t xml:space="preserve">  填报日期：</w:t>
      </w:r>
      <w:r>
        <w:rPr>
          <w:rFonts w:hint="eastAsia" w:ascii="仿宋_GB2312" w:hAnsi="仿宋_GB2312" w:eastAsia="仿宋_GB2312" w:cs="仿宋_GB2312"/>
          <w:sz w:val="22"/>
          <w:szCs w:val="22"/>
          <w:lang w:val="en-US" w:eastAsia="zh-CN"/>
        </w:rPr>
        <w:t>2025.6.4</w:t>
      </w:r>
      <w:r>
        <w:rPr>
          <w:rFonts w:hint="eastAsia" w:ascii="仿宋_GB2312" w:hAnsi="仿宋_GB2312" w:eastAsia="仿宋_GB2312" w:cs="仿宋_GB2312"/>
          <w:sz w:val="22"/>
          <w:szCs w:val="22"/>
        </w:rPr>
        <w:t xml:space="preserve"> </w:t>
      </w:r>
      <w:r>
        <w:rPr>
          <w:rFonts w:hint="eastAsia" w:ascii="仿宋_GB2312" w:hAnsi="仿宋_GB2312" w:eastAsia="仿宋_GB2312" w:cs="仿宋_GB2312"/>
          <w:sz w:val="22"/>
          <w:szCs w:val="22"/>
          <w:lang w:val="en-US" w:eastAsia="zh-CN"/>
        </w:rPr>
        <w:t xml:space="preserve"> </w:t>
      </w:r>
      <w:r>
        <w:rPr>
          <w:rFonts w:hint="eastAsia" w:ascii="仿宋_GB2312" w:hAnsi="仿宋_GB2312" w:eastAsia="仿宋_GB2312" w:cs="仿宋_GB2312"/>
          <w:sz w:val="22"/>
          <w:szCs w:val="22"/>
        </w:rPr>
        <w:t>联系电话：</w:t>
      </w:r>
      <w:r>
        <w:rPr>
          <w:rFonts w:hint="eastAsia" w:ascii="仿宋_GB2312" w:hAnsi="仿宋_GB2312" w:eastAsia="仿宋_GB2312" w:cs="仿宋_GB2312"/>
          <w:sz w:val="22"/>
          <w:szCs w:val="22"/>
          <w:lang w:val="en-US" w:eastAsia="zh-CN"/>
        </w:rPr>
        <w:t>8222406</w:t>
      </w:r>
      <w:r>
        <w:rPr>
          <w:rFonts w:hint="eastAsia" w:ascii="仿宋_GB2312" w:hAnsi="仿宋_GB2312" w:eastAsia="仿宋_GB2312" w:cs="仿宋_GB2312"/>
          <w:sz w:val="22"/>
          <w:szCs w:val="22"/>
        </w:rPr>
        <w:t xml:space="preserve">  </w:t>
      </w:r>
      <w:r>
        <w:rPr>
          <w:rFonts w:hint="eastAsia" w:ascii="仿宋_GB2312" w:hAnsi="仿宋_GB2312" w:eastAsia="仿宋_GB2312" w:cs="仿宋_GB2312"/>
          <w:color w:val="auto"/>
          <w:sz w:val="22"/>
          <w:szCs w:val="22"/>
          <w:lang w:val="en-US" w:eastAsia="zh-CN"/>
        </w:rPr>
        <w:t xml:space="preserve"> </w:t>
      </w:r>
      <w:r>
        <w:rPr>
          <w:rFonts w:hint="eastAsia" w:ascii="仿宋_GB2312" w:hAnsi="仿宋_GB2312" w:eastAsia="仿宋_GB2312" w:cs="仿宋_GB2312"/>
          <w:color w:val="auto"/>
          <w:sz w:val="22"/>
          <w:szCs w:val="22"/>
        </w:rPr>
        <w:t>单位负责人</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王玮</w:t>
      </w:r>
    </w:p>
    <w:p w14:paraId="4F6CCF65">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755E637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Times New Roman" w:hAnsi="Times New Roman" w:eastAsia="黑体" w:cs="Times New Roman"/>
          <w:sz w:val="32"/>
          <w:szCs w:val="32"/>
          <w:highlight w:val="none"/>
          <w:lang w:val="en"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r>
        <w:rPr>
          <w:rFonts w:hint="default" w:ascii="黑体" w:hAnsi="黑体" w:eastAsia="黑体" w:cs="黑体"/>
          <w:sz w:val="32"/>
          <w:szCs w:val="32"/>
          <w:highlight w:val="none"/>
          <w:lang w:val="en" w:eastAsia="zh-CN"/>
        </w:rPr>
        <w:t>-1</w:t>
      </w:r>
    </w:p>
    <w:p w14:paraId="5B9382B2">
      <w:pPr>
        <w:widowControl/>
        <w:spacing w:line="600" w:lineRule="exact"/>
        <w:jc w:val="center"/>
        <w:rPr>
          <w:rFonts w:hint="eastAsia"/>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1064"/>
        <w:gridCol w:w="1050"/>
        <w:gridCol w:w="1201"/>
        <w:gridCol w:w="1216"/>
        <w:gridCol w:w="1216"/>
        <w:gridCol w:w="811"/>
        <w:gridCol w:w="802"/>
        <w:gridCol w:w="1437"/>
      </w:tblGrid>
      <w:tr w14:paraId="76F8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noWrap w:val="0"/>
            <w:vAlign w:val="center"/>
          </w:tcPr>
          <w:p w14:paraId="484815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2D0E609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97" w:type="dxa"/>
            <w:gridSpan w:val="8"/>
            <w:noWrap w:val="0"/>
            <w:vAlign w:val="center"/>
          </w:tcPr>
          <w:p w14:paraId="58DF361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auto"/>
                <w:sz w:val="20"/>
                <w:szCs w:val="20"/>
                <w:lang w:val="en-US" w:eastAsia="zh-CN"/>
              </w:rPr>
              <w:t>路灯及公用亮化设施维护费和运行电费项目</w:t>
            </w:r>
          </w:p>
        </w:tc>
      </w:tr>
      <w:tr w14:paraId="585E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54" w:type="dxa"/>
            <w:noWrap w:val="0"/>
            <w:vAlign w:val="center"/>
          </w:tcPr>
          <w:p w14:paraId="4C1BF6D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531" w:type="dxa"/>
            <w:gridSpan w:val="4"/>
            <w:noWrap w:val="0"/>
            <w:vAlign w:val="center"/>
          </w:tcPr>
          <w:p w14:paraId="409B72D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岳阳市城市管理和综合执法局</w:t>
            </w:r>
          </w:p>
        </w:tc>
        <w:tc>
          <w:tcPr>
            <w:tcW w:w="1216" w:type="dxa"/>
            <w:noWrap w:val="0"/>
            <w:vAlign w:val="center"/>
          </w:tcPr>
          <w:p w14:paraId="3398231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实施单位</w:t>
            </w:r>
          </w:p>
        </w:tc>
        <w:tc>
          <w:tcPr>
            <w:tcW w:w="3050" w:type="dxa"/>
            <w:gridSpan w:val="3"/>
            <w:noWrap w:val="0"/>
            <w:vAlign w:val="center"/>
          </w:tcPr>
          <w:p w14:paraId="1523D4D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u w:val="none"/>
              </w:rPr>
              <w:t>岳阳市城市照明管理中心</w:t>
            </w:r>
          </w:p>
        </w:tc>
      </w:tr>
      <w:tr w14:paraId="2C64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restart"/>
            <w:noWrap w:val="0"/>
            <w:vAlign w:val="center"/>
          </w:tcPr>
          <w:p w14:paraId="2A7B48E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4" w:type="dxa"/>
            <w:gridSpan w:val="2"/>
            <w:noWrap w:val="0"/>
            <w:vAlign w:val="center"/>
          </w:tcPr>
          <w:p w14:paraId="3369637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01" w:type="dxa"/>
            <w:noWrap w:val="0"/>
            <w:vAlign w:val="center"/>
          </w:tcPr>
          <w:p w14:paraId="1B84BE4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147CB10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16" w:type="dxa"/>
            <w:noWrap w:val="0"/>
            <w:vAlign w:val="center"/>
          </w:tcPr>
          <w:p w14:paraId="53E98FC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6157F6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216" w:type="dxa"/>
            <w:noWrap w:val="0"/>
            <w:vAlign w:val="center"/>
          </w:tcPr>
          <w:p w14:paraId="5A73929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6DC2A33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11" w:type="dxa"/>
            <w:noWrap w:val="0"/>
            <w:vAlign w:val="center"/>
          </w:tcPr>
          <w:p w14:paraId="2BE9E2C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802" w:type="dxa"/>
            <w:noWrap w:val="0"/>
            <w:vAlign w:val="center"/>
          </w:tcPr>
          <w:p w14:paraId="0E9195A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437" w:type="dxa"/>
            <w:noWrap w:val="0"/>
            <w:vAlign w:val="center"/>
          </w:tcPr>
          <w:p w14:paraId="04CBFA8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0E31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54" w:type="dxa"/>
            <w:vMerge w:val="continue"/>
            <w:noWrap w:val="0"/>
            <w:vAlign w:val="center"/>
          </w:tcPr>
          <w:p w14:paraId="6DF4AED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14" w:type="dxa"/>
            <w:gridSpan w:val="2"/>
            <w:noWrap w:val="0"/>
            <w:vAlign w:val="center"/>
          </w:tcPr>
          <w:p w14:paraId="08D5665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01" w:type="dxa"/>
            <w:noWrap w:val="0"/>
            <w:vAlign w:val="center"/>
          </w:tcPr>
          <w:p w14:paraId="2D38D4B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2689</w:t>
            </w:r>
          </w:p>
        </w:tc>
        <w:tc>
          <w:tcPr>
            <w:tcW w:w="1216" w:type="dxa"/>
            <w:noWrap w:val="0"/>
            <w:vAlign w:val="center"/>
          </w:tcPr>
          <w:p w14:paraId="3D1147F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color w:val="000000"/>
                <w:sz w:val="20"/>
                <w:szCs w:val="20"/>
                <w:highlight w:val="none"/>
                <w:lang w:val="en-US"/>
              </w:rPr>
              <w:t>2689</w:t>
            </w:r>
          </w:p>
        </w:tc>
        <w:tc>
          <w:tcPr>
            <w:tcW w:w="1216" w:type="dxa"/>
            <w:noWrap w:val="0"/>
            <w:vAlign w:val="center"/>
          </w:tcPr>
          <w:p w14:paraId="1E9A588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rPr>
              <w:t>2689</w:t>
            </w:r>
          </w:p>
        </w:tc>
        <w:tc>
          <w:tcPr>
            <w:tcW w:w="811" w:type="dxa"/>
            <w:noWrap w:val="0"/>
            <w:vAlign w:val="center"/>
          </w:tcPr>
          <w:p w14:paraId="2F7BFC6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802" w:type="dxa"/>
            <w:noWrap w:val="0"/>
            <w:vAlign w:val="center"/>
          </w:tcPr>
          <w:p w14:paraId="60BB04D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99</w:t>
            </w:r>
            <w:r>
              <w:rPr>
                <w:rFonts w:hint="eastAsia" w:ascii="仿宋_GB2312" w:hAnsi="仿宋_GB2312" w:eastAsia="仿宋_GB2312" w:cs="仿宋_GB2312"/>
                <w:color w:val="000000"/>
                <w:sz w:val="20"/>
                <w:szCs w:val="20"/>
                <w:highlight w:val="none"/>
                <w:lang w:val="en-US" w:eastAsia="zh-CN"/>
              </w:rPr>
              <w:t>%</w:t>
            </w:r>
          </w:p>
        </w:tc>
        <w:tc>
          <w:tcPr>
            <w:tcW w:w="1437" w:type="dxa"/>
            <w:noWrap w:val="0"/>
            <w:vAlign w:val="center"/>
          </w:tcPr>
          <w:p w14:paraId="472C5D8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w:t>
            </w:r>
            <w:r>
              <w:rPr>
                <w:rFonts w:hint="default" w:ascii="仿宋_GB2312" w:hAnsi="仿宋_GB2312" w:eastAsia="仿宋_GB2312" w:cs="仿宋_GB2312"/>
                <w:color w:val="000000"/>
                <w:sz w:val="20"/>
                <w:szCs w:val="20"/>
                <w:highlight w:val="none"/>
                <w:lang w:val="en-US" w:eastAsia="zh-CN"/>
              </w:rPr>
              <w:t>9.9</w:t>
            </w:r>
          </w:p>
        </w:tc>
      </w:tr>
      <w:tr w14:paraId="0460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054" w:type="dxa"/>
            <w:vMerge w:val="continue"/>
            <w:noWrap w:val="0"/>
            <w:vAlign w:val="center"/>
          </w:tcPr>
          <w:p w14:paraId="0A700B9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14" w:type="dxa"/>
            <w:gridSpan w:val="2"/>
            <w:noWrap w:val="0"/>
            <w:vAlign w:val="center"/>
          </w:tcPr>
          <w:p w14:paraId="6571172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01" w:type="dxa"/>
            <w:shd w:val="clear" w:color="auto" w:fill="auto"/>
            <w:noWrap w:val="0"/>
            <w:vAlign w:val="center"/>
          </w:tcPr>
          <w:p w14:paraId="4F4B5C8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kern w:val="0"/>
                <w:sz w:val="20"/>
                <w:szCs w:val="20"/>
                <w:highlight w:val="none"/>
                <w:lang w:val="en-US" w:eastAsia="zh-CN" w:bidi="ar-SA"/>
              </w:rPr>
            </w:pPr>
            <w:r>
              <w:rPr>
                <w:rFonts w:hint="default" w:ascii="仿宋_GB2312" w:hAnsi="仿宋_GB2312" w:eastAsia="仿宋_GB2312" w:cs="仿宋_GB2312"/>
                <w:color w:val="000000"/>
                <w:sz w:val="20"/>
                <w:szCs w:val="20"/>
                <w:highlight w:val="none"/>
                <w:lang w:val="en-US" w:eastAsia="zh-CN"/>
              </w:rPr>
              <w:t>2689</w:t>
            </w:r>
          </w:p>
        </w:tc>
        <w:tc>
          <w:tcPr>
            <w:tcW w:w="1216" w:type="dxa"/>
            <w:shd w:val="clear" w:color="auto" w:fill="auto"/>
            <w:noWrap w:val="0"/>
            <w:vAlign w:val="center"/>
          </w:tcPr>
          <w:p w14:paraId="2488431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default" w:ascii="仿宋_GB2312" w:hAnsi="仿宋_GB2312" w:eastAsia="仿宋_GB2312" w:cs="仿宋_GB2312"/>
                <w:color w:val="000000"/>
                <w:sz w:val="20"/>
                <w:szCs w:val="20"/>
                <w:highlight w:val="none"/>
                <w:lang w:val="en-US"/>
              </w:rPr>
              <w:t>2689</w:t>
            </w:r>
          </w:p>
        </w:tc>
        <w:tc>
          <w:tcPr>
            <w:tcW w:w="1216" w:type="dxa"/>
            <w:shd w:val="clear" w:color="auto" w:fill="auto"/>
            <w:noWrap w:val="0"/>
            <w:vAlign w:val="center"/>
          </w:tcPr>
          <w:p w14:paraId="03848A6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default" w:ascii="仿宋_GB2312" w:hAnsi="仿宋_GB2312" w:eastAsia="仿宋_GB2312" w:cs="仿宋_GB2312"/>
                <w:color w:val="000000"/>
                <w:sz w:val="20"/>
                <w:szCs w:val="20"/>
                <w:highlight w:val="none"/>
                <w:lang w:val="en-US"/>
              </w:rPr>
              <w:t>2689</w:t>
            </w:r>
          </w:p>
        </w:tc>
        <w:tc>
          <w:tcPr>
            <w:tcW w:w="811" w:type="dxa"/>
            <w:noWrap w:val="0"/>
            <w:vAlign w:val="center"/>
          </w:tcPr>
          <w:p w14:paraId="453C18B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02" w:type="dxa"/>
            <w:noWrap w:val="0"/>
            <w:vAlign w:val="center"/>
          </w:tcPr>
          <w:p w14:paraId="226A0A6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37" w:type="dxa"/>
            <w:noWrap w:val="0"/>
            <w:vAlign w:val="center"/>
          </w:tcPr>
          <w:p w14:paraId="08F3483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212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054" w:type="dxa"/>
            <w:vMerge w:val="continue"/>
            <w:noWrap w:val="0"/>
            <w:vAlign w:val="center"/>
          </w:tcPr>
          <w:p w14:paraId="57AC1B8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14" w:type="dxa"/>
            <w:gridSpan w:val="2"/>
            <w:noWrap w:val="0"/>
            <w:vAlign w:val="center"/>
          </w:tcPr>
          <w:p w14:paraId="3E59C51A">
            <w:pPr>
              <w:keepNext w:val="0"/>
              <w:keepLines w:val="0"/>
              <w:pageBreakBefore w:val="0"/>
              <w:widowControl/>
              <w:kinsoku/>
              <w:wordWrap/>
              <w:overflowPunct/>
              <w:topLinePunct w:val="0"/>
              <w:autoSpaceDE/>
              <w:autoSpaceDN/>
              <w:bidi w:val="0"/>
              <w:adjustRightInd/>
              <w:snapToGrid/>
              <w:spacing w:line="3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01" w:type="dxa"/>
            <w:noWrap w:val="0"/>
            <w:vAlign w:val="center"/>
          </w:tcPr>
          <w:p w14:paraId="09DF523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0</w:t>
            </w:r>
          </w:p>
        </w:tc>
        <w:tc>
          <w:tcPr>
            <w:tcW w:w="1216" w:type="dxa"/>
            <w:noWrap w:val="0"/>
            <w:vAlign w:val="center"/>
          </w:tcPr>
          <w:p w14:paraId="45EBDDD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0</w:t>
            </w:r>
          </w:p>
        </w:tc>
        <w:tc>
          <w:tcPr>
            <w:tcW w:w="1216" w:type="dxa"/>
            <w:noWrap w:val="0"/>
            <w:vAlign w:val="center"/>
          </w:tcPr>
          <w:p w14:paraId="19F7D9B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color w:val="000000"/>
                <w:sz w:val="20"/>
                <w:szCs w:val="20"/>
                <w:highlight w:val="none"/>
                <w:lang w:val="en-US"/>
              </w:rPr>
              <w:t>0</w:t>
            </w:r>
          </w:p>
        </w:tc>
        <w:tc>
          <w:tcPr>
            <w:tcW w:w="811" w:type="dxa"/>
            <w:noWrap w:val="0"/>
            <w:vAlign w:val="center"/>
          </w:tcPr>
          <w:p w14:paraId="580FD33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02" w:type="dxa"/>
            <w:noWrap w:val="0"/>
            <w:vAlign w:val="center"/>
          </w:tcPr>
          <w:p w14:paraId="5B56D70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37" w:type="dxa"/>
            <w:noWrap w:val="0"/>
            <w:vAlign w:val="center"/>
          </w:tcPr>
          <w:p w14:paraId="7B36713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6EC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54" w:type="dxa"/>
            <w:vMerge w:val="continue"/>
            <w:noWrap w:val="0"/>
            <w:vAlign w:val="center"/>
          </w:tcPr>
          <w:p w14:paraId="3730699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2114" w:type="dxa"/>
            <w:gridSpan w:val="2"/>
            <w:noWrap w:val="0"/>
            <w:vAlign w:val="center"/>
          </w:tcPr>
          <w:p w14:paraId="5C9C029B">
            <w:pPr>
              <w:keepNext w:val="0"/>
              <w:keepLines w:val="0"/>
              <w:pageBreakBefore w:val="0"/>
              <w:widowControl/>
              <w:kinsoku/>
              <w:wordWrap/>
              <w:overflowPunct/>
              <w:topLinePunct w:val="0"/>
              <w:autoSpaceDE/>
              <w:autoSpaceDN/>
              <w:bidi w:val="0"/>
              <w:adjustRightInd/>
              <w:snapToGrid/>
              <w:spacing w:line="36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01" w:type="dxa"/>
            <w:noWrap w:val="0"/>
            <w:vAlign w:val="center"/>
          </w:tcPr>
          <w:p w14:paraId="445DAC4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rPr>
            </w:pPr>
            <w:r>
              <w:rPr>
                <w:rFonts w:hint="default" w:ascii="仿宋_GB2312" w:hAnsi="仿宋_GB2312" w:eastAsia="仿宋_GB2312" w:cs="仿宋_GB2312"/>
                <w:color w:val="000000"/>
                <w:sz w:val="20"/>
                <w:szCs w:val="20"/>
                <w:highlight w:val="none"/>
                <w:lang w:val="en-US"/>
              </w:rPr>
              <w:t>0</w:t>
            </w:r>
          </w:p>
        </w:tc>
        <w:tc>
          <w:tcPr>
            <w:tcW w:w="1216" w:type="dxa"/>
            <w:noWrap w:val="0"/>
            <w:vAlign w:val="center"/>
          </w:tcPr>
          <w:p w14:paraId="3D303B8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rPr>
              <w:t>0</w:t>
            </w:r>
          </w:p>
        </w:tc>
        <w:tc>
          <w:tcPr>
            <w:tcW w:w="1216" w:type="dxa"/>
            <w:noWrap w:val="0"/>
            <w:vAlign w:val="center"/>
          </w:tcPr>
          <w:p w14:paraId="2114C4F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highlight w:val="none"/>
                <w:lang w:val="en-US"/>
              </w:rPr>
              <w:t>0</w:t>
            </w:r>
          </w:p>
        </w:tc>
        <w:tc>
          <w:tcPr>
            <w:tcW w:w="811" w:type="dxa"/>
            <w:noWrap w:val="0"/>
            <w:vAlign w:val="center"/>
          </w:tcPr>
          <w:p w14:paraId="5815D04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802" w:type="dxa"/>
            <w:noWrap w:val="0"/>
            <w:vAlign w:val="center"/>
          </w:tcPr>
          <w:p w14:paraId="54CD206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437" w:type="dxa"/>
            <w:noWrap w:val="0"/>
            <w:vAlign w:val="center"/>
          </w:tcPr>
          <w:p w14:paraId="0921EFA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DFE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054" w:type="dxa"/>
            <w:vMerge w:val="restart"/>
            <w:noWrap w:val="0"/>
            <w:vAlign w:val="center"/>
          </w:tcPr>
          <w:p w14:paraId="02A4A52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531" w:type="dxa"/>
            <w:gridSpan w:val="4"/>
            <w:noWrap w:val="0"/>
            <w:vAlign w:val="center"/>
          </w:tcPr>
          <w:p w14:paraId="0408C83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266" w:type="dxa"/>
            <w:gridSpan w:val="4"/>
            <w:noWrap w:val="0"/>
            <w:vAlign w:val="center"/>
          </w:tcPr>
          <w:p w14:paraId="29EAFAD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02A0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054" w:type="dxa"/>
            <w:vMerge w:val="continue"/>
            <w:noWrap w:val="0"/>
            <w:vAlign w:val="center"/>
          </w:tcPr>
          <w:p w14:paraId="62715D3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4531" w:type="dxa"/>
            <w:gridSpan w:val="4"/>
            <w:noWrap w:val="0"/>
            <w:vAlign w:val="center"/>
          </w:tcPr>
          <w:p w14:paraId="1940A5D7">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rPr>
              <w:t>维护管理城区主次干道路灯</w:t>
            </w:r>
            <w:r>
              <w:rPr>
                <w:rFonts w:hint="eastAsia" w:ascii="仿宋_GB2312" w:hAnsi="仿宋_GB2312" w:eastAsia="仿宋_GB2312" w:cs="仿宋_GB2312"/>
                <w:color w:val="000000"/>
                <w:sz w:val="20"/>
                <w:szCs w:val="20"/>
                <w:lang w:val="en-US" w:eastAsia="zh-CN"/>
              </w:rPr>
              <w:t>26777</w:t>
            </w:r>
            <w:r>
              <w:rPr>
                <w:rFonts w:hint="eastAsia" w:ascii="仿宋_GB2312" w:hAnsi="仿宋_GB2312" w:eastAsia="仿宋_GB2312" w:cs="仿宋_GB2312"/>
                <w:color w:val="000000"/>
                <w:sz w:val="20"/>
                <w:szCs w:val="20"/>
              </w:rPr>
              <w:t>盏，小街巷路灯4229盏，维护管理公共景观亮化设施，全市公共亮化设施功率4008.36KW</w:t>
            </w:r>
            <w:r>
              <w:rPr>
                <w:rFonts w:hint="eastAsia" w:ascii="仿宋_GB2312" w:hAnsi="仿宋_GB2312" w:eastAsia="仿宋_GB2312" w:cs="仿宋_GB2312"/>
                <w:color w:val="000000"/>
                <w:sz w:val="20"/>
                <w:szCs w:val="20"/>
                <w:lang w:eastAsia="zh-CN"/>
              </w:rPr>
              <w:t>。</w:t>
            </w:r>
            <w:r>
              <w:rPr>
                <w:rFonts w:hint="eastAsia" w:ascii="仿宋_GB2312" w:hAnsi="仿宋_GB2312" w:eastAsia="仿宋_GB2312" w:cs="仿宋_GB2312"/>
                <w:color w:val="000000"/>
                <w:sz w:val="20"/>
                <w:szCs w:val="20"/>
              </w:rPr>
              <w:t>保障路灯及公用亮化设施正常运行，全年主城区路灯设施平均运行时间7小时/日，全年公共亮化设施平均运行时间4.5小时/日，推动路灯节能改造，建设生态绿色城市</w:t>
            </w:r>
            <w:r>
              <w:rPr>
                <w:rFonts w:hint="eastAsia" w:ascii="仿宋_GB2312" w:hAnsi="仿宋_GB2312" w:eastAsia="仿宋_GB2312" w:cs="仿宋_GB2312"/>
                <w:color w:val="000000"/>
                <w:sz w:val="20"/>
                <w:szCs w:val="20"/>
                <w:lang w:eastAsia="zh-CN"/>
              </w:rPr>
              <w:t>。</w:t>
            </w:r>
          </w:p>
        </w:tc>
        <w:tc>
          <w:tcPr>
            <w:tcW w:w="4266" w:type="dxa"/>
            <w:gridSpan w:val="4"/>
            <w:noWrap w:val="0"/>
            <w:vAlign w:val="center"/>
          </w:tcPr>
          <w:p w14:paraId="5C490A7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lang w:eastAsia="zh-CN"/>
              </w:rPr>
              <w:t>对</w:t>
            </w:r>
            <w:r>
              <w:rPr>
                <w:rFonts w:hint="eastAsia" w:ascii="仿宋_GB2312" w:hAnsi="仿宋_GB2312" w:eastAsia="仿宋_GB2312" w:cs="仿宋_GB2312"/>
                <w:color w:val="000000"/>
                <w:sz w:val="20"/>
                <w:szCs w:val="20"/>
              </w:rPr>
              <w:t>城区主次干道及小街巷路灯和公用亮化设施</w:t>
            </w:r>
            <w:r>
              <w:rPr>
                <w:rFonts w:hint="eastAsia" w:ascii="仿宋_GB2312" w:hAnsi="仿宋_GB2312" w:eastAsia="仿宋_GB2312" w:cs="仿宋_GB2312"/>
                <w:color w:val="000000"/>
                <w:sz w:val="20"/>
                <w:szCs w:val="20"/>
                <w:lang w:eastAsia="zh-CN"/>
              </w:rPr>
              <w:t>进行了及时维护，</w:t>
            </w:r>
            <w:r>
              <w:rPr>
                <w:rFonts w:hint="eastAsia" w:ascii="仿宋_GB2312" w:hAnsi="仿宋_GB2312" w:eastAsia="仿宋_GB2312" w:cs="仿宋_GB2312"/>
                <w:color w:val="000000"/>
                <w:sz w:val="20"/>
                <w:szCs w:val="20"/>
                <w:highlight w:val="none"/>
                <w:lang w:val="en-US" w:eastAsia="zh-CN"/>
              </w:rPr>
              <w:t>主城区</w:t>
            </w:r>
            <w:r>
              <w:rPr>
                <w:rFonts w:hint="eastAsia" w:ascii="仿宋_GB2312" w:hAnsi="仿宋_GB2312" w:eastAsia="仿宋_GB2312" w:cs="仿宋_GB2312"/>
                <w:color w:val="000000"/>
                <w:sz w:val="20"/>
                <w:szCs w:val="20"/>
              </w:rPr>
              <w:t>路灯及公用亮化设施</w:t>
            </w:r>
            <w:r>
              <w:rPr>
                <w:rFonts w:hint="eastAsia" w:ascii="仿宋_GB2312" w:hAnsi="仿宋_GB2312" w:eastAsia="仿宋_GB2312" w:cs="仿宋_GB2312"/>
                <w:color w:val="000000"/>
                <w:sz w:val="20"/>
                <w:szCs w:val="20"/>
                <w:lang w:eastAsia="zh-CN"/>
              </w:rPr>
              <w:t>全年</w:t>
            </w:r>
            <w:r>
              <w:rPr>
                <w:rFonts w:hint="eastAsia" w:ascii="仿宋_GB2312" w:hAnsi="仿宋_GB2312" w:eastAsia="仿宋_GB2312" w:cs="仿宋_GB2312"/>
                <w:color w:val="000000"/>
                <w:sz w:val="20"/>
                <w:szCs w:val="20"/>
              </w:rPr>
              <w:t>正常运行，路灯设施平均运行时间7小时/日，公共亮化设施平均运行时间4.5小时/日</w:t>
            </w:r>
            <w:r>
              <w:rPr>
                <w:rFonts w:hint="eastAsia" w:ascii="仿宋_GB2312" w:hAnsi="仿宋_GB2312" w:eastAsia="仿宋_GB2312" w:cs="仿宋_GB2312"/>
                <w:color w:val="000000"/>
                <w:sz w:val="20"/>
                <w:szCs w:val="20"/>
                <w:lang w:eastAsia="zh-CN"/>
              </w:rPr>
              <w:t>，</w:t>
            </w:r>
            <w:r>
              <w:rPr>
                <w:rFonts w:hint="eastAsia" w:ascii="仿宋_GB2312" w:hAnsi="仿宋_GB2312" w:eastAsia="仿宋_GB2312" w:cs="仿宋_GB2312"/>
                <w:color w:val="000000"/>
                <w:sz w:val="20"/>
                <w:szCs w:val="20"/>
              </w:rPr>
              <w:t>路灯节能改造</w:t>
            </w:r>
            <w:r>
              <w:rPr>
                <w:rFonts w:hint="eastAsia" w:ascii="仿宋_GB2312" w:hAnsi="仿宋_GB2312" w:eastAsia="仿宋_GB2312" w:cs="仿宋_GB2312"/>
                <w:color w:val="000000"/>
                <w:sz w:val="20"/>
                <w:szCs w:val="20"/>
                <w:lang w:eastAsia="zh-CN"/>
              </w:rPr>
              <w:t>工作有序推进</w:t>
            </w:r>
            <w:r>
              <w:rPr>
                <w:rFonts w:hint="eastAsia" w:ascii="仿宋_GB2312" w:hAnsi="仿宋_GB2312" w:eastAsia="仿宋_GB2312" w:cs="仿宋_GB2312"/>
                <w:color w:val="000000"/>
                <w:sz w:val="20"/>
                <w:szCs w:val="20"/>
              </w:rPr>
              <w:t>，</w:t>
            </w:r>
            <w:r>
              <w:rPr>
                <w:rFonts w:hint="eastAsia" w:ascii="仿宋_GB2312" w:hAnsi="仿宋_GB2312" w:eastAsia="仿宋_GB2312" w:cs="仿宋_GB2312"/>
                <w:color w:val="000000"/>
                <w:sz w:val="20"/>
                <w:szCs w:val="20"/>
                <w:lang w:eastAsia="zh-CN"/>
              </w:rPr>
              <w:t>为</w:t>
            </w:r>
            <w:r>
              <w:rPr>
                <w:rFonts w:hint="eastAsia" w:ascii="仿宋_GB2312" w:hAnsi="仿宋_GB2312" w:eastAsia="仿宋_GB2312" w:cs="仿宋_GB2312"/>
                <w:color w:val="000000"/>
                <w:sz w:val="20"/>
                <w:szCs w:val="20"/>
              </w:rPr>
              <w:t>建设生态绿色城市</w:t>
            </w:r>
            <w:r>
              <w:rPr>
                <w:rFonts w:hint="eastAsia" w:ascii="仿宋_GB2312" w:hAnsi="仿宋_GB2312" w:eastAsia="仿宋_GB2312" w:cs="仿宋_GB2312"/>
                <w:color w:val="000000"/>
                <w:sz w:val="20"/>
                <w:szCs w:val="20"/>
                <w:lang w:eastAsia="zh-CN"/>
              </w:rPr>
              <w:t>奠定了基础。</w:t>
            </w:r>
          </w:p>
        </w:tc>
      </w:tr>
      <w:tr w14:paraId="1B54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restart"/>
            <w:noWrap w:val="0"/>
            <w:vAlign w:val="center"/>
          </w:tcPr>
          <w:p w14:paraId="002E68D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014A432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2E1F5D8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35114EC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64" w:type="dxa"/>
            <w:noWrap w:val="0"/>
            <w:vAlign w:val="center"/>
          </w:tcPr>
          <w:p w14:paraId="5254772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50" w:type="dxa"/>
            <w:noWrap w:val="0"/>
            <w:vAlign w:val="center"/>
          </w:tcPr>
          <w:p w14:paraId="6B59DA2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01" w:type="dxa"/>
            <w:noWrap w:val="0"/>
            <w:vAlign w:val="center"/>
          </w:tcPr>
          <w:p w14:paraId="05E3534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216" w:type="dxa"/>
            <w:noWrap w:val="0"/>
            <w:vAlign w:val="center"/>
          </w:tcPr>
          <w:p w14:paraId="5979136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668F6D4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216" w:type="dxa"/>
            <w:noWrap w:val="0"/>
            <w:vAlign w:val="center"/>
          </w:tcPr>
          <w:p w14:paraId="606EBB1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414282D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11" w:type="dxa"/>
            <w:noWrap w:val="0"/>
            <w:vAlign w:val="center"/>
          </w:tcPr>
          <w:p w14:paraId="2398FEF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802" w:type="dxa"/>
            <w:noWrap w:val="0"/>
            <w:vAlign w:val="center"/>
          </w:tcPr>
          <w:p w14:paraId="528D73B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437" w:type="dxa"/>
            <w:noWrap w:val="0"/>
            <w:vAlign w:val="center"/>
          </w:tcPr>
          <w:p w14:paraId="5738A8DD">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6AA1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4FD8C43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restart"/>
            <w:noWrap w:val="0"/>
            <w:vAlign w:val="center"/>
          </w:tcPr>
          <w:p w14:paraId="25E6A46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5B8BF08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p w14:paraId="04F4BF2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50" w:type="dxa"/>
            <w:vMerge w:val="restart"/>
            <w:noWrap w:val="0"/>
            <w:vAlign w:val="center"/>
          </w:tcPr>
          <w:p w14:paraId="7D352FD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01" w:type="dxa"/>
            <w:noWrap w:val="0"/>
            <w:vAlign w:val="center"/>
          </w:tcPr>
          <w:p w14:paraId="124861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维护管理城区主次干道路灯</w:t>
            </w:r>
          </w:p>
        </w:tc>
        <w:tc>
          <w:tcPr>
            <w:tcW w:w="1216" w:type="dxa"/>
            <w:noWrap w:val="0"/>
            <w:vAlign w:val="center"/>
          </w:tcPr>
          <w:p w14:paraId="3E5BE6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2</w:t>
            </w:r>
            <w:r>
              <w:rPr>
                <w:rFonts w:hint="eastAsia" w:ascii="仿宋_GB2312" w:hAnsi="仿宋_GB2312" w:eastAsia="仿宋_GB2312" w:cs="仿宋_GB2312"/>
                <w:color w:val="000000"/>
                <w:sz w:val="20"/>
                <w:szCs w:val="20"/>
                <w:lang w:val="en-US" w:eastAsia="zh-CN"/>
              </w:rPr>
              <w:t>6777</w:t>
            </w:r>
            <w:r>
              <w:rPr>
                <w:rFonts w:hint="eastAsia" w:ascii="仿宋_GB2312" w:hAnsi="仿宋_GB2312" w:eastAsia="仿宋_GB2312" w:cs="仿宋_GB2312"/>
                <w:color w:val="000000"/>
                <w:sz w:val="20"/>
                <w:szCs w:val="20"/>
              </w:rPr>
              <w:t>盏</w:t>
            </w:r>
          </w:p>
        </w:tc>
        <w:tc>
          <w:tcPr>
            <w:tcW w:w="1216" w:type="dxa"/>
            <w:noWrap w:val="0"/>
            <w:vAlign w:val="center"/>
          </w:tcPr>
          <w:p w14:paraId="25A305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sz w:val="20"/>
                <w:szCs w:val="20"/>
                <w:lang w:val="en-US" w:eastAsia="zh-CN"/>
              </w:rPr>
              <w:t>2</w:t>
            </w:r>
            <w:r>
              <w:rPr>
                <w:rFonts w:hint="eastAsia" w:ascii="仿宋_GB2312" w:hAnsi="仿宋_GB2312" w:eastAsia="仿宋_GB2312" w:cs="仿宋_GB2312"/>
                <w:color w:val="000000"/>
                <w:sz w:val="20"/>
                <w:szCs w:val="20"/>
                <w:lang w:val="en-US" w:eastAsia="zh-CN"/>
              </w:rPr>
              <w:t>6777</w:t>
            </w:r>
            <w:r>
              <w:rPr>
                <w:rFonts w:hint="default" w:ascii="仿宋_GB2312" w:hAnsi="仿宋_GB2312" w:eastAsia="仿宋_GB2312" w:cs="仿宋_GB2312"/>
                <w:color w:val="000000"/>
                <w:sz w:val="20"/>
                <w:szCs w:val="20"/>
                <w:lang w:val="en-US" w:eastAsia="zh-CN"/>
              </w:rPr>
              <w:t>盏</w:t>
            </w:r>
          </w:p>
        </w:tc>
        <w:tc>
          <w:tcPr>
            <w:tcW w:w="811" w:type="dxa"/>
            <w:noWrap w:val="0"/>
            <w:vAlign w:val="center"/>
          </w:tcPr>
          <w:p w14:paraId="2DAF42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02" w:type="dxa"/>
            <w:noWrap w:val="0"/>
            <w:vAlign w:val="center"/>
          </w:tcPr>
          <w:p w14:paraId="5A3BD31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37" w:type="dxa"/>
            <w:noWrap w:val="0"/>
            <w:vAlign w:val="center"/>
          </w:tcPr>
          <w:p w14:paraId="0F04C14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DE49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207C449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430F33A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continue"/>
            <w:noWrap w:val="0"/>
            <w:vAlign w:val="center"/>
          </w:tcPr>
          <w:p w14:paraId="7D8C4D9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01" w:type="dxa"/>
            <w:noWrap w:val="0"/>
            <w:vAlign w:val="center"/>
          </w:tcPr>
          <w:p w14:paraId="04FFA3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lang w:eastAsia="zh-CN"/>
              </w:rPr>
            </w:pPr>
            <w:r>
              <w:rPr>
                <w:rFonts w:hint="eastAsia" w:ascii="仿宋_GB2312" w:hAnsi="仿宋_GB2312" w:eastAsia="仿宋_GB2312" w:cs="仿宋_GB2312"/>
                <w:color w:val="000000"/>
                <w:sz w:val="20"/>
                <w:szCs w:val="20"/>
                <w:lang w:eastAsia="zh-CN"/>
              </w:rPr>
              <w:t>维护管理小街巷路灯</w:t>
            </w:r>
          </w:p>
        </w:tc>
        <w:tc>
          <w:tcPr>
            <w:tcW w:w="1216" w:type="dxa"/>
            <w:noWrap w:val="0"/>
            <w:vAlign w:val="center"/>
          </w:tcPr>
          <w:p w14:paraId="4501C70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4229盏</w:t>
            </w:r>
          </w:p>
        </w:tc>
        <w:tc>
          <w:tcPr>
            <w:tcW w:w="1216" w:type="dxa"/>
            <w:noWrap w:val="0"/>
            <w:vAlign w:val="center"/>
          </w:tcPr>
          <w:p w14:paraId="5848C9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4229盏</w:t>
            </w:r>
          </w:p>
        </w:tc>
        <w:tc>
          <w:tcPr>
            <w:tcW w:w="811" w:type="dxa"/>
            <w:noWrap w:val="0"/>
            <w:vAlign w:val="center"/>
          </w:tcPr>
          <w:p w14:paraId="2AE649F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02" w:type="dxa"/>
            <w:noWrap w:val="0"/>
            <w:vAlign w:val="center"/>
          </w:tcPr>
          <w:p w14:paraId="2F7797C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37" w:type="dxa"/>
            <w:noWrap w:val="0"/>
            <w:vAlign w:val="center"/>
          </w:tcPr>
          <w:p w14:paraId="0892380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r>
      <w:tr w14:paraId="6CAF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129FF44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0175873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continue"/>
            <w:noWrap w:val="0"/>
            <w:vAlign w:val="center"/>
          </w:tcPr>
          <w:p w14:paraId="6A3FDB9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01" w:type="dxa"/>
            <w:noWrap w:val="0"/>
            <w:vAlign w:val="center"/>
          </w:tcPr>
          <w:p w14:paraId="4426ED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维护管理公共景观亮化设施</w:t>
            </w:r>
          </w:p>
        </w:tc>
        <w:tc>
          <w:tcPr>
            <w:tcW w:w="1216" w:type="dxa"/>
            <w:noWrap w:val="0"/>
            <w:vAlign w:val="center"/>
          </w:tcPr>
          <w:p w14:paraId="141F3F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公</w:t>
            </w:r>
            <w:r>
              <w:rPr>
                <w:rFonts w:hint="eastAsia" w:ascii="仿宋_GB2312" w:hAnsi="仿宋_GB2312" w:eastAsia="仿宋_GB2312" w:cs="仿宋_GB2312"/>
                <w:color w:val="000000"/>
                <w:sz w:val="20"/>
                <w:szCs w:val="20"/>
                <w:highlight w:val="none"/>
                <w:lang w:eastAsia="zh-CN"/>
              </w:rPr>
              <w:t>共</w:t>
            </w:r>
            <w:r>
              <w:rPr>
                <w:rFonts w:hint="eastAsia" w:ascii="仿宋_GB2312" w:hAnsi="仿宋_GB2312" w:eastAsia="仿宋_GB2312" w:cs="仿宋_GB2312"/>
                <w:color w:val="000000"/>
                <w:sz w:val="20"/>
                <w:szCs w:val="20"/>
                <w:highlight w:val="none"/>
              </w:rPr>
              <w:t>亮化设施功率4008.2</w:t>
            </w:r>
            <w:r>
              <w:rPr>
                <w:rFonts w:hint="eastAsia" w:ascii="仿宋_GB2312" w:hAnsi="仿宋_GB2312" w:eastAsia="仿宋_GB2312" w:cs="仿宋_GB2312"/>
                <w:color w:val="000000"/>
                <w:sz w:val="20"/>
                <w:szCs w:val="20"/>
                <w:highlight w:val="none"/>
                <w:lang w:val="en-US" w:eastAsia="zh-CN"/>
              </w:rPr>
              <w:t>6</w:t>
            </w:r>
            <w:r>
              <w:rPr>
                <w:rFonts w:hint="eastAsia" w:ascii="仿宋_GB2312" w:hAnsi="仿宋_GB2312" w:eastAsia="仿宋_GB2312" w:cs="仿宋_GB2312"/>
                <w:color w:val="000000"/>
                <w:sz w:val="20"/>
                <w:szCs w:val="20"/>
                <w:highlight w:val="none"/>
              </w:rPr>
              <w:t>KW</w:t>
            </w:r>
          </w:p>
        </w:tc>
        <w:tc>
          <w:tcPr>
            <w:tcW w:w="1216" w:type="dxa"/>
            <w:noWrap w:val="0"/>
            <w:vAlign w:val="center"/>
          </w:tcPr>
          <w:p w14:paraId="112132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公</w:t>
            </w:r>
            <w:r>
              <w:rPr>
                <w:rFonts w:hint="eastAsia" w:ascii="仿宋_GB2312" w:hAnsi="仿宋_GB2312" w:eastAsia="仿宋_GB2312" w:cs="仿宋_GB2312"/>
                <w:color w:val="000000"/>
                <w:sz w:val="20"/>
                <w:szCs w:val="20"/>
                <w:highlight w:val="none"/>
                <w:lang w:eastAsia="zh-CN"/>
              </w:rPr>
              <w:t>共</w:t>
            </w:r>
            <w:r>
              <w:rPr>
                <w:rFonts w:hint="eastAsia" w:ascii="仿宋_GB2312" w:hAnsi="仿宋_GB2312" w:eastAsia="仿宋_GB2312" w:cs="仿宋_GB2312"/>
                <w:color w:val="000000"/>
                <w:sz w:val="20"/>
                <w:szCs w:val="20"/>
                <w:highlight w:val="none"/>
              </w:rPr>
              <w:t>亮化设施功率4008.2</w:t>
            </w:r>
            <w:r>
              <w:rPr>
                <w:rFonts w:hint="eastAsia" w:ascii="仿宋_GB2312" w:hAnsi="仿宋_GB2312" w:eastAsia="仿宋_GB2312" w:cs="仿宋_GB2312"/>
                <w:color w:val="000000"/>
                <w:sz w:val="20"/>
                <w:szCs w:val="20"/>
                <w:highlight w:val="none"/>
                <w:lang w:val="en-US" w:eastAsia="zh-CN"/>
              </w:rPr>
              <w:t>6</w:t>
            </w:r>
            <w:r>
              <w:rPr>
                <w:rFonts w:hint="eastAsia" w:ascii="仿宋_GB2312" w:hAnsi="仿宋_GB2312" w:eastAsia="仿宋_GB2312" w:cs="仿宋_GB2312"/>
                <w:color w:val="000000"/>
                <w:sz w:val="20"/>
                <w:szCs w:val="20"/>
                <w:highlight w:val="none"/>
              </w:rPr>
              <w:t>KW</w:t>
            </w:r>
          </w:p>
        </w:tc>
        <w:tc>
          <w:tcPr>
            <w:tcW w:w="811" w:type="dxa"/>
            <w:noWrap w:val="0"/>
            <w:vAlign w:val="center"/>
          </w:tcPr>
          <w:p w14:paraId="291B40E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802" w:type="dxa"/>
            <w:noWrap w:val="0"/>
            <w:vAlign w:val="center"/>
          </w:tcPr>
          <w:p w14:paraId="1BAC882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4</w:t>
            </w:r>
          </w:p>
        </w:tc>
        <w:tc>
          <w:tcPr>
            <w:tcW w:w="1437" w:type="dxa"/>
            <w:noWrap w:val="0"/>
            <w:vAlign w:val="center"/>
          </w:tcPr>
          <w:p w14:paraId="5E60BE0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6E2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6C5490F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327F495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restart"/>
            <w:noWrap w:val="0"/>
            <w:vAlign w:val="center"/>
          </w:tcPr>
          <w:p w14:paraId="1A1E59A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01" w:type="dxa"/>
            <w:noWrap w:val="0"/>
            <w:vAlign w:val="center"/>
          </w:tcPr>
          <w:p w14:paraId="15EFA6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路灯及公用亮化设施完好率</w:t>
            </w:r>
          </w:p>
        </w:tc>
        <w:tc>
          <w:tcPr>
            <w:tcW w:w="1216" w:type="dxa"/>
            <w:noWrap w:val="0"/>
            <w:vAlign w:val="center"/>
          </w:tcPr>
          <w:p w14:paraId="33819A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98%以上</w:t>
            </w:r>
          </w:p>
        </w:tc>
        <w:tc>
          <w:tcPr>
            <w:tcW w:w="1216" w:type="dxa"/>
            <w:noWrap w:val="0"/>
            <w:vAlign w:val="center"/>
          </w:tcPr>
          <w:p w14:paraId="63CFEF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99%以上</w:t>
            </w:r>
          </w:p>
        </w:tc>
        <w:tc>
          <w:tcPr>
            <w:tcW w:w="811" w:type="dxa"/>
            <w:noWrap w:val="0"/>
            <w:vAlign w:val="center"/>
          </w:tcPr>
          <w:p w14:paraId="1C8CA6C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02" w:type="dxa"/>
            <w:noWrap w:val="0"/>
            <w:vAlign w:val="center"/>
          </w:tcPr>
          <w:p w14:paraId="7E73300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37" w:type="dxa"/>
            <w:noWrap w:val="0"/>
            <w:vAlign w:val="center"/>
          </w:tcPr>
          <w:p w14:paraId="5BCE8B8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C72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54" w:type="dxa"/>
            <w:vMerge w:val="continue"/>
            <w:noWrap w:val="0"/>
            <w:vAlign w:val="center"/>
          </w:tcPr>
          <w:p w14:paraId="110FC6A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7C1C76F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continue"/>
            <w:noWrap w:val="0"/>
            <w:vAlign w:val="center"/>
          </w:tcPr>
          <w:p w14:paraId="1E91A7B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01" w:type="dxa"/>
            <w:noWrap w:val="0"/>
            <w:vAlign w:val="center"/>
          </w:tcPr>
          <w:p w14:paraId="7791DF95">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亮灯率</w:t>
            </w:r>
          </w:p>
        </w:tc>
        <w:tc>
          <w:tcPr>
            <w:tcW w:w="1216" w:type="dxa"/>
            <w:noWrap w:val="0"/>
            <w:vAlign w:val="center"/>
          </w:tcPr>
          <w:p w14:paraId="2AC7DF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路灯亮灯率达98%，景观亮化达96%</w:t>
            </w:r>
          </w:p>
        </w:tc>
        <w:tc>
          <w:tcPr>
            <w:tcW w:w="1216" w:type="dxa"/>
            <w:noWrap w:val="0"/>
            <w:vAlign w:val="center"/>
          </w:tcPr>
          <w:p w14:paraId="730B9A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均在98%以上</w:t>
            </w:r>
          </w:p>
        </w:tc>
        <w:tc>
          <w:tcPr>
            <w:tcW w:w="811" w:type="dxa"/>
            <w:noWrap w:val="0"/>
            <w:vAlign w:val="center"/>
          </w:tcPr>
          <w:p w14:paraId="139BE91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802" w:type="dxa"/>
            <w:noWrap w:val="0"/>
            <w:vAlign w:val="center"/>
          </w:tcPr>
          <w:p w14:paraId="5994ECA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6</w:t>
            </w:r>
          </w:p>
        </w:tc>
        <w:tc>
          <w:tcPr>
            <w:tcW w:w="1437" w:type="dxa"/>
            <w:noWrap w:val="0"/>
            <w:vAlign w:val="center"/>
          </w:tcPr>
          <w:p w14:paraId="34AB840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F0F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54" w:type="dxa"/>
            <w:vMerge w:val="continue"/>
            <w:noWrap w:val="0"/>
            <w:vAlign w:val="center"/>
          </w:tcPr>
          <w:p w14:paraId="38A32F5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5148831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continue"/>
            <w:noWrap w:val="0"/>
            <w:vAlign w:val="center"/>
          </w:tcPr>
          <w:p w14:paraId="34DA6F6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01" w:type="dxa"/>
            <w:noWrap w:val="0"/>
            <w:vAlign w:val="center"/>
          </w:tcPr>
          <w:p w14:paraId="653DE1A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综合考评</w:t>
            </w:r>
          </w:p>
        </w:tc>
        <w:tc>
          <w:tcPr>
            <w:tcW w:w="1216" w:type="dxa"/>
            <w:noWrap w:val="0"/>
            <w:vAlign w:val="center"/>
          </w:tcPr>
          <w:p w14:paraId="622061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合格</w:t>
            </w:r>
          </w:p>
        </w:tc>
        <w:tc>
          <w:tcPr>
            <w:tcW w:w="1216" w:type="dxa"/>
            <w:noWrap w:val="0"/>
            <w:vAlign w:val="center"/>
          </w:tcPr>
          <w:p w14:paraId="6CD198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合格</w:t>
            </w:r>
          </w:p>
        </w:tc>
        <w:tc>
          <w:tcPr>
            <w:tcW w:w="811" w:type="dxa"/>
            <w:noWrap w:val="0"/>
            <w:vAlign w:val="center"/>
          </w:tcPr>
          <w:p w14:paraId="1217FC2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02" w:type="dxa"/>
            <w:noWrap w:val="0"/>
            <w:vAlign w:val="center"/>
          </w:tcPr>
          <w:p w14:paraId="5930067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7" w:type="dxa"/>
            <w:noWrap w:val="0"/>
            <w:vAlign w:val="center"/>
          </w:tcPr>
          <w:p w14:paraId="7C0B208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245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6723549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5298F39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restart"/>
            <w:noWrap w:val="0"/>
            <w:vAlign w:val="center"/>
          </w:tcPr>
          <w:p w14:paraId="1842DC6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01" w:type="dxa"/>
            <w:noWrap w:val="0"/>
            <w:vAlign w:val="center"/>
          </w:tcPr>
          <w:p w14:paraId="6201A7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按照计划和进度完成本年度维护管理工作</w:t>
            </w:r>
          </w:p>
        </w:tc>
        <w:tc>
          <w:tcPr>
            <w:tcW w:w="1216" w:type="dxa"/>
            <w:noWrap w:val="0"/>
            <w:vAlign w:val="center"/>
          </w:tcPr>
          <w:p w14:paraId="02DC2E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2025年12月31日前</w:t>
            </w:r>
          </w:p>
        </w:tc>
        <w:tc>
          <w:tcPr>
            <w:tcW w:w="1216" w:type="dxa"/>
            <w:noWrap w:val="0"/>
            <w:vAlign w:val="center"/>
          </w:tcPr>
          <w:p w14:paraId="300784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均如期完成</w:t>
            </w:r>
          </w:p>
        </w:tc>
        <w:tc>
          <w:tcPr>
            <w:tcW w:w="811" w:type="dxa"/>
            <w:noWrap w:val="0"/>
            <w:vAlign w:val="center"/>
          </w:tcPr>
          <w:p w14:paraId="5FAF43F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02" w:type="dxa"/>
            <w:noWrap w:val="0"/>
            <w:vAlign w:val="center"/>
          </w:tcPr>
          <w:p w14:paraId="44A4006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7" w:type="dxa"/>
            <w:noWrap w:val="0"/>
            <w:vAlign w:val="center"/>
          </w:tcPr>
          <w:p w14:paraId="1D91625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0DB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1930C1D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1536BBD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continue"/>
            <w:noWrap w:val="0"/>
            <w:vAlign w:val="center"/>
          </w:tcPr>
          <w:p w14:paraId="17D513E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01" w:type="dxa"/>
            <w:noWrap w:val="0"/>
            <w:vAlign w:val="center"/>
          </w:tcPr>
          <w:p w14:paraId="3000F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平台反馈维护信息</w:t>
            </w:r>
          </w:p>
        </w:tc>
        <w:tc>
          <w:tcPr>
            <w:tcW w:w="1216" w:type="dxa"/>
            <w:noWrap w:val="0"/>
            <w:vAlign w:val="center"/>
          </w:tcPr>
          <w:p w14:paraId="0EA32A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及时处置</w:t>
            </w:r>
          </w:p>
        </w:tc>
        <w:tc>
          <w:tcPr>
            <w:tcW w:w="1216" w:type="dxa"/>
            <w:noWrap w:val="0"/>
            <w:vAlign w:val="center"/>
          </w:tcPr>
          <w:p w14:paraId="50426F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均及时完成</w:t>
            </w:r>
          </w:p>
        </w:tc>
        <w:tc>
          <w:tcPr>
            <w:tcW w:w="811" w:type="dxa"/>
            <w:noWrap w:val="0"/>
            <w:vAlign w:val="center"/>
          </w:tcPr>
          <w:p w14:paraId="2E2EB2D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802" w:type="dxa"/>
            <w:noWrap w:val="0"/>
            <w:vAlign w:val="center"/>
          </w:tcPr>
          <w:p w14:paraId="5ACF02E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437" w:type="dxa"/>
            <w:noWrap w:val="0"/>
            <w:vAlign w:val="center"/>
          </w:tcPr>
          <w:p w14:paraId="58D1FD0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DE4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4" w:type="dxa"/>
            <w:vMerge w:val="continue"/>
            <w:noWrap w:val="0"/>
            <w:vAlign w:val="center"/>
          </w:tcPr>
          <w:p w14:paraId="39B78D9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375936D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restart"/>
            <w:noWrap w:val="0"/>
            <w:vAlign w:val="center"/>
          </w:tcPr>
          <w:p w14:paraId="2D6B9AD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01" w:type="dxa"/>
            <w:noWrap w:val="0"/>
            <w:vAlign w:val="center"/>
          </w:tcPr>
          <w:p w14:paraId="7B8223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kern w:val="0"/>
                <w:sz w:val="20"/>
                <w:szCs w:val="20"/>
                <w:lang w:val="en-US" w:eastAsia="zh-CN" w:bidi="ar-SA"/>
              </w:rPr>
              <w:t>项目实施成本</w:t>
            </w:r>
          </w:p>
        </w:tc>
        <w:tc>
          <w:tcPr>
            <w:tcW w:w="1216" w:type="dxa"/>
            <w:noWrap w:val="0"/>
            <w:vAlign w:val="center"/>
          </w:tcPr>
          <w:p w14:paraId="165628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kern w:val="0"/>
                <w:sz w:val="20"/>
                <w:szCs w:val="20"/>
                <w:lang w:val="en-US" w:eastAsia="zh-CN" w:bidi="ar-SA"/>
              </w:rPr>
              <w:t>年度预算金额</w:t>
            </w:r>
            <w:r>
              <w:rPr>
                <w:rFonts w:hint="default" w:ascii="仿宋_GB2312" w:hAnsi="仿宋_GB2312" w:eastAsia="仿宋_GB2312" w:cs="仿宋_GB2312"/>
                <w:color w:val="000000"/>
                <w:kern w:val="0"/>
                <w:sz w:val="20"/>
                <w:szCs w:val="20"/>
                <w:lang w:val="en-US" w:eastAsia="zh-CN" w:bidi="ar-SA"/>
              </w:rPr>
              <w:t>2689</w:t>
            </w:r>
            <w:r>
              <w:rPr>
                <w:rFonts w:hint="eastAsia" w:ascii="仿宋_GB2312" w:hAnsi="仿宋_GB2312" w:eastAsia="仿宋_GB2312" w:cs="仿宋_GB2312"/>
                <w:color w:val="000000"/>
                <w:kern w:val="0"/>
                <w:sz w:val="20"/>
                <w:szCs w:val="20"/>
                <w:lang w:val="en-US" w:eastAsia="zh-CN" w:bidi="ar-SA"/>
              </w:rPr>
              <w:t>万元内</w:t>
            </w:r>
          </w:p>
        </w:tc>
        <w:tc>
          <w:tcPr>
            <w:tcW w:w="1216" w:type="dxa"/>
            <w:noWrap w:val="0"/>
            <w:vAlign w:val="center"/>
          </w:tcPr>
          <w:p w14:paraId="3C3C18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kern w:val="0"/>
                <w:sz w:val="20"/>
                <w:szCs w:val="20"/>
                <w:lang w:val="en-US" w:eastAsia="zh-CN" w:bidi="ar-SA"/>
              </w:rPr>
              <w:t>未超预算</w:t>
            </w:r>
          </w:p>
        </w:tc>
        <w:tc>
          <w:tcPr>
            <w:tcW w:w="811" w:type="dxa"/>
            <w:noWrap w:val="0"/>
            <w:vAlign w:val="center"/>
          </w:tcPr>
          <w:p w14:paraId="003C1BC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02" w:type="dxa"/>
            <w:noWrap w:val="0"/>
            <w:vAlign w:val="center"/>
          </w:tcPr>
          <w:p w14:paraId="3F26E60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37" w:type="dxa"/>
            <w:noWrap w:val="0"/>
            <w:vAlign w:val="center"/>
          </w:tcPr>
          <w:p w14:paraId="5759F7C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440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7C63CB6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235CE49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continue"/>
            <w:noWrap w:val="0"/>
            <w:vAlign w:val="center"/>
          </w:tcPr>
          <w:p w14:paraId="540B67B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201" w:type="dxa"/>
            <w:noWrap w:val="0"/>
            <w:vAlign w:val="center"/>
          </w:tcPr>
          <w:p w14:paraId="4D274527">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对社会造成</w:t>
            </w:r>
            <w:r>
              <w:rPr>
                <w:rFonts w:hint="eastAsia" w:ascii="仿宋_GB2312" w:hAnsi="仿宋_GB2312" w:eastAsia="仿宋_GB2312" w:cs="仿宋_GB2312"/>
                <w:color w:val="000000"/>
                <w:sz w:val="20"/>
                <w:szCs w:val="20"/>
                <w:highlight w:val="none"/>
                <w:lang w:val="en-US" w:eastAsia="zh-CN"/>
              </w:rPr>
              <w:t>负面</w:t>
            </w:r>
            <w:r>
              <w:rPr>
                <w:rFonts w:hint="eastAsia" w:ascii="仿宋_GB2312" w:hAnsi="仿宋_GB2312" w:eastAsia="仿宋_GB2312" w:cs="仿宋_GB2312"/>
                <w:color w:val="000000"/>
                <w:sz w:val="20"/>
                <w:szCs w:val="20"/>
                <w:highlight w:val="none"/>
              </w:rPr>
              <w:t>影响</w:t>
            </w:r>
          </w:p>
        </w:tc>
        <w:tc>
          <w:tcPr>
            <w:tcW w:w="1216" w:type="dxa"/>
            <w:noWrap w:val="0"/>
            <w:vAlign w:val="center"/>
          </w:tcPr>
          <w:p w14:paraId="79E7C6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1216" w:type="dxa"/>
            <w:noWrap w:val="0"/>
            <w:vAlign w:val="center"/>
          </w:tcPr>
          <w:p w14:paraId="1E0DF2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811" w:type="dxa"/>
            <w:noWrap w:val="0"/>
            <w:vAlign w:val="center"/>
          </w:tcPr>
          <w:p w14:paraId="694D082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802" w:type="dxa"/>
            <w:noWrap w:val="0"/>
            <w:vAlign w:val="center"/>
          </w:tcPr>
          <w:p w14:paraId="1658F8E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437" w:type="dxa"/>
            <w:noWrap w:val="0"/>
            <w:vAlign w:val="center"/>
          </w:tcPr>
          <w:p w14:paraId="713EA76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2DC3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5A580C8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1805ECE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continue"/>
            <w:noWrap w:val="0"/>
            <w:vAlign w:val="center"/>
          </w:tcPr>
          <w:p w14:paraId="46DA473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201" w:type="dxa"/>
            <w:noWrap w:val="0"/>
            <w:vAlign w:val="center"/>
          </w:tcPr>
          <w:p w14:paraId="43BCA142">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w:t>
            </w:r>
            <w:r>
              <w:rPr>
                <w:rFonts w:hint="eastAsia" w:ascii="仿宋_GB2312" w:hAnsi="仿宋_GB2312" w:eastAsia="仿宋_GB2312" w:cs="仿宋_GB2312"/>
                <w:color w:val="000000"/>
                <w:sz w:val="20"/>
                <w:szCs w:val="20"/>
                <w:highlight w:val="none"/>
                <w:lang w:val="en-US" w:eastAsia="zh-CN"/>
              </w:rPr>
              <w:t>生态环境</w:t>
            </w:r>
            <w:r>
              <w:rPr>
                <w:rFonts w:hint="eastAsia" w:ascii="仿宋_GB2312" w:hAnsi="仿宋_GB2312" w:eastAsia="仿宋_GB2312" w:cs="仿宋_GB2312"/>
                <w:color w:val="000000"/>
                <w:sz w:val="20"/>
                <w:szCs w:val="20"/>
                <w:highlight w:val="none"/>
              </w:rPr>
              <w:t>造成</w:t>
            </w:r>
            <w:r>
              <w:rPr>
                <w:rFonts w:hint="eastAsia" w:ascii="仿宋_GB2312" w:hAnsi="仿宋_GB2312" w:eastAsia="仿宋_GB2312" w:cs="仿宋_GB2312"/>
                <w:color w:val="000000"/>
                <w:sz w:val="20"/>
                <w:szCs w:val="20"/>
                <w:highlight w:val="none"/>
                <w:lang w:val="en-US" w:eastAsia="zh-CN"/>
              </w:rPr>
              <w:t>负面</w:t>
            </w:r>
            <w:r>
              <w:rPr>
                <w:rFonts w:hint="eastAsia" w:ascii="仿宋_GB2312" w:hAnsi="仿宋_GB2312" w:eastAsia="仿宋_GB2312" w:cs="仿宋_GB2312"/>
                <w:color w:val="000000"/>
                <w:sz w:val="20"/>
                <w:szCs w:val="20"/>
                <w:highlight w:val="none"/>
              </w:rPr>
              <w:t>影响</w:t>
            </w:r>
          </w:p>
        </w:tc>
        <w:tc>
          <w:tcPr>
            <w:tcW w:w="1216" w:type="dxa"/>
            <w:noWrap w:val="0"/>
            <w:vAlign w:val="center"/>
          </w:tcPr>
          <w:p w14:paraId="7BCC4D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1216" w:type="dxa"/>
            <w:noWrap w:val="0"/>
            <w:vAlign w:val="center"/>
          </w:tcPr>
          <w:p w14:paraId="164BE8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811" w:type="dxa"/>
            <w:noWrap w:val="0"/>
            <w:vAlign w:val="center"/>
          </w:tcPr>
          <w:p w14:paraId="50663F7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2</w:t>
            </w:r>
          </w:p>
        </w:tc>
        <w:tc>
          <w:tcPr>
            <w:tcW w:w="802" w:type="dxa"/>
            <w:noWrap w:val="0"/>
            <w:vAlign w:val="center"/>
          </w:tcPr>
          <w:p w14:paraId="6C1288A4">
            <w:pPr>
              <w:keepNext w:val="0"/>
              <w:keepLines w:val="0"/>
              <w:pageBreakBefore w:val="0"/>
              <w:widowControl/>
              <w:kinsoku/>
              <w:wordWrap/>
              <w:overflowPunct/>
              <w:topLinePunct w:val="0"/>
              <w:autoSpaceDE/>
              <w:autoSpaceDN/>
              <w:bidi w:val="0"/>
              <w:adjustRightInd/>
              <w:snapToGrid/>
              <w:spacing w:line="360" w:lineRule="exact"/>
              <w:ind w:firstLine="200" w:firstLineChars="100"/>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2</w:t>
            </w:r>
          </w:p>
        </w:tc>
        <w:tc>
          <w:tcPr>
            <w:tcW w:w="1437" w:type="dxa"/>
            <w:noWrap w:val="0"/>
            <w:vAlign w:val="center"/>
          </w:tcPr>
          <w:p w14:paraId="1988616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381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5965D1C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restart"/>
            <w:noWrap w:val="0"/>
            <w:vAlign w:val="center"/>
          </w:tcPr>
          <w:p w14:paraId="3F4E3DD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0B17FF0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p w14:paraId="3999C00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75D162B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50" w:type="dxa"/>
            <w:noWrap w:val="0"/>
            <w:vAlign w:val="center"/>
          </w:tcPr>
          <w:p w14:paraId="021FF01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经济效</w:t>
            </w:r>
          </w:p>
          <w:p w14:paraId="32AF85E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01" w:type="dxa"/>
            <w:noWrap w:val="0"/>
            <w:vAlign w:val="center"/>
          </w:tcPr>
          <w:p w14:paraId="112398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kern w:val="0"/>
                <w:sz w:val="20"/>
                <w:szCs w:val="20"/>
                <w:lang w:val="en-US" w:eastAsia="zh-CN" w:bidi="ar-SA"/>
              </w:rPr>
              <w:t>及时维护，减少次生维护成本。</w:t>
            </w:r>
          </w:p>
        </w:tc>
        <w:tc>
          <w:tcPr>
            <w:tcW w:w="1216" w:type="dxa"/>
            <w:noWrap w:val="0"/>
            <w:vAlign w:val="center"/>
          </w:tcPr>
          <w:p w14:paraId="6D317B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kern w:val="0"/>
                <w:sz w:val="20"/>
                <w:szCs w:val="20"/>
                <w:lang w:val="en-US" w:eastAsia="zh-CN" w:bidi="ar-SA"/>
              </w:rPr>
              <w:t>有效控制维护成本</w:t>
            </w:r>
          </w:p>
        </w:tc>
        <w:tc>
          <w:tcPr>
            <w:tcW w:w="1216" w:type="dxa"/>
            <w:noWrap w:val="0"/>
            <w:vAlign w:val="center"/>
          </w:tcPr>
          <w:p w14:paraId="0B06A7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维护成本得到有效控制</w:t>
            </w:r>
          </w:p>
        </w:tc>
        <w:tc>
          <w:tcPr>
            <w:tcW w:w="811" w:type="dxa"/>
            <w:noWrap w:val="0"/>
            <w:vAlign w:val="center"/>
          </w:tcPr>
          <w:p w14:paraId="576C0DF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02" w:type="dxa"/>
            <w:noWrap w:val="0"/>
            <w:vAlign w:val="center"/>
          </w:tcPr>
          <w:p w14:paraId="05B4B77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37" w:type="dxa"/>
            <w:noWrap w:val="0"/>
            <w:vAlign w:val="center"/>
          </w:tcPr>
          <w:p w14:paraId="793BD8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本项目为公益项目，</w:t>
            </w:r>
            <w:r>
              <w:rPr>
                <w:rFonts w:hint="eastAsia" w:ascii="仿宋_GB2312" w:hAnsi="仿宋_GB2312" w:eastAsia="仿宋_GB2312" w:cs="仿宋_GB2312"/>
                <w:color w:val="000000"/>
                <w:sz w:val="20"/>
                <w:szCs w:val="20"/>
                <w:highlight w:val="none"/>
                <w:lang w:eastAsia="zh-CN"/>
              </w:rPr>
              <w:t>无直接经济收益。</w:t>
            </w:r>
          </w:p>
        </w:tc>
      </w:tr>
      <w:tr w14:paraId="468F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054" w:type="dxa"/>
            <w:vMerge w:val="continue"/>
            <w:noWrap w:val="0"/>
            <w:vAlign w:val="center"/>
          </w:tcPr>
          <w:p w14:paraId="4E45D9E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5199B09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restart"/>
            <w:noWrap w:val="0"/>
            <w:vAlign w:val="center"/>
          </w:tcPr>
          <w:p w14:paraId="6293BDD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053748C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01" w:type="dxa"/>
            <w:noWrap w:val="0"/>
            <w:vAlign w:val="center"/>
          </w:tcPr>
          <w:p w14:paraId="4E49CB3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城区路灯及公用亮化设施正常运行</w:t>
            </w:r>
          </w:p>
        </w:tc>
        <w:tc>
          <w:tcPr>
            <w:tcW w:w="1216" w:type="dxa"/>
            <w:noWrap w:val="0"/>
            <w:vAlign w:val="center"/>
          </w:tcPr>
          <w:p w14:paraId="511E37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保障城区路灯及公用亮化设施正常运行</w:t>
            </w:r>
          </w:p>
        </w:tc>
        <w:tc>
          <w:tcPr>
            <w:tcW w:w="1216" w:type="dxa"/>
            <w:noWrap w:val="0"/>
            <w:vAlign w:val="center"/>
          </w:tcPr>
          <w:p w14:paraId="66A60C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lang w:eastAsia="zh-CN"/>
              </w:rPr>
              <w:t>全年</w:t>
            </w:r>
            <w:r>
              <w:rPr>
                <w:rFonts w:hint="eastAsia" w:ascii="仿宋_GB2312" w:hAnsi="仿宋_GB2312" w:eastAsia="仿宋_GB2312" w:cs="仿宋_GB2312"/>
                <w:color w:val="000000"/>
                <w:sz w:val="20"/>
                <w:szCs w:val="20"/>
              </w:rPr>
              <w:t>城区路灯及公用亮化设施正常运行</w:t>
            </w:r>
          </w:p>
        </w:tc>
        <w:tc>
          <w:tcPr>
            <w:tcW w:w="811" w:type="dxa"/>
            <w:noWrap w:val="0"/>
            <w:vAlign w:val="center"/>
          </w:tcPr>
          <w:p w14:paraId="0A14C01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02" w:type="dxa"/>
            <w:noWrap w:val="0"/>
            <w:vAlign w:val="center"/>
          </w:tcPr>
          <w:p w14:paraId="18BE426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37" w:type="dxa"/>
            <w:noWrap w:val="0"/>
            <w:vAlign w:val="center"/>
          </w:tcPr>
          <w:p w14:paraId="54E15E8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33A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2BE0147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4C641F9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vMerge w:val="continue"/>
            <w:noWrap w:val="0"/>
            <w:vAlign w:val="center"/>
          </w:tcPr>
          <w:p w14:paraId="463F9E0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201" w:type="dxa"/>
            <w:noWrap w:val="0"/>
            <w:vAlign w:val="center"/>
          </w:tcPr>
          <w:p w14:paraId="1CD833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改善城市夜间出行环境</w:t>
            </w:r>
          </w:p>
        </w:tc>
        <w:tc>
          <w:tcPr>
            <w:tcW w:w="1216" w:type="dxa"/>
            <w:noWrap w:val="0"/>
            <w:vAlign w:val="center"/>
          </w:tcPr>
          <w:p w14:paraId="43BE32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改善城市夜间出行环境</w:t>
            </w:r>
          </w:p>
        </w:tc>
        <w:tc>
          <w:tcPr>
            <w:tcW w:w="1216" w:type="dxa"/>
            <w:noWrap w:val="0"/>
            <w:vAlign w:val="center"/>
          </w:tcPr>
          <w:p w14:paraId="3C4806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有效改善了城市夜间出行环境</w:t>
            </w:r>
          </w:p>
        </w:tc>
        <w:tc>
          <w:tcPr>
            <w:tcW w:w="811" w:type="dxa"/>
            <w:noWrap w:val="0"/>
            <w:vAlign w:val="center"/>
          </w:tcPr>
          <w:p w14:paraId="4551381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02" w:type="dxa"/>
            <w:noWrap w:val="0"/>
            <w:vAlign w:val="center"/>
          </w:tcPr>
          <w:p w14:paraId="0F98186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37" w:type="dxa"/>
            <w:noWrap w:val="0"/>
            <w:vAlign w:val="center"/>
          </w:tcPr>
          <w:p w14:paraId="0092605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6E6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7972B42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7726EBD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noWrap w:val="0"/>
            <w:vAlign w:val="center"/>
          </w:tcPr>
          <w:p w14:paraId="13DD401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4F66E93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01" w:type="dxa"/>
            <w:noWrap w:val="0"/>
            <w:vAlign w:val="center"/>
          </w:tcPr>
          <w:p w14:paraId="4F9BED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推动路灯节能改造</w:t>
            </w:r>
          </w:p>
        </w:tc>
        <w:tc>
          <w:tcPr>
            <w:tcW w:w="1216" w:type="dxa"/>
            <w:noWrap w:val="0"/>
            <w:vAlign w:val="center"/>
          </w:tcPr>
          <w:p w14:paraId="65FA54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推动路灯节能改造，节约能源，建设生态绿色城市。</w:t>
            </w:r>
          </w:p>
        </w:tc>
        <w:tc>
          <w:tcPr>
            <w:tcW w:w="1216" w:type="dxa"/>
            <w:noWrap w:val="0"/>
            <w:vAlign w:val="center"/>
          </w:tcPr>
          <w:p w14:paraId="59FFCF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路灯节能改造</w:t>
            </w:r>
            <w:r>
              <w:rPr>
                <w:rFonts w:hint="eastAsia" w:ascii="仿宋_GB2312" w:hAnsi="仿宋_GB2312" w:eastAsia="仿宋_GB2312" w:cs="仿宋_GB2312"/>
                <w:color w:val="000000"/>
                <w:sz w:val="20"/>
                <w:szCs w:val="20"/>
                <w:lang w:eastAsia="zh-CN"/>
              </w:rPr>
              <w:t>工作有序推进</w:t>
            </w:r>
          </w:p>
        </w:tc>
        <w:tc>
          <w:tcPr>
            <w:tcW w:w="811" w:type="dxa"/>
            <w:noWrap w:val="0"/>
            <w:vAlign w:val="center"/>
          </w:tcPr>
          <w:p w14:paraId="179722A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02" w:type="dxa"/>
            <w:noWrap w:val="0"/>
            <w:vAlign w:val="center"/>
          </w:tcPr>
          <w:p w14:paraId="5D942CC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eastAsia="zh-CN"/>
              </w:rPr>
              <w:t>5</w:t>
            </w:r>
          </w:p>
        </w:tc>
        <w:tc>
          <w:tcPr>
            <w:tcW w:w="1437" w:type="dxa"/>
            <w:noWrap w:val="0"/>
            <w:vAlign w:val="center"/>
          </w:tcPr>
          <w:p w14:paraId="1F5C29A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eastAsia="zh-CN"/>
              </w:rPr>
            </w:pPr>
            <w:r>
              <w:rPr>
                <w:rFonts w:hint="eastAsia" w:ascii="仿宋_GB2312" w:hAnsi="仿宋_GB2312" w:eastAsia="仿宋_GB2312" w:cs="仿宋_GB2312"/>
                <w:color w:val="000000"/>
                <w:sz w:val="20"/>
                <w:szCs w:val="20"/>
                <w:highlight w:val="none"/>
                <w:lang w:eastAsia="zh-CN"/>
              </w:rPr>
              <w:t>节能灯具更新进程有待加快</w:t>
            </w:r>
          </w:p>
        </w:tc>
      </w:tr>
      <w:tr w14:paraId="5F52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4" w:type="dxa"/>
            <w:vMerge w:val="continue"/>
            <w:noWrap w:val="0"/>
            <w:vAlign w:val="center"/>
          </w:tcPr>
          <w:p w14:paraId="0C9CD34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p>
        </w:tc>
        <w:tc>
          <w:tcPr>
            <w:tcW w:w="1064" w:type="dxa"/>
            <w:vMerge w:val="continue"/>
            <w:noWrap w:val="0"/>
            <w:vAlign w:val="center"/>
          </w:tcPr>
          <w:p w14:paraId="0DD89B6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50" w:type="dxa"/>
            <w:noWrap w:val="0"/>
            <w:vAlign w:val="center"/>
          </w:tcPr>
          <w:p w14:paraId="3161B4B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可持续影响指标</w:t>
            </w:r>
          </w:p>
        </w:tc>
        <w:tc>
          <w:tcPr>
            <w:tcW w:w="1201" w:type="dxa"/>
            <w:noWrap w:val="0"/>
            <w:vAlign w:val="center"/>
          </w:tcPr>
          <w:p w14:paraId="4E89C9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间接助力岳阳经济发展，为建设全国文明城市奠定基础</w:t>
            </w:r>
          </w:p>
        </w:tc>
        <w:tc>
          <w:tcPr>
            <w:tcW w:w="1216" w:type="dxa"/>
            <w:noWrap w:val="0"/>
            <w:vAlign w:val="center"/>
          </w:tcPr>
          <w:p w14:paraId="553E3E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间接助力岳阳经济发展，为建设全国文明城市奠定基础</w:t>
            </w:r>
          </w:p>
        </w:tc>
        <w:tc>
          <w:tcPr>
            <w:tcW w:w="1216" w:type="dxa"/>
            <w:noWrap w:val="0"/>
            <w:vAlign w:val="center"/>
          </w:tcPr>
          <w:p w14:paraId="05EAB5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有效助力了岳阳经济发展，为建设全国文明城市贡献了城管力量</w:t>
            </w:r>
          </w:p>
        </w:tc>
        <w:tc>
          <w:tcPr>
            <w:tcW w:w="811" w:type="dxa"/>
            <w:noWrap w:val="0"/>
            <w:vAlign w:val="center"/>
          </w:tcPr>
          <w:p w14:paraId="4AF9D74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802" w:type="dxa"/>
            <w:noWrap w:val="0"/>
            <w:vAlign w:val="center"/>
          </w:tcPr>
          <w:p w14:paraId="677DDA5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437" w:type="dxa"/>
            <w:noWrap w:val="0"/>
            <w:vAlign w:val="center"/>
          </w:tcPr>
          <w:p w14:paraId="44A65E1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B8B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4" w:type="dxa"/>
            <w:vMerge w:val="continue"/>
            <w:noWrap w:val="0"/>
            <w:vAlign w:val="center"/>
          </w:tcPr>
          <w:p w14:paraId="74C14A3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p>
        </w:tc>
        <w:tc>
          <w:tcPr>
            <w:tcW w:w="1064" w:type="dxa"/>
            <w:noWrap w:val="0"/>
            <w:vAlign w:val="center"/>
          </w:tcPr>
          <w:p w14:paraId="66AF256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D615A1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18F2708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50" w:type="dxa"/>
            <w:noWrap w:val="0"/>
            <w:vAlign w:val="center"/>
          </w:tcPr>
          <w:p w14:paraId="3442893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服务对象满意度指标</w:t>
            </w:r>
          </w:p>
        </w:tc>
        <w:tc>
          <w:tcPr>
            <w:tcW w:w="1201" w:type="dxa"/>
            <w:noWrap w:val="0"/>
            <w:vAlign w:val="center"/>
          </w:tcPr>
          <w:p w14:paraId="467DA08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市民</w:t>
            </w:r>
            <w:r>
              <w:rPr>
                <w:rFonts w:hint="eastAsia" w:ascii="仿宋_GB2312" w:hAnsi="仿宋_GB2312" w:eastAsia="仿宋_GB2312" w:cs="仿宋_GB2312"/>
                <w:color w:val="000000"/>
                <w:sz w:val="20"/>
                <w:szCs w:val="20"/>
              </w:rPr>
              <w:t>满意度</w:t>
            </w:r>
          </w:p>
        </w:tc>
        <w:tc>
          <w:tcPr>
            <w:tcW w:w="1216" w:type="dxa"/>
            <w:noWrap w:val="0"/>
            <w:vAlign w:val="center"/>
          </w:tcPr>
          <w:p w14:paraId="26BB76A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　9</w:t>
            </w:r>
            <w:r>
              <w:rPr>
                <w:rFonts w:hint="eastAsia" w:ascii="仿宋_GB2312" w:hAnsi="仿宋_GB2312" w:eastAsia="仿宋_GB2312" w:cs="仿宋_GB2312"/>
                <w:color w:val="000000"/>
                <w:sz w:val="20"/>
                <w:szCs w:val="20"/>
                <w:lang w:val="en-US" w:eastAsia="zh-CN"/>
              </w:rPr>
              <w:t>5</w:t>
            </w:r>
            <w:r>
              <w:rPr>
                <w:rFonts w:hint="eastAsia" w:ascii="仿宋_GB2312" w:hAnsi="仿宋_GB2312" w:eastAsia="仿宋_GB2312" w:cs="仿宋_GB2312"/>
                <w:color w:val="000000"/>
                <w:sz w:val="20"/>
                <w:szCs w:val="20"/>
              </w:rPr>
              <w:t>%</w:t>
            </w:r>
          </w:p>
        </w:tc>
        <w:tc>
          <w:tcPr>
            <w:tcW w:w="1216" w:type="dxa"/>
            <w:noWrap w:val="0"/>
            <w:vAlign w:val="center"/>
          </w:tcPr>
          <w:p w14:paraId="411EDAE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　</w:t>
            </w:r>
            <w:r>
              <w:rPr>
                <w:rFonts w:hint="eastAsia" w:ascii="仿宋_GB2312" w:hAnsi="仿宋_GB2312" w:eastAsia="仿宋_GB2312" w:cs="仿宋_GB2312"/>
                <w:color w:val="000000"/>
                <w:sz w:val="20"/>
                <w:szCs w:val="20"/>
                <w:lang w:val="en-US" w:eastAsia="zh-CN"/>
              </w:rPr>
              <w:t>96%</w:t>
            </w:r>
          </w:p>
        </w:tc>
        <w:tc>
          <w:tcPr>
            <w:tcW w:w="811" w:type="dxa"/>
            <w:noWrap w:val="0"/>
            <w:vAlign w:val="center"/>
          </w:tcPr>
          <w:p w14:paraId="6561AB7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802" w:type="dxa"/>
            <w:noWrap w:val="0"/>
            <w:vAlign w:val="center"/>
          </w:tcPr>
          <w:p w14:paraId="6CDCB50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437" w:type="dxa"/>
            <w:noWrap w:val="0"/>
            <w:vAlign w:val="center"/>
          </w:tcPr>
          <w:p w14:paraId="268FE8C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622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801" w:type="dxa"/>
            <w:gridSpan w:val="6"/>
            <w:noWrap w:val="0"/>
            <w:vAlign w:val="center"/>
          </w:tcPr>
          <w:p w14:paraId="52917C4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11" w:type="dxa"/>
            <w:noWrap w:val="0"/>
            <w:vAlign w:val="center"/>
          </w:tcPr>
          <w:p w14:paraId="7CAE8AE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802" w:type="dxa"/>
            <w:noWrap w:val="0"/>
            <w:vAlign w:val="center"/>
          </w:tcPr>
          <w:p w14:paraId="072DBF0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w:t>
            </w:r>
            <w:r>
              <w:rPr>
                <w:rFonts w:hint="default" w:ascii="仿宋_GB2312" w:hAnsi="仿宋_GB2312" w:eastAsia="仿宋_GB2312" w:cs="仿宋_GB2312"/>
                <w:color w:val="000000"/>
                <w:sz w:val="20"/>
                <w:szCs w:val="20"/>
                <w:highlight w:val="none"/>
                <w:lang w:val="en-US" w:eastAsia="zh-CN"/>
              </w:rPr>
              <w:t>9</w:t>
            </w:r>
          </w:p>
        </w:tc>
        <w:tc>
          <w:tcPr>
            <w:tcW w:w="1437" w:type="dxa"/>
            <w:noWrap w:val="0"/>
            <w:vAlign w:val="center"/>
          </w:tcPr>
          <w:p w14:paraId="0DEDBA1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1241C5CA">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sz w:val="18"/>
          <w:szCs w:val="18"/>
          <w:highlight w:val="none"/>
        </w:rPr>
      </w:pPr>
    </w:p>
    <w:p w14:paraId="278B7C09">
      <w:pPr>
        <w:keepNext w:val="0"/>
        <w:keepLines w:val="0"/>
        <w:pageBreakBefore w:val="0"/>
        <w:kinsoku/>
        <w:wordWrap/>
        <w:overflowPunct/>
        <w:topLinePunct w:val="0"/>
        <w:autoSpaceDE/>
        <w:autoSpaceDN/>
        <w:bidi w:val="0"/>
        <w:adjustRightInd/>
        <w:snapToGrid/>
        <w:spacing w:line="360" w:lineRule="exact"/>
        <w:textAlignment w:val="auto"/>
        <w:rPr>
          <w:rFonts w:hint="eastAsia" w:ascii="CESI仿宋-GB2312" w:hAnsi="CESI仿宋-GB2312" w:eastAsia="CESI仿宋-GB2312" w:cs="CESI仿宋-GB2312"/>
          <w:color w:val="auto"/>
          <w:sz w:val="22"/>
          <w:szCs w:val="22"/>
          <w:lang w:eastAsia="zh-CN"/>
        </w:rPr>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lang w:eastAsia="zh-CN"/>
        </w:rPr>
        <w:t>章迪</w:t>
      </w:r>
      <w:r>
        <w:rPr>
          <w:rFonts w:hint="eastAsia" w:ascii="仿宋_GB2312" w:hAnsi="仿宋_GB2312" w:eastAsia="仿宋_GB2312" w:cs="仿宋_GB2312"/>
          <w:sz w:val="22"/>
          <w:szCs w:val="22"/>
        </w:rPr>
        <w:t xml:space="preserve">  </w:t>
      </w:r>
      <w:r>
        <w:rPr>
          <w:rFonts w:hint="eastAsia" w:ascii="仿宋_GB2312" w:hAnsi="仿宋_GB2312" w:eastAsia="仿宋_GB2312" w:cs="仿宋_GB2312"/>
          <w:sz w:val="22"/>
          <w:szCs w:val="22"/>
          <w:lang w:val="en-US" w:eastAsia="zh-CN"/>
        </w:rPr>
        <w:t xml:space="preserve"> </w:t>
      </w:r>
      <w:r>
        <w:rPr>
          <w:rFonts w:hint="eastAsia" w:ascii="仿宋_GB2312" w:hAnsi="仿宋_GB2312" w:eastAsia="仿宋_GB2312" w:cs="仿宋_GB2312"/>
          <w:sz w:val="22"/>
          <w:szCs w:val="22"/>
        </w:rPr>
        <w:t>填报日期：</w:t>
      </w:r>
      <w:r>
        <w:rPr>
          <w:rFonts w:hint="eastAsia" w:ascii="仿宋_GB2312" w:hAnsi="仿宋_GB2312" w:eastAsia="仿宋_GB2312" w:cs="仿宋_GB2312"/>
          <w:sz w:val="22"/>
          <w:szCs w:val="22"/>
          <w:lang w:val="en-US" w:eastAsia="zh-CN"/>
        </w:rPr>
        <w:t xml:space="preserve">2025.6.4  </w:t>
      </w:r>
      <w:r>
        <w:rPr>
          <w:rFonts w:hint="eastAsia" w:ascii="仿宋_GB2312" w:hAnsi="仿宋_GB2312" w:eastAsia="仿宋_GB2312" w:cs="仿宋_GB2312"/>
          <w:sz w:val="22"/>
          <w:szCs w:val="22"/>
        </w:rPr>
        <w:t xml:space="preserve"> 联系电话：</w:t>
      </w:r>
      <w:r>
        <w:rPr>
          <w:rFonts w:hint="eastAsia" w:ascii="仿宋_GB2312" w:hAnsi="仿宋_GB2312" w:eastAsia="仿宋_GB2312" w:cs="仿宋_GB2312"/>
          <w:sz w:val="22"/>
          <w:szCs w:val="22"/>
          <w:lang w:val="en-US" w:eastAsia="zh-CN"/>
        </w:rPr>
        <w:t>8222406</w:t>
      </w:r>
      <w:r>
        <w:rPr>
          <w:rFonts w:hint="eastAsia" w:ascii="仿宋_GB2312" w:hAnsi="仿宋_GB2312" w:eastAsia="仿宋_GB2312" w:cs="仿宋_GB2312"/>
          <w:sz w:val="22"/>
          <w:szCs w:val="22"/>
        </w:rPr>
        <w:t xml:space="preserve">  </w:t>
      </w:r>
      <w:r>
        <w:rPr>
          <w:rFonts w:hint="eastAsia" w:ascii="仿宋_GB2312" w:hAnsi="仿宋_GB2312" w:eastAsia="仿宋_GB2312" w:cs="仿宋_GB2312"/>
          <w:color w:val="auto"/>
          <w:sz w:val="22"/>
          <w:szCs w:val="22"/>
          <w:lang w:val="en-US" w:eastAsia="zh-CN"/>
        </w:rPr>
        <w:t xml:space="preserve"> </w:t>
      </w:r>
      <w:r>
        <w:rPr>
          <w:rFonts w:hint="eastAsia" w:ascii="仿宋_GB2312" w:hAnsi="仿宋_GB2312" w:eastAsia="仿宋_GB2312" w:cs="仿宋_GB2312"/>
          <w:color w:val="auto"/>
          <w:sz w:val="22"/>
          <w:szCs w:val="22"/>
        </w:rPr>
        <w:t>单位负责人</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王玮</w:t>
      </w:r>
    </w:p>
    <w:p w14:paraId="17BC9FE9">
      <w:pPr>
        <w:keepNext w:val="0"/>
        <w:keepLines w:val="0"/>
        <w:pageBreakBefore w:val="0"/>
        <w:widowControl w:val="0"/>
        <w:kinsoku/>
        <w:wordWrap/>
        <w:overflowPunct/>
        <w:topLinePunct w:val="0"/>
        <w:autoSpaceDE/>
        <w:autoSpaceDN/>
        <w:bidi w:val="0"/>
        <w:adjustRightInd/>
        <w:snapToGrid/>
        <w:spacing w:afterLines="0" w:line="360" w:lineRule="exact"/>
        <w:ind w:right="0" w:rightChars="0"/>
        <w:jc w:val="both"/>
        <w:textAlignment w:val="auto"/>
        <w:rPr>
          <w:rFonts w:hint="eastAsia" w:ascii="仿宋_GB2312" w:hAnsi="仿宋_GB2312" w:eastAsia="仿宋_GB2312" w:cs="仿宋_GB2312"/>
          <w:sz w:val="32"/>
          <w:szCs w:val="32"/>
          <w:highlight w:val="none"/>
          <w:lang w:eastAsia="zh-CN"/>
        </w:rPr>
      </w:pPr>
    </w:p>
    <w:p w14:paraId="7FC4250E">
      <w:pPr>
        <w:widowControl/>
        <w:spacing w:line="600" w:lineRule="exact"/>
        <w:jc w:val="left"/>
        <w:rPr>
          <w:rFonts w:hint="eastAsia" w:ascii="黑体" w:hAnsi="黑体" w:eastAsia="黑体" w:cs="黑体"/>
          <w:sz w:val="32"/>
          <w:szCs w:val="32"/>
          <w:highlight w:val="none"/>
        </w:rPr>
      </w:pPr>
    </w:p>
    <w:p w14:paraId="06DF0572">
      <w:pPr>
        <w:widowControl/>
        <w:spacing w:line="600" w:lineRule="exact"/>
        <w:jc w:val="left"/>
        <w:rPr>
          <w:rFonts w:hint="eastAsia" w:ascii="黑体" w:hAnsi="黑体" w:eastAsia="黑体" w:cs="黑体"/>
          <w:sz w:val="32"/>
          <w:szCs w:val="32"/>
          <w:highlight w:val="none"/>
        </w:rPr>
      </w:pPr>
    </w:p>
    <w:p w14:paraId="63FF17A4">
      <w:pPr>
        <w:widowControl/>
        <w:spacing w:line="600" w:lineRule="exact"/>
        <w:jc w:val="left"/>
        <w:rPr>
          <w:rFonts w:hint="default" w:ascii="Times New Roman" w:hAnsi="Times New Roman" w:eastAsia="黑体" w:cs="Times New Roman"/>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3-2</w:t>
      </w:r>
    </w:p>
    <w:p w14:paraId="7E877B6D">
      <w:pPr>
        <w:widowControl/>
        <w:spacing w:line="600" w:lineRule="exact"/>
        <w:jc w:val="center"/>
        <w:rPr>
          <w:rFonts w:hint="eastAsia"/>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1063"/>
        <w:gridCol w:w="1049"/>
        <w:gridCol w:w="1200"/>
        <w:gridCol w:w="1119"/>
        <w:gridCol w:w="1119"/>
        <w:gridCol w:w="811"/>
        <w:gridCol w:w="912"/>
        <w:gridCol w:w="1523"/>
      </w:tblGrid>
      <w:tr w14:paraId="38EC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noWrap w:val="0"/>
            <w:vAlign w:val="center"/>
          </w:tcPr>
          <w:p w14:paraId="0EA55D9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项目支</w:t>
            </w:r>
          </w:p>
          <w:p w14:paraId="2EC92DC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出名称</w:t>
            </w:r>
          </w:p>
        </w:tc>
        <w:tc>
          <w:tcPr>
            <w:tcW w:w="8796" w:type="dxa"/>
            <w:gridSpan w:val="8"/>
            <w:noWrap w:val="0"/>
            <w:vAlign w:val="center"/>
          </w:tcPr>
          <w:p w14:paraId="0C5CFD1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auto"/>
                <w:sz w:val="20"/>
                <w:szCs w:val="20"/>
                <w:lang w:val="en-US" w:eastAsia="zh-CN"/>
              </w:rPr>
              <w:t>全城临街楼宇亮化设施电费项目</w:t>
            </w:r>
          </w:p>
        </w:tc>
      </w:tr>
      <w:tr w14:paraId="7AEC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1055" w:type="dxa"/>
            <w:noWrap w:val="0"/>
            <w:vAlign w:val="center"/>
          </w:tcPr>
          <w:p w14:paraId="72FFC8C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主管部门</w:t>
            </w:r>
          </w:p>
        </w:tc>
        <w:tc>
          <w:tcPr>
            <w:tcW w:w="4431" w:type="dxa"/>
            <w:gridSpan w:val="4"/>
            <w:noWrap w:val="0"/>
            <w:vAlign w:val="center"/>
          </w:tcPr>
          <w:p w14:paraId="5C73E3A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岳阳市城市管理和综合执法局</w:t>
            </w:r>
          </w:p>
        </w:tc>
        <w:tc>
          <w:tcPr>
            <w:tcW w:w="1119" w:type="dxa"/>
            <w:noWrap w:val="0"/>
            <w:vAlign w:val="center"/>
          </w:tcPr>
          <w:p w14:paraId="3D6DD41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实施单位</w:t>
            </w:r>
          </w:p>
        </w:tc>
        <w:tc>
          <w:tcPr>
            <w:tcW w:w="3246" w:type="dxa"/>
            <w:gridSpan w:val="3"/>
            <w:noWrap w:val="0"/>
            <w:vAlign w:val="center"/>
          </w:tcPr>
          <w:p w14:paraId="51391EA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u w:val="none"/>
              </w:rPr>
              <w:t>岳阳市城市照明管理中心</w:t>
            </w:r>
          </w:p>
        </w:tc>
      </w:tr>
      <w:tr w14:paraId="7824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restart"/>
            <w:noWrap w:val="0"/>
            <w:vAlign w:val="center"/>
          </w:tcPr>
          <w:p w14:paraId="2092441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项目资金</w:t>
            </w:r>
            <w:r>
              <w:rPr>
                <w:rFonts w:hint="eastAsia" w:ascii="仿宋_GB2312" w:hAnsi="仿宋_GB2312" w:eastAsia="仿宋_GB2312" w:cs="仿宋_GB2312"/>
                <w:color w:val="000000"/>
                <w:sz w:val="20"/>
                <w:szCs w:val="20"/>
                <w:highlight w:val="none"/>
              </w:rPr>
              <w:br w:type="textWrapping"/>
            </w:r>
            <w:r>
              <w:rPr>
                <w:rFonts w:hint="eastAsia" w:ascii="仿宋_GB2312" w:hAnsi="仿宋_GB2312" w:eastAsia="仿宋_GB2312" w:cs="仿宋_GB2312"/>
                <w:color w:val="000000"/>
                <w:sz w:val="20"/>
                <w:szCs w:val="20"/>
                <w:highlight w:val="none"/>
              </w:rPr>
              <w:t>（万元）</w:t>
            </w:r>
          </w:p>
        </w:tc>
        <w:tc>
          <w:tcPr>
            <w:tcW w:w="2112" w:type="dxa"/>
            <w:gridSpan w:val="2"/>
            <w:noWrap w:val="0"/>
            <w:vAlign w:val="center"/>
          </w:tcPr>
          <w:p w14:paraId="7F0155A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200" w:type="dxa"/>
            <w:noWrap w:val="0"/>
            <w:vAlign w:val="center"/>
          </w:tcPr>
          <w:p w14:paraId="671DF50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年初</w:t>
            </w:r>
          </w:p>
          <w:p w14:paraId="779AF43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19" w:type="dxa"/>
            <w:noWrap w:val="0"/>
            <w:vAlign w:val="center"/>
          </w:tcPr>
          <w:p w14:paraId="7C5514A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全年</w:t>
            </w:r>
          </w:p>
          <w:p w14:paraId="6058699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预算数</w:t>
            </w:r>
          </w:p>
        </w:tc>
        <w:tc>
          <w:tcPr>
            <w:tcW w:w="1119" w:type="dxa"/>
            <w:noWrap w:val="0"/>
            <w:vAlign w:val="center"/>
          </w:tcPr>
          <w:p w14:paraId="07685F2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全年</w:t>
            </w:r>
          </w:p>
          <w:p w14:paraId="107E0AE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执行数</w:t>
            </w:r>
          </w:p>
        </w:tc>
        <w:tc>
          <w:tcPr>
            <w:tcW w:w="811" w:type="dxa"/>
            <w:noWrap w:val="0"/>
            <w:vAlign w:val="center"/>
          </w:tcPr>
          <w:p w14:paraId="6974306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分值</w:t>
            </w:r>
          </w:p>
        </w:tc>
        <w:tc>
          <w:tcPr>
            <w:tcW w:w="912" w:type="dxa"/>
            <w:noWrap w:val="0"/>
            <w:vAlign w:val="center"/>
          </w:tcPr>
          <w:p w14:paraId="2BF22BB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执行率</w:t>
            </w:r>
          </w:p>
        </w:tc>
        <w:tc>
          <w:tcPr>
            <w:tcW w:w="1523" w:type="dxa"/>
            <w:noWrap w:val="0"/>
            <w:vAlign w:val="center"/>
          </w:tcPr>
          <w:p w14:paraId="32FDEF2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得分</w:t>
            </w:r>
          </w:p>
        </w:tc>
      </w:tr>
      <w:tr w14:paraId="2408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1055" w:type="dxa"/>
            <w:vMerge w:val="continue"/>
            <w:noWrap w:val="0"/>
            <w:vAlign w:val="center"/>
          </w:tcPr>
          <w:p w14:paraId="15FE261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2112" w:type="dxa"/>
            <w:gridSpan w:val="2"/>
            <w:noWrap w:val="0"/>
            <w:vAlign w:val="center"/>
          </w:tcPr>
          <w:p w14:paraId="6268565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年度资金总额　</w:t>
            </w:r>
          </w:p>
        </w:tc>
        <w:tc>
          <w:tcPr>
            <w:tcW w:w="1200" w:type="dxa"/>
            <w:noWrap w:val="0"/>
            <w:vAlign w:val="center"/>
          </w:tcPr>
          <w:p w14:paraId="12FE62D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500</w:t>
            </w:r>
          </w:p>
        </w:tc>
        <w:tc>
          <w:tcPr>
            <w:tcW w:w="1119" w:type="dxa"/>
            <w:noWrap w:val="0"/>
            <w:vAlign w:val="center"/>
          </w:tcPr>
          <w:p w14:paraId="57A5F73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500</w:t>
            </w:r>
          </w:p>
        </w:tc>
        <w:tc>
          <w:tcPr>
            <w:tcW w:w="1119" w:type="dxa"/>
            <w:noWrap w:val="0"/>
            <w:vAlign w:val="center"/>
          </w:tcPr>
          <w:p w14:paraId="39E7650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500</w:t>
            </w:r>
          </w:p>
        </w:tc>
        <w:tc>
          <w:tcPr>
            <w:tcW w:w="811" w:type="dxa"/>
            <w:noWrap w:val="0"/>
            <w:vAlign w:val="center"/>
          </w:tcPr>
          <w:p w14:paraId="52BE6CD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10</w:t>
            </w:r>
          </w:p>
        </w:tc>
        <w:tc>
          <w:tcPr>
            <w:tcW w:w="912" w:type="dxa"/>
            <w:noWrap w:val="0"/>
            <w:vAlign w:val="center"/>
          </w:tcPr>
          <w:p w14:paraId="12851F8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w:t>
            </w:r>
            <w:r>
              <w:rPr>
                <w:rFonts w:hint="default" w:ascii="仿宋_GB2312" w:hAnsi="仿宋_GB2312" w:eastAsia="仿宋_GB2312" w:cs="仿宋_GB2312"/>
                <w:color w:val="000000"/>
                <w:sz w:val="20"/>
                <w:szCs w:val="20"/>
                <w:highlight w:val="none"/>
                <w:lang w:val="en-US" w:eastAsia="zh-CN"/>
              </w:rPr>
              <w:t>9</w:t>
            </w:r>
            <w:r>
              <w:rPr>
                <w:rFonts w:hint="eastAsia" w:ascii="仿宋_GB2312" w:hAnsi="仿宋_GB2312" w:eastAsia="仿宋_GB2312" w:cs="仿宋_GB2312"/>
                <w:color w:val="000000"/>
                <w:sz w:val="20"/>
                <w:szCs w:val="20"/>
                <w:highlight w:val="none"/>
                <w:lang w:val="en-US" w:eastAsia="zh-CN"/>
              </w:rPr>
              <w:t>%</w:t>
            </w:r>
          </w:p>
        </w:tc>
        <w:tc>
          <w:tcPr>
            <w:tcW w:w="1523" w:type="dxa"/>
            <w:noWrap w:val="0"/>
            <w:vAlign w:val="center"/>
          </w:tcPr>
          <w:p w14:paraId="72FC649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 xml:space="preserve"> 9.</w:t>
            </w:r>
            <w:r>
              <w:rPr>
                <w:rFonts w:hint="default" w:ascii="仿宋_GB2312" w:hAnsi="仿宋_GB2312" w:eastAsia="仿宋_GB2312" w:cs="仿宋_GB2312"/>
                <w:color w:val="000000"/>
                <w:sz w:val="20"/>
                <w:szCs w:val="20"/>
                <w:highlight w:val="none"/>
                <w:lang w:val="en-US" w:eastAsia="zh-CN"/>
              </w:rPr>
              <w:t>9</w:t>
            </w:r>
          </w:p>
        </w:tc>
      </w:tr>
      <w:tr w14:paraId="4CBB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55" w:type="dxa"/>
            <w:vMerge w:val="continue"/>
            <w:noWrap w:val="0"/>
            <w:vAlign w:val="center"/>
          </w:tcPr>
          <w:p w14:paraId="7CA2A62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2112" w:type="dxa"/>
            <w:gridSpan w:val="2"/>
            <w:noWrap w:val="0"/>
            <w:vAlign w:val="center"/>
          </w:tcPr>
          <w:p w14:paraId="0C89268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其中：当年财政拨款　</w:t>
            </w:r>
          </w:p>
        </w:tc>
        <w:tc>
          <w:tcPr>
            <w:tcW w:w="1200" w:type="dxa"/>
            <w:noWrap w:val="0"/>
            <w:vAlign w:val="center"/>
          </w:tcPr>
          <w:p w14:paraId="64EF42D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500</w:t>
            </w:r>
          </w:p>
        </w:tc>
        <w:tc>
          <w:tcPr>
            <w:tcW w:w="1119" w:type="dxa"/>
            <w:noWrap w:val="0"/>
            <w:vAlign w:val="center"/>
          </w:tcPr>
          <w:p w14:paraId="51B3691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500</w:t>
            </w:r>
          </w:p>
        </w:tc>
        <w:tc>
          <w:tcPr>
            <w:tcW w:w="1119" w:type="dxa"/>
            <w:noWrap w:val="0"/>
            <w:vAlign w:val="center"/>
          </w:tcPr>
          <w:p w14:paraId="377BDAA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500</w:t>
            </w:r>
          </w:p>
        </w:tc>
        <w:tc>
          <w:tcPr>
            <w:tcW w:w="811" w:type="dxa"/>
            <w:noWrap w:val="0"/>
            <w:vAlign w:val="center"/>
          </w:tcPr>
          <w:p w14:paraId="40B8A6E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12" w:type="dxa"/>
            <w:noWrap w:val="0"/>
            <w:vAlign w:val="center"/>
          </w:tcPr>
          <w:p w14:paraId="2024B1D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23" w:type="dxa"/>
            <w:noWrap w:val="0"/>
            <w:vAlign w:val="center"/>
          </w:tcPr>
          <w:p w14:paraId="6F915B5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64E8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jc w:val="center"/>
        </w:trPr>
        <w:tc>
          <w:tcPr>
            <w:tcW w:w="1055" w:type="dxa"/>
            <w:vMerge w:val="continue"/>
            <w:noWrap w:val="0"/>
            <w:vAlign w:val="center"/>
          </w:tcPr>
          <w:p w14:paraId="0240BB7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2112" w:type="dxa"/>
            <w:gridSpan w:val="2"/>
            <w:noWrap w:val="0"/>
            <w:vAlign w:val="center"/>
          </w:tcPr>
          <w:p w14:paraId="04DAC7D3">
            <w:pPr>
              <w:keepNext w:val="0"/>
              <w:keepLines w:val="0"/>
              <w:pageBreakBefore w:val="0"/>
              <w:widowControl/>
              <w:kinsoku/>
              <w:wordWrap/>
              <w:overflowPunct/>
              <w:topLinePunct w:val="0"/>
              <w:autoSpaceDE/>
              <w:autoSpaceDN/>
              <w:bidi w:val="0"/>
              <w:adjustRightInd/>
              <w:snapToGrid/>
              <w:spacing w:line="34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上年结转资金　</w:t>
            </w:r>
          </w:p>
        </w:tc>
        <w:tc>
          <w:tcPr>
            <w:tcW w:w="1200" w:type="dxa"/>
            <w:noWrap w:val="0"/>
            <w:vAlign w:val="center"/>
          </w:tcPr>
          <w:p w14:paraId="20F6EB7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0</w:t>
            </w:r>
          </w:p>
        </w:tc>
        <w:tc>
          <w:tcPr>
            <w:tcW w:w="1119" w:type="dxa"/>
            <w:noWrap w:val="0"/>
            <w:vAlign w:val="center"/>
          </w:tcPr>
          <w:p w14:paraId="7AD4969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0</w:t>
            </w:r>
          </w:p>
        </w:tc>
        <w:tc>
          <w:tcPr>
            <w:tcW w:w="1119" w:type="dxa"/>
            <w:noWrap w:val="0"/>
            <w:vAlign w:val="center"/>
          </w:tcPr>
          <w:p w14:paraId="0B51C2C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0</w:t>
            </w:r>
          </w:p>
        </w:tc>
        <w:tc>
          <w:tcPr>
            <w:tcW w:w="811" w:type="dxa"/>
            <w:noWrap w:val="0"/>
            <w:vAlign w:val="center"/>
          </w:tcPr>
          <w:p w14:paraId="58C31AD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12" w:type="dxa"/>
            <w:noWrap w:val="0"/>
            <w:vAlign w:val="center"/>
          </w:tcPr>
          <w:p w14:paraId="7F3D383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23" w:type="dxa"/>
            <w:noWrap w:val="0"/>
            <w:vAlign w:val="center"/>
          </w:tcPr>
          <w:p w14:paraId="5A41233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5A09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55" w:type="dxa"/>
            <w:vMerge w:val="continue"/>
            <w:noWrap w:val="0"/>
            <w:vAlign w:val="center"/>
          </w:tcPr>
          <w:p w14:paraId="5AA7115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2112" w:type="dxa"/>
            <w:gridSpan w:val="2"/>
            <w:noWrap w:val="0"/>
            <w:vAlign w:val="center"/>
          </w:tcPr>
          <w:p w14:paraId="0DEF3CB3">
            <w:pPr>
              <w:keepNext w:val="0"/>
              <w:keepLines w:val="0"/>
              <w:pageBreakBefore w:val="0"/>
              <w:widowControl/>
              <w:kinsoku/>
              <w:wordWrap/>
              <w:overflowPunct/>
              <w:topLinePunct w:val="0"/>
              <w:autoSpaceDE/>
              <w:autoSpaceDN/>
              <w:bidi w:val="0"/>
              <w:adjustRightInd/>
              <w:snapToGrid/>
              <w:spacing w:line="340" w:lineRule="exact"/>
              <w:ind w:firstLine="600" w:firstLineChars="3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其他资金</w:t>
            </w:r>
          </w:p>
        </w:tc>
        <w:tc>
          <w:tcPr>
            <w:tcW w:w="1200" w:type="dxa"/>
            <w:noWrap w:val="0"/>
            <w:vAlign w:val="center"/>
          </w:tcPr>
          <w:p w14:paraId="4122B48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0</w:t>
            </w:r>
          </w:p>
        </w:tc>
        <w:tc>
          <w:tcPr>
            <w:tcW w:w="1119" w:type="dxa"/>
            <w:noWrap w:val="0"/>
            <w:vAlign w:val="center"/>
          </w:tcPr>
          <w:p w14:paraId="47BFF8C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0</w:t>
            </w:r>
          </w:p>
        </w:tc>
        <w:tc>
          <w:tcPr>
            <w:tcW w:w="1119" w:type="dxa"/>
            <w:noWrap w:val="0"/>
            <w:vAlign w:val="center"/>
          </w:tcPr>
          <w:p w14:paraId="5C2EC1D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highlight w:val="none"/>
              </w:rPr>
              <w:t>　</w:t>
            </w:r>
            <w:r>
              <w:rPr>
                <w:rFonts w:hint="default" w:ascii="仿宋_GB2312" w:hAnsi="仿宋_GB2312" w:eastAsia="仿宋_GB2312" w:cs="仿宋_GB2312"/>
                <w:color w:val="000000"/>
                <w:sz w:val="20"/>
                <w:szCs w:val="20"/>
                <w:highlight w:val="none"/>
                <w:lang w:val="en-US"/>
              </w:rPr>
              <w:t>0</w:t>
            </w:r>
          </w:p>
        </w:tc>
        <w:tc>
          <w:tcPr>
            <w:tcW w:w="811" w:type="dxa"/>
            <w:noWrap w:val="0"/>
            <w:vAlign w:val="center"/>
          </w:tcPr>
          <w:p w14:paraId="07348B0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912" w:type="dxa"/>
            <w:noWrap w:val="0"/>
            <w:vAlign w:val="center"/>
          </w:tcPr>
          <w:p w14:paraId="49D7F94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523" w:type="dxa"/>
            <w:noWrap w:val="0"/>
            <w:vAlign w:val="center"/>
          </w:tcPr>
          <w:p w14:paraId="3D8F455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140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jc w:val="center"/>
        </w:trPr>
        <w:tc>
          <w:tcPr>
            <w:tcW w:w="1055" w:type="dxa"/>
            <w:vMerge w:val="restart"/>
            <w:noWrap w:val="0"/>
            <w:vAlign w:val="center"/>
          </w:tcPr>
          <w:p w14:paraId="4517BF8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年度总体目标</w:t>
            </w:r>
          </w:p>
        </w:tc>
        <w:tc>
          <w:tcPr>
            <w:tcW w:w="4431" w:type="dxa"/>
            <w:gridSpan w:val="4"/>
            <w:noWrap w:val="0"/>
            <w:vAlign w:val="center"/>
          </w:tcPr>
          <w:p w14:paraId="630DC8E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预期目标</w:t>
            </w:r>
          </w:p>
        </w:tc>
        <w:tc>
          <w:tcPr>
            <w:tcW w:w="4365" w:type="dxa"/>
            <w:gridSpan w:val="4"/>
            <w:noWrap w:val="0"/>
            <w:vAlign w:val="center"/>
          </w:tcPr>
          <w:p w14:paraId="6EBA419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实际完成情况　</w:t>
            </w:r>
          </w:p>
        </w:tc>
      </w:tr>
      <w:tr w14:paraId="29EE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055" w:type="dxa"/>
            <w:vMerge w:val="continue"/>
            <w:noWrap w:val="0"/>
            <w:vAlign w:val="center"/>
          </w:tcPr>
          <w:p w14:paraId="4906734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4431" w:type="dxa"/>
            <w:gridSpan w:val="4"/>
            <w:noWrap w:val="0"/>
            <w:vAlign w:val="center"/>
          </w:tcPr>
          <w:p w14:paraId="7A9BEF70">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保障城区325栋临街楼宇、15处桥梁和公园 亮化设备设施的正常运行，提高市民的幸福感、安全感，提升城市整体形象，间接助力岳阳经济发展。</w:t>
            </w:r>
          </w:p>
        </w:tc>
        <w:tc>
          <w:tcPr>
            <w:tcW w:w="4365" w:type="dxa"/>
            <w:gridSpan w:val="4"/>
            <w:noWrap w:val="0"/>
            <w:vAlign w:val="center"/>
          </w:tcPr>
          <w:p w14:paraId="49EBE74A">
            <w:pPr>
              <w:keepNext w:val="0"/>
              <w:keepLines w:val="0"/>
              <w:pageBreakBefore w:val="0"/>
              <w:widowControl/>
              <w:kinsoku/>
              <w:wordWrap/>
              <w:overflowPunct/>
              <w:topLinePunct w:val="0"/>
              <w:autoSpaceDE/>
              <w:autoSpaceDN/>
              <w:bidi w:val="0"/>
              <w:adjustRightInd/>
              <w:snapToGrid/>
              <w:spacing w:line="360" w:lineRule="exact"/>
              <w:ind w:firstLine="400" w:firstLineChars="200"/>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城区325栋临街楼宇、15处桥梁和公园亮化设备设施正常运行，</w:t>
            </w:r>
            <w:r>
              <w:rPr>
                <w:rFonts w:hint="eastAsia" w:ascii="仿宋_GB2312" w:hAnsi="仿宋_GB2312" w:eastAsia="仿宋_GB2312" w:cs="仿宋_GB2312"/>
                <w:color w:val="000000"/>
                <w:sz w:val="20"/>
                <w:szCs w:val="20"/>
                <w:highlight w:val="none"/>
                <w:lang w:eastAsia="zh-CN"/>
              </w:rPr>
              <w:t>美化了城市夜间环境，增强了</w:t>
            </w:r>
            <w:r>
              <w:rPr>
                <w:rFonts w:hint="eastAsia" w:ascii="仿宋_GB2312" w:hAnsi="仿宋_GB2312" w:eastAsia="仿宋_GB2312" w:cs="仿宋_GB2312"/>
                <w:color w:val="000000"/>
                <w:sz w:val="20"/>
                <w:szCs w:val="20"/>
                <w:highlight w:val="none"/>
              </w:rPr>
              <w:t>市民的幸福感、安全感，城市整体形象</w:t>
            </w:r>
            <w:r>
              <w:rPr>
                <w:rFonts w:hint="eastAsia" w:ascii="仿宋_GB2312" w:hAnsi="仿宋_GB2312" w:eastAsia="仿宋_GB2312" w:cs="仿宋_GB2312"/>
                <w:color w:val="000000"/>
                <w:sz w:val="20"/>
                <w:szCs w:val="20"/>
                <w:highlight w:val="none"/>
                <w:lang w:eastAsia="zh-CN"/>
              </w:rPr>
              <w:t>不断</w:t>
            </w:r>
            <w:r>
              <w:rPr>
                <w:rFonts w:hint="eastAsia" w:ascii="仿宋_GB2312" w:hAnsi="仿宋_GB2312" w:eastAsia="仿宋_GB2312" w:cs="仿宋_GB2312"/>
                <w:color w:val="000000"/>
                <w:sz w:val="20"/>
                <w:szCs w:val="20"/>
                <w:highlight w:val="none"/>
              </w:rPr>
              <w:t>提升，间接助力</w:t>
            </w:r>
            <w:r>
              <w:rPr>
                <w:rFonts w:hint="eastAsia" w:ascii="仿宋_GB2312" w:hAnsi="仿宋_GB2312" w:eastAsia="仿宋_GB2312" w:cs="仿宋_GB2312"/>
                <w:color w:val="000000"/>
                <w:sz w:val="20"/>
                <w:szCs w:val="20"/>
                <w:highlight w:val="none"/>
                <w:lang w:eastAsia="zh-CN"/>
              </w:rPr>
              <w:t>了</w:t>
            </w:r>
            <w:r>
              <w:rPr>
                <w:rFonts w:hint="eastAsia" w:ascii="仿宋_GB2312" w:hAnsi="仿宋_GB2312" w:eastAsia="仿宋_GB2312" w:cs="仿宋_GB2312"/>
                <w:color w:val="000000"/>
                <w:sz w:val="20"/>
                <w:szCs w:val="20"/>
                <w:highlight w:val="none"/>
              </w:rPr>
              <w:t>岳阳经济发展。</w:t>
            </w:r>
          </w:p>
        </w:tc>
      </w:tr>
      <w:tr w14:paraId="78B7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restart"/>
            <w:noWrap w:val="0"/>
            <w:vAlign w:val="center"/>
          </w:tcPr>
          <w:p w14:paraId="2DD4DAB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绩</w:t>
            </w:r>
          </w:p>
          <w:p w14:paraId="61FD4BB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w:t>
            </w:r>
          </w:p>
          <w:p w14:paraId="18EF9D8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w:t>
            </w:r>
          </w:p>
          <w:p w14:paraId="01B9C13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标</w:t>
            </w:r>
          </w:p>
        </w:tc>
        <w:tc>
          <w:tcPr>
            <w:tcW w:w="1063" w:type="dxa"/>
            <w:noWrap w:val="0"/>
            <w:vAlign w:val="center"/>
          </w:tcPr>
          <w:p w14:paraId="097D2A0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一级指标</w:t>
            </w:r>
          </w:p>
        </w:tc>
        <w:tc>
          <w:tcPr>
            <w:tcW w:w="1049" w:type="dxa"/>
            <w:noWrap w:val="0"/>
            <w:vAlign w:val="center"/>
          </w:tcPr>
          <w:p w14:paraId="15DFECA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二级指标</w:t>
            </w:r>
          </w:p>
        </w:tc>
        <w:tc>
          <w:tcPr>
            <w:tcW w:w="1200" w:type="dxa"/>
            <w:noWrap w:val="0"/>
            <w:vAlign w:val="center"/>
          </w:tcPr>
          <w:p w14:paraId="775B58E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三级指标</w:t>
            </w:r>
          </w:p>
        </w:tc>
        <w:tc>
          <w:tcPr>
            <w:tcW w:w="1119" w:type="dxa"/>
            <w:noWrap w:val="0"/>
            <w:vAlign w:val="center"/>
          </w:tcPr>
          <w:p w14:paraId="44B0879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年度</w:t>
            </w:r>
          </w:p>
          <w:p w14:paraId="2675A36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指标值</w:t>
            </w:r>
          </w:p>
        </w:tc>
        <w:tc>
          <w:tcPr>
            <w:tcW w:w="1119" w:type="dxa"/>
            <w:noWrap w:val="0"/>
            <w:vAlign w:val="center"/>
          </w:tcPr>
          <w:p w14:paraId="11EA10E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实际</w:t>
            </w:r>
          </w:p>
          <w:p w14:paraId="4DBA952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完成值</w:t>
            </w:r>
          </w:p>
        </w:tc>
        <w:tc>
          <w:tcPr>
            <w:tcW w:w="811" w:type="dxa"/>
            <w:noWrap w:val="0"/>
            <w:vAlign w:val="center"/>
          </w:tcPr>
          <w:p w14:paraId="2280001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分值</w:t>
            </w:r>
          </w:p>
        </w:tc>
        <w:tc>
          <w:tcPr>
            <w:tcW w:w="912" w:type="dxa"/>
            <w:noWrap w:val="0"/>
            <w:vAlign w:val="center"/>
          </w:tcPr>
          <w:p w14:paraId="5BB3A66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得分</w:t>
            </w:r>
          </w:p>
        </w:tc>
        <w:tc>
          <w:tcPr>
            <w:tcW w:w="1523" w:type="dxa"/>
            <w:noWrap w:val="0"/>
            <w:vAlign w:val="center"/>
          </w:tcPr>
          <w:p w14:paraId="2D5AB7BE">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偏差原因分析及改进措施</w:t>
            </w:r>
          </w:p>
        </w:tc>
      </w:tr>
      <w:tr w14:paraId="2782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312B09D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restart"/>
            <w:noWrap w:val="0"/>
            <w:vAlign w:val="center"/>
          </w:tcPr>
          <w:p w14:paraId="4138594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产出指标</w:t>
            </w:r>
          </w:p>
          <w:p w14:paraId="17672AF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p w14:paraId="42000FA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(50分)</w:t>
            </w:r>
          </w:p>
        </w:tc>
        <w:tc>
          <w:tcPr>
            <w:tcW w:w="1049" w:type="dxa"/>
            <w:vMerge w:val="restart"/>
            <w:noWrap w:val="0"/>
            <w:vAlign w:val="center"/>
          </w:tcPr>
          <w:p w14:paraId="296605D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数量指标</w:t>
            </w:r>
          </w:p>
        </w:tc>
        <w:tc>
          <w:tcPr>
            <w:tcW w:w="1200" w:type="dxa"/>
            <w:noWrap w:val="0"/>
            <w:vAlign w:val="center"/>
          </w:tcPr>
          <w:p w14:paraId="686E73D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rPr>
              <w:t>临街楼宇亮化</w:t>
            </w:r>
            <w:r>
              <w:rPr>
                <w:rFonts w:hint="eastAsia" w:ascii="仿宋_GB2312" w:hAnsi="仿宋_GB2312" w:eastAsia="仿宋_GB2312" w:cs="仿宋_GB2312"/>
                <w:color w:val="000000"/>
                <w:sz w:val="20"/>
                <w:szCs w:val="20"/>
                <w:lang w:val="en-US" w:eastAsia="zh-CN"/>
              </w:rPr>
              <w:t>数量</w:t>
            </w:r>
          </w:p>
        </w:tc>
        <w:tc>
          <w:tcPr>
            <w:tcW w:w="1119" w:type="dxa"/>
            <w:noWrap w:val="0"/>
            <w:vAlign w:val="center"/>
          </w:tcPr>
          <w:p w14:paraId="5BBF207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rPr>
              <w:t>325栋</w:t>
            </w:r>
          </w:p>
        </w:tc>
        <w:tc>
          <w:tcPr>
            <w:tcW w:w="1119" w:type="dxa"/>
            <w:noWrap w:val="0"/>
            <w:vAlign w:val="center"/>
          </w:tcPr>
          <w:p w14:paraId="639CA61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rPr>
              <w:t>325栋</w:t>
            </w:r>
          </w:p>
        </w:tc>
        <w:tc>
          <w:tcPr>
            <w:tcW w:w="811" w:type="dxa"/>
            <w:noWrap w:val="0"/>
            <w:vAlign w:val="center"/>
          </w:tcPr>
          <w:p w14:paraId="1A98E1A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912" w:type="dxa"/>
            <w:noWrap w:val="0"/>
            <w:vAlign w:val="center"/>
          </w:tcPr>
          <w:p w14:paraId="3364CE9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523" w:type="dxa"/>
            <w:noWrap w:val="0"/>
            <w:vAlign w:val="center"/>
          </w:tcPr>
          <w:p w14:paraId="52F279F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10CF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0C046C8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6EB4B0A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continue"/>
            <w:noWrap w:val="0"/>
            <w:vAlign w:val="center"/>
          </w:tcPr>
          <w:p w14:paraId="6614EE00">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00" w:type="dxa"/>
            <w:noWrap w:val="0"/>
            <w:vAlign w:val="center"/>
          </w:tcPr>
          <w:p w14:paraId="51A7B04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rPr>
              <w:t>人行天桥、立交桥、等亮化设施</w:t>
            </w:r>
            <w:r>
              <w:rPr>
                <w:rFonts w:hint="eastAsia" w:ascii="仿宋_GB2312" w:hAnsi="仿宋_GB2312" w:eastAsia="仿宋_GB2312" w:cs="仿宋_GB2312"/>
                <w:color w:val="000000"/>
                <w:sz w:val="20"/>
                <w:szCs w:val="20"/>
                <w:lang w:val="en-US" w:eastAsia="zh-CN"/>
              </w:rPr>
              <w:t>数量</w:t>
            </w:r>
          </w:p>
        </w:tc>
        <w:tc>
          <w:tcPr>
            <w:tcW w:w="1119" w:type="dxa"/>
            <w:noWrap w:val="0"/>
            <w:vAlign w:val="center"/>
          </w:tcPr>
          <w:p w14:paraId="2623565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共15处（座）</w:t>
            </w:r>
          </w:p>
        </w:tc>
        <w:tc>
          <w:tcPr>
            <w:tcW w:w="1119" w:type="dxa"/>
            <w:noWrap w:val="0"/>
            <w:vAlign w:val="center"/>
          </w:tcPr>
          <w:p w14:paraId="1F79A71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val="en-US" w:eastAsia="zh-CN"/>
              </w:rPr>
              <w:t>共15处（座）</w:t>
            </w:r>
          </w:p>
        </w:tc>
        <w:tc>
          <w:tcPr>
            <w:tcW w:w="811" w:type="dxa"/>
            <w:noWrap w:val="0"/>
            <w:vAlign w:val="center"/>
          </w:tcPr>
          <w:p w14:paraId="5664F8A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912" w:type="dxa"/>
            <w:noWrap w:val="0"/>
            <w:vAlign w:val="center"/>
          </w:tcPr>
          <w:p w14:paraId="7F17475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523" w:type="dxa"/>
            <w:noWrap w:val="0"/>
            <w:vAlign w:val="center"/>
          </w:tcPr>
          <w:p w14:paraId="2503693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1FB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7A48EF5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5B55C40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restart"/>
            <w:noWrap w:val="0"/>
            <w:vAlign w:val="center"/>
          </w:tcPr>
          <w:p w14:paraId="58F8498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质量指标</w:t>
            </w:r>
          </w:p>
        </w:tc>
        <w:tc>
          <w:tcPr>
            <w:tcW w:w="1200" w:type="dxa"/>
            <w:noWrap w:val="0"/>
            <w:vAlign w:val="center"/>
          </w:tcPr>
          <w:p w14:paraId="57D146C2">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lang w:val="en-US" w:eastAsia="zh-CN" w:bidi="ar-SA"/>
              </w:rPr>
              <w:t>亮化灯亮灯率</w:t>
            </w:r>
          </w:p>
        </w:tc>
        <w:tc>
          <w:tcPr>
            <w:tcW w:w="1119" w:type="dxa"/>
            <w:noWrap w:val="0"/>
            <w:vAlign w:val="center"/>
          </w:tcPr>
          <w:p w14:paraId="286B666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lang w:val="en-US" w:eastAsia="zh-CN" w:bidi="ar-SA"/>
              </w:rPr>
              <w:t>98%</w:t>
            </w:r>
          </w:p>
        </w:tc>
        <w:tc>
          <w:tcPr>
            <w:tcW w:w="1119" w:type="dxa"/>
            <w:noWrap w:val="0"/>
            <w:vAlign w:val="center"/>
          </w:tcPr>
          <w:p w14:paraId="20B8E1D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kern w:val="0"/>
                <w:sz w:val="20"/>
                <w:szCs w:val="20"/>
                <w:lang w:val="en-US" w:eastAsia="zh-CN" w:bidi="ar-SA"/>
              </w:rPr>
              <w:t>98%以上</w:t>
            </w:r>
          </w:p>
        </w:tc>
        <w:tc>
          <w:tcPr>
            <w:tcW w:w="811" w:type="dxa"/>
            <w:noWrap w:val="0"/>
            <w:vAlign w:val="center"/>
          </w:tcPr>
          <w:p w14:paraId="4746F33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912" w:type="dxa"/>
            <w:noWrap w:val="0"/>
            <w:vAlign w:val="center"/>
          </w:tcPr>
          <w:p w14:paraId="1CFEB69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523" w:type="dxa"/>
            <w:noWrap w:val="0"/>
            <w:vAlign w:val="center"/>
          </w:tcPr>
          <w:p w14:paraId="7F17F9E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6483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0505DAD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1836467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continue"/>
            <w:noWrap w:val="0"/>
            <w:vAlign w:val="center"/>
          </w:tcPr>
          <w:p w14:paraId="34622238">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00" w:type="dxa"/>
            <w:noWrap w:val="0"/>
            <w:vAlign w:val="center"/>
          </w:tcPr>
          <w:p w14:paraId="6CAEA98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rPr>
              <w:t>亮化绿色照明达标率</w:t>
            </w:r>
          </w:p>
        </w:tc>
        <w:tc>
          <w:tcPr>
            <w:tcW w:w="1119" w:type="dxa"/>
            <w:noWrap w:val="0"/>
            <w:vAlign w:val="center"/>
          </w:tcPr>
          <w:p w14:paraId="03AAF67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达80%以上</w:t>
            </w:r>
          </w:p>
        </w:tc>
        <w:tc>
          <w:tcPr>
            <w:tcW w:w="1119" w:type="dxa"/>
            <w:noWrap w:val="0"/>
            <w:vAlign w:val="center"/>
          </w:tcPr>
          <w:p w14:paraId="13B8F53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lang w:val="en-US" w:eastAsia="zh-CN"/>
              </w:rPr>
              <w:t>达90%以上</w:t>
            </w:r>
          </w:p>
        </w:tc>
        <w:tc>
          <w:tcPr>
            <w:tcW w:w="811" w:type="dxa"/>
            <w:noWrap w:val="0"/>
            <w:vAlign w:val="center"/>
          </w:tcPr>
          <w:p w14:paraId="7AD29DE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912" w:type="dxa"/>
            <w:noWrap w:val="0"/>
            <w:vAlign w:val="center"/>
          </w:tcPr>
          <w:p w14:paraId="790174B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7</w:t>
            </w:r>
          </w:p>
        </w:tc>
        <w:tc>
          <w:tcPr>
            <w:tcW w:w="1523" w:type="dxa"/>
            <w:noWrap w:val="0"/>
            <w:vAlign w:val="center"/>
          </w:tcPr>
          <w:p w14:paraId="0ABD4AB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5083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1782E86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18201A3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noWrap w:val="0"/>
            <w:vAlign w:val="center"/>
          </w:tcPr>
          <w:p w14:paraId="12DC288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时效指标</w:t>
            </w:r>
          </w:p>
        </w:tc>
        <w:tc>
          <w:tcPr>
            <w:tcW w:w="1200" w:type="dxa"/>
            <w:noWrap w:val="0"/>
            <w:vAlign w:val="center"/>
          </w:tcPr>
          <w:p w14:paraId="21A2739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lang w:val="en-US" w:eastAsia="zh-CN"/>
              </w:rPr>
              <w:t>电费结算</w:t>
            </w:r>
          </w:p>
        </w:tc>
        <w:tc>
          <w:tcPr>
            <w:tcW w:w="1119" w:type="dxa"/>
            <w:noWrap w:val="0"/>
            <w:vAlign w:val="center"/>
          </w:tcPr>
          <w:p w14:paraId="13E2B63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lang w:val="en-US" w:eastAsia="zh-CN"/>
              </w:rPr>
              <w:t>按季结算，年度内完成结算</w:t>
            </w:r>
          </w:p>
        </w:tc>
        <w:tc>
          <w:tcPr>
            <w:tcW w:w="1119" w:type="dxa"/>
            <w:noWrap w:val="0"/>
            <w:vAlign w:val="center"/>
          </w:tcPr>
          <w:p w14:paraId="741818B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lang w:val="en-US" w:eastAsia="zh-CN"/>
              </w:rPr>
              <w:t>均按时完成</w:t>
            </w:r>
          </w:p>
        </w:tc>
        <w:tc>
          <w:tcPr>
            <w:tcW w:w="811" w:type="dxa"/>
            <w:noWrap w:val="0"/>
            <w:vAlign w:val="center"/>
          </w:tcPr>
          <w:p w14:paraId="147A044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912" w:type="dxa"/>
            <w:noWrap w:val="0"/>
            <w:vAlign w:val="center"/>
          </w:tcPr>
          <w:p w14:paraId="6FCFC208">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kern w:val="0"/>
                <w:sz w:val="20"/>
                <w:szCs w:val="20"/>
                <w:highlight w:val="none"/>
                <w:lang w:val="en-US" w:eastAsia="zh-CN" w:bidi="ar-SA"/>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10</w:t>
            </w:r>
          </w:p>
        </w:tc>
        <w:tc>
          <w:tcPr>
            <w:tcW w:w="1523" w:type="dxa"/>
            <w:noWrap w:val="0"/>
            <w:vAlign w:val="center"/>
          </w:tcPr>
          <w:p w14:paraId="098789D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r>
      <w:tr w14:paraId="1F67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7A527B8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2F790E0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restart"/>
            <w:noWrap w:val="0"/>
            <w:vAlign w:val="center"/>
          </w:tcPr>
          <w:p w14:paraId="6F80365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成本指标</w:t>
            </w:r>
          </w:p>
        </w:tc>
        <w:tc>
          <w:tcPr>
            <w:tcW w:w="1200" w:type="dxa"/>
            <w:noWrap w:val="0"/>
            <w:vAlign w:val="center"/>
          </w:tcPr>
          <w:p w14:paraId="006CD82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经济成本指标</w:t>
            </w:r>
          </w:p>
        </w:tc>
        <w:tc>
          <w:tcPr>
            <w:tcW w:w="1119" w:type="dxa"/>
            <w:noWrap w:val="0"/>
            <w:vAlign w:val="center"/>
          </w:tcPr>
          <w:p w14:paraId="08CAEE0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kern w:val="0"/>
                <w:sz w:val="20"/>
                <w:szCs w:val="20"/>
                <w:lang w:val="en-US" w:eastAsia="zh-CN" w:bidi="ar-SA"/>
              </w:rPr>
              <w:t>控制在年度预算500万元之内</w:t>
            </w:r>
          </w:p>
        </w:tc>
        <w:tc>
          <w:tcPr>
            <w:tcW w:w="1119" w:type="dxa"/>
            <w:noWrap w:val="0"/>
            <w:vAlign w:val="center"/>
          </w:tcPr>
          <w:p w14:paraId="0F5D4EB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未超预算</w:t>
            </w:r>
          </w:p>
        </w:tc>
        <w:tc>
          <w:tcPr>
            <w:tcW w:w="811" w:type="dxa"/>
            <w:noWrap w:val="0"/>
            <w:vAlign w:val="center"/>
          </w:tcPr>
          <w:p w14:paraId="3C48689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912" w:type="dxa"/>
            <w:noWrap w:val="0"/>
            <w:vAlign w:val="center"/>
          </w:tcPr>
          <w:p w14:paraId="3406CA5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6</w:t>
            </w:r>
          </w:p>
        </w:tc>
        <w:tc>
          <w:tcPr>
            <w:tcW w:w="1523" w:type="dxa"/>
            <w:noWrap w:val="0"/>
            <w:vAlign w:val="center"/>
          </w:tcPr>
          <w:p w14:paraId="0B78B11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3531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5AC8EAE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08162C7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continue"/>
            <w:noWrap w:val="0"/>
            <w:vAlign w:val="center"/>
          </w:tcPr>
          <w:p w14:paraId="36A3F7A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200" w:type="dxa"/>
            <w:noWrap w:val="0"/>
            <w:vAlign w:val="center"/>
          </w:tcPr>
          <w:p w14:paraId="0DDDAED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对社会造成</w:t>
            </w:r>
            <w:r>
              <w:rPr>
                <w:rFonts w:hint="eastAsia" w:ascii="仿宋_GB2312" w:hAnsi="仿宋_GB2312" w:eastAsia="仿宋_GB2312" w:cs="仿宋_GB2312"/>
                <w:color w:val="000000"/>
                <w:sz w:val="20"/>
                <w:szCs w:val="20"/>
                <w:highlight w:val="none"/>
                <w:lang w:val="en-US" w:eastAsia="zh-CN"/>
              </w:rPr>
              <w:t>负面</w:t>
            </w:r>
            <w:r>
              <w:rPr>
                <w:rFonts w:hint="eastAsia" w:ascii="仿宋_GB2312" w:hAnsi="仿宋_GB2312" w:eastAsia="仿宋_GB2312" w:cs="仿宋_GB2312"/>
                <w:color w:val="000000"/>
                <w:sz w:val="20"/>
                <w:szCs w:val="20"/>
                <w:highlight w:val="none"/>
              </w:rPr>
              <w:t>影响</w:t>
            </w:r>
          </w:p>
        </w:tc>
        <w:tc>
          <w:tcPr>
            <w:tcW w:w="1119" w:type="dxa"/>
            <w:noWrap w:val="0"/>
            <w:vAlign w:val="center"/>
          </w:tcPr>
          <w:p w14:paraId="070D15B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1119" w:type="dxa"/>
            <w:noWrap w:val="0"/>
            <w:vAlign w:val="center"/>
          </w:tcPr>
          <w:p w14:paraId="34AC937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811" w:type="dxa"/>
            <w:noWrap w:val="0"/>
            <w:vAlign w:val="center"/>
          </w:tcPr>
          <w:p w14:paraId="4FE16DA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912" w:type="dxa"/>
            <w:noWrap w:val="0"/>
            <w:vAlign w:val="center"/>
          </w:tcPr>
          <w:p w14:paraId="11A377C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523" w:type="dxa"/>
            <w:noWrap w:val="0"/>
            <w:vAlign w:val="center"/>
          </w:tcPr>
          <w:p w14:paraId="5307345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0739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022AFE3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60EE48B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continue"/>
            <w:noWrap w:val="0"/>
            <w:vAlign w:val="center"/>
          </w:tcPr>
          <w:p w14:paraId="4067776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200" w:type="dxa"/>
            <w:noWrap w:val="0"/>
            <w:vAlign w:val="center"/>
          </w:tcPr>
          <w:p w14:paraId="3D1FDDF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对</w:t>
            </w:r>
            <w:r>
              <w:rPr>
                <w:rFonts w:hint="eastAsia" w:ascii="仿宋_GB2312" w:hAnsi="仿宋_GB2312" w:eastAsia="仿宋_GB2312" w:cs="仿宋_GB2312"/>
                <w:color w:val="000000"/>
                <w:sz w:val="20"/>
                <w:szCs w:val="20"/>
                <w:highlight w:val="none"/>
                <w:lang w:val="en-US" w:eastAsia="zh-CN"/>
              </w:rPr>
              <w:t>生态环境</w:t>
            </w:r>
            <w:r>
              <w:rPr>
                <w:rFonts w:hint="eastAsia" w:ascii="仿宋_GB2312" w:hAnsi="仿宋_GB2312" w:eastAsia="仿宋_GB2312" w:cs="仿宋_GB2312"/>
                <w:color w:val="000000"/>
                <w:sz w:val="20"/>
                <w:szCs w:val="20"/>
                <w:highlight w:val="none"/>
              </w:rPr>
              <w:t>造成</w:t>
            </w:r>
            <w:r>
              <w:rPr>
                <w:rFonts w:hint="eastAsia" w:ascii="仿宋_GB2312" w:hAnsi="仿宋_GB2312" w:eastAsia="仿宋_GB2312" w:cs="仿宋_GB2312"/>
                <w:color w:val="000000"/>
                <w:sz w:val="20"/>
                <w:szCs w:val="20"/>
                <w:highlight w:val="none"/>
                <w:lang w:val="en-US" w:eastAsia="zh-CN"/>
              </w:rPr>
              <w:t>负面</w:t>
            </w:r>
            <w:r>
              <w:rPr>
                <w:rFonts w:hint="eastAsia" w:ascii="仿宋_GB2312" w:hAnsi="仿宋_GB2312" w:eastAsia="仿宋_GB2312" w:cs="仿宋_GB2312"/>
                <w:color w:val="000000"/>
                <w:sz w:val="20"/>
                <w:szCs w:val="20"/>
                <w:highlight w:val="none"/>
              </w:rPr>
              <w:t>影响</w:t>
            </w:r>
          </w:p>
        </w:tc>
        <w:tc>
          <w:tcPr>
            <w:tcW w:w="1119" w:type="dxa"/>
            <w:noWrap w:val="0"/>
            <w:vAlign w:val="center"/>
          </w:tcPr>
          <w:p w14:paraId="0622D5A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1119" w:type="dxa"/>
            <w:noWrap w:val="0"/>
            <w:vAlign w:val="center"/>
          </w:tcPr>
          <w:p w14:paraId="5EF2BC39">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lang w:val="en-US" w:eastAsia="zh-CN"/>
              </w:rPr>
              <w:t>无负面</w:t>
            </w:r>
            <w:r>
              <w:rPr>
                <w:rFonts w:hint="eastAsia" w:ascii="仿宋_GB2312" w:hAnsi="仿宋_GB2312" w:eastAsia="仿宋_GB2312" w:cs="仿宋_GB2312"/>
                <w:color w:val="000000"/>
                <w:sz w:val="20"/>
                <w:szCs w:val="20"/>
                <w:highlight w:val="none"/>
              </w:rPr>
              <w:t>影响</w:t>
            </w:r>
          </w:p>
        </w:tc>
        <w:tc>
          <w:tcPr>
            <w:tcW w:w="811" w:type="dxa"/>
            <w:noWrap w:val="0"/>
            <w:vAlign w:val="center"/>
          </w:tcPr>
          <w:p w14:paraId="18E871F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912" w:type="dxa"/>
            <w:noWrap w:val="0"/>
            <w:vAlign w:val="center"/>
          </w:tcPr>
          <w:p w14:paraId="17E39F9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3</w:t>
            </w:r>
          </w:p>
        </w:tc>
        <w:tc>
          <w:tcPr>
            <w:tcW w:w="1523" w:type="dxa"/>
            <w:noWrap w:val="0"/>
            <w:vAlign w:val="center"/>
          </w:tcPr>
          <w:p w14:paraId="5D06AFB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72AB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1ED9892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restart"/>
            <w:noWrap w:val="0"/>
            <w:vAlign w:val="center"/>
          </w:tcPr>
          <w:p w14:paraId="266BC63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效益指标</w:t>
            </w:r>
          </w:p>
          <w:p w14:paraId="1A880A1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p w14:paraId="7FA7D19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（30分）</w:t>
            </w:r>
          </w:p>
          <w:p w14:paraId="3211952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c>
          <w:tcPr>
            <w:tcW w:w="1049" w:type="dxa"/>
            <w:noWrap w:val="0"/>
            <w:vAlign w:val="center"/>
          </w:tcPr>
          <w:p w14:paraId="5581FCD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经济效</w:t>
            </w:r>
          </w:p>
          <w:p w14:paraId="6AD67B1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益指标</w:t>
            </w:r>
          </w:p>
        </w:tc>
        <w:tc>
          <w:tcPr>
            <w:tcW w:w="1200" w:type="dxa"/>
            <w:noWrap w:val="0"/>
            <w:vAlign w:val="center"/>
          </w:tcPr>
          <w:p w14:paraId="5B3F32D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lang w:val="en-US" w:eastAsia="zh-CN" w:bidi="ar-SA"/>
              </w:rPr>
              <w:t>间接助力岳阳经济发展</w:t>
            </w:r>
          </w:p>
        </w:tc>
        <w:tc>
          <w:tcPr>
            <w:tcW w:w="1119" w:type="dxa"/>
            <w:noWrap w:val="0"/>
            <w:vAlign w:val="center"/>
          </w:tcPr>
          <w:p w14:paraId="47FC364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lang w:val="en-US" w:eastAsia="zh-CN" w:bidi="ar-SA"/>
              </w:rPr>
              <w:t>助力岳阳经济发展</w:t>
            </w:r>
          </w:p>
        </w:tc>
        <w:tc>
          <w:tcPr>
            <w:tcW w:w="1119" w:type="dxa"/>
            <w:noWrap w:val="0"/>
            <w:vAlign w:val="center"/>
          </w:tcPr>
          <w:p w14:paraId="0F30152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lang w:val="en-US" w:eastAsia="zh-CN" w:bidi="ar-SA"/>
              </w:rPr>
              <w:t>有效助力</w:t>
            </w:r>
          </w:p>
        </w:tc>
        <w:tc>
          <w:tcPr>
            <w:tcW w:w="811" w:type="dxa"/>
            <w:noWrap w:val="0"/>
            <w:vAlign w:val="center"/>
          </w:tcPr>
          <w:p w14:paraId="32418AE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5</w:t>
            </w:r>
          </w:p>
        </w:tc>
        <w:tc>
          <w:tcPr>
            <w:tcW w:w="912" w:type="dxa"/>
            <w:noWrap w:val="0"/>
            <w:vAlign w:val="center"/>
          </w:tcPr>
          <w:p w14:paraId="79AE607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rPr>
              <w:t>　</w:t>
            </w:r>
            <w:r>
              <w:rPr>
                <w:rFonts w:hint="eastAsia" w:ascii="仿宋_GB2312" w:hAnsi="仿宋_GB2312" w:eastAsia="仿宋_GB2312" w:cs="仿宋_GB2312"/>
                <w:color w:val="auto"/>
                <w:sz w:val="20"/>
                <w:szCs w:val="20"/>
                <w:highlight w:val="none"/>
                <w:lang w:val="en-US" w:eastAsia="zh-CN"/>
              </w:rPr>
              <w:t>5</w:t>
            </w:r>
          </w:p>
        </w:tc>
        <w:tc>
          <w:tcPr>
            <w:tcW w:w="1523" w:type="dxa"/>
            <w:noWrap w:val="0"/>
            <w:vAlign w:val="center"/>
          </w:tcPr>
          <w:p w14:paraId="210B540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kern w:val="0"/>
                <w:sz w:val="20"/>
                <w:szCs w:val="20"/>
                <w:lang w:val="en-US" w:eastAsia="zh-CN" w:bidi="ar-SA"/>
              </w:rPr>
              <w:t>公益项目</w:t>
            </w:r>
          </w:p>
        </w:tc>
      </w:tr>
      <w:tr w14:paraId="3E4D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6A1B3B4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27B3972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restart"/>
            <w:noWrap w:val="0"/>
            <w:vAlign w:val="center"/>
          </w:tcPr>
          <w:p w14:paraId="139AF70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社会效</w:t>
            </w:r>
          </w:p>
          <w:p w14:paraId="18CD57A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00" w:type="dxa"/>
            <w:noWrap w:val="0"/>
            <w:vAlign w:val="center"/>
          </w:tcPr>
          <w:p w14:paraId="7F51C295">
            <w:pPr>
              <w:keepNext w:val="0"/>
              <w:keepLines w:val="0"/>
              <w:pageBreakBefore w:val="0"/>
              <w:widowControl/>
              <w:kinsoku/>
              <w:wordWrap/>
              <w:overflowPunct/>
              <w:topLinePunct w:val="0"/>
              <w:autoSpaceDE/>
              <w:autoSpaceDN/>
              <w:bidi w:val="0"/>
              <w:adjustRightInd/>
              <w:snapToGrid/>
              <w:spacing w:line="340" w:lineRule="exact"/>
              <w:jc w:val="both"/>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增强</w:t>
            </w:r>
            <w:r>
              <w:rPr>
                <w:rFonts w:hint="eastAsia" w:ascii="仿宋_GB2312" w:hAnsi="仿宋_GB2312" w:eastAsia="仿宋_GB2312" w:cs="仿宋_GB2312"/>
                <w:color w:val="000000"/>
                <w:sz w:val="20"/>
                <w:szCs w:val="20"/>
              </w:rPr>
              <w:t>市民幸福感、安全感</w:t>
            </w:r>
          </w:p>
        </w:tc>
        <w:tc>
          <w:tcPr>
            <w:tcW w:w="1119" w:type="dxa"/>
            <w:noWrap w:val="0"/>
            <w:vAlign w:val="center"/>
          </w:tcPr>
          <w:p w14:paraId="27A21E8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lang w:eastAsia="zh-CN"/>
              </w:rPr>
              <w:t>增强</w:t>
            </w:r>
            <w:r>
              <w:rPr>
                <w:rFonts w:hint="eastAsia" w:ascii="仿宋_GB2312" w:hAnsi="仿宋_GB2312" w:eastAsia="仿宋_GB2312" w:cs="仿宋_GB2312"/>
                <w:color w:val="000000"/>
                <w:sz w:val="20"/>
                <w:szCs w:val="20"/>
              </w:rPr>
              <w:t>市民幸福感、安全感</w:t>
            </w:r>
          </w:p>
        </w:tc>
        <w:tc>
          <w:tcPr>
            <w:tcW w:w="1119" w:type="dxa"/>
            <w:noWrap w:val="0"/>
            <w:vAlign w:val="center"/>
          </w:tcPr>
          <w:p w14:paraId="64C9ECD1">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rPr>
              <w:t>有效提升，社会效益良好</w:t>
            </w:r>
          </w:p>
        </w:tc>
        <w:tc>
          <w:tcPr>
            <w:tcW w:w="811" w:type="dxa"/>
            <w:noWrap w:val="0"/>
            <w:vAlign w:val="center"/>
          </w:tcPr>
          <w:p w14:paraId="20840C9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912" w:type="dxa"/>
            <w:noWrap w:val="0"/>
            <w:vAlign w:val="center"/>
          </w:tcPr>
          <w:p w14:paraId="30799D3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523" w:type="dxa"/>
            <w:noWrap w:val="0"/>
            <w:vAlign w:val="center"/>
          </w:tcPr>
          <w:p w14:paraId="4B1FC71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1EA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2C2C6FE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3AE36F23">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continue"/>
            <w:noWrap w:val="0"/>
            <w:vAlign w:val="center"/>
          </w:tcPr>
          <w:p w14:paraId="3682663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00" w:type="dxa"/>
            <w:noWrap w:val="0"/>
            <w:vAlign w:val="center"/>
          </w:tcPr>
          <w:p w14:paraId="10B97B5D">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改善城市夜间出行</w:t>
            </w:r>
          </w:p>
        </w:tc>
        <w:tc>
          <w:tcPr>
            <w:tcW w:w="1119" w:type="dxa"/>
            <w:noWrap w:val="0"/>
            <w:vAlign w:val="center"/>
          </w:tcPr>
          <w:p w14:paraId="3F23144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kern w:val="0"/>
                <w:sz w:val="20"/>
                <w:szCs w:val="20"/>
                <w:lang w:val="en-US" w:eastAsia="zh-CN" w:bidi="ar-SA"/>
              </w:rPr>
              <w:t>改善市民夜间出行环境</w:t>
            </w:r>
          </w:p>
        </w:tc>
        <w:tc>
          <w:tcPr>
            <w:tcW w:w="1119" w:type="dxa"/>
            <w:noWrap w:val="0"/>
            <w:vAlign w:val="center"/>
          </w:tcPr>
          <w:p w14:paraId="5874403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有效改善</w:t>
            </w:r>
          </w:p>
        </w:tc>
        <w:tc>
          <w:tcPr>
            <w:tcW w:w="811" w:type="dxa"/>
            <w:noWrap w:val="0"/>
            <w:vAlign w:val="center"/>
          </w:tcPr>
          <w:p w14:paraId="10532EE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912" w:type="dxa"/>
            <w:noWrap w:val="0"/>
            <w:vAlign w:val="center"/>
          </w:tcPr>
          <w:p w14:paraId="0C79456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rPr>
              <w:t>　</w:t>
            </w:r>
            <w:r>
              <w:rPr>
                <w:rFonts w:hint="eastAsia" w:ascii="仿宋_GB2312" w:hAnsi="仿宋_GB2312" w:eastAsia="仿宋_GB2312" w:cs="仿宋_GB2312"/>
                <w:color w:val="000000"/>
                <w:sz w:val="20"/>
                <w:szCs w:val="20"/>
                <w:highlight w:val="none"/>
                <w:lang w:val="en-US" w:eastAsia="zh-CN"/>
              </w:rPr>
              <w:t>5</w:t>
            </w:r>
          </w:p>
        </w:tc>
        <w:tc>
          <w:tcPr>
            <w:tcW w:w="1523" w:type="dxa"/>
            <w:noWrap w:val="0"/>
            <w:vAlign w:val="center"/>
          </w:tcPr>
          <w:p w14:paraId="35CC272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r w14:paraId="4C56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3E62801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4DA54DA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restart"/>
            <w:noWrap w:val="0"/>
            <w:vAlign w:val="center"/>
          </w:tcPr>
          <w:p w14:paraId="6FF5309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生态效</w:t>
            </w:r>
          </w:p>
          <w:p w14:paraId="7E499AB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益指标</w:t>
            </w:r>
          </w:p>
        </w:tc>
        <w:tc>
          <w:tcPr>
            <w:tcW w:w="1200" w:type="dxa"/>
            <w:noWrap w:val="0"/>
            <w:vAlign w:val="center"/>
          </w:tcPr>
          <w:p w14:paraId="58401D6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创造宜居城市环境</w:t>
            </w:r>
          </w:p>
        </w:tc>
        <w:tc>
          <w:tcPr>
            <w:tcW w:w="1119" w:type="dxa"/>
            <w:noWrap w:val="0"/>
            <w:vAlign w:val="center"/>
          </w:tcPr>
          <w:p w14:paraId="484CCCEB">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kern w:val="0"/>
                <w:sz w:val="20"/>
                <w:szCs w:val="20"/>
                <w:lang w:val="en-US" w:eastAsia="zh-CN" w:bidi="ar-SA"/>
              </w:rPr>
            </w:pPr>
            <w:r>
              <w:rPr>
                <w:rFonts w:hint="default" w:ascii="仿宋_GB2312" w:hAnsi="仿宋_GB2312" w:eastAsia="仿宋_GB2312" w:cs="仿宋_GB2312"/>
                <w:color w:val="000000"/>
                <w:kern w:val="0"/>
                <w:sz w:val="20"/>
                <w:szCs w:val="20"/>
                <w:lang w:val="en-US" w:eastAsia="zh-CN" w:bidi="ar-SA"/>
              </w:rPr>
              <w:t>增加市民夜间休闲空间</w:t>
            </w:r>
          </w:p>
        </w:tc>
        <w:tc>
          <w:tcPr>
            <w:tcW w:w="1119" w:type="dxa"/>
            <w:noWrap w:val="0"/>
            <w:vAlign w:val="center"/>
          </w:tcPr>
          <w:p w14:paraId="4CB1493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sz w:val="20"/>
                <w:szCs w:val="20"/>
                <w:lang w:eastAsia="zh-CN"/>
              </w:rPr>
              <w:t>城市夜间休闲空间不断改善</w:t>
            </w:r>
          </w:p>
        </w:tc>
        <w:tc>
          <w:tcPr>
            <w:tcW w:w="811" w:type="dxa"/>
            <w:noWrap w:val="0"/>
            <w:vAlign w:val="center"/>
          </w:tcPr>
          <w:p w14:paraId="3AEB3C2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2" w:type="dxa"/>
            <w:noWrap w:val="0"/>
            <w:vAlign w:val="center"/>
          </w:tcPr>
          <w:p w14:paraId="1D8B2EF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1523" w:type="dxa"/>
            <w:noWrap w:val="0"/>
            <w:vAlign w:val="center"/>
          </w:tcPr>
          <w:p w14:paraId="28AB187F">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lang w:val="en-US" w:eastAsia="zh-CN"/>
              </w:rPr>
            </w:pPr>
          </w:p>
        </w:tc>
      </w:tr>
      <w:tr w14:paraId="0BD6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51EBDF7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0E4D22A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49" w:type="dxa"/>
            <w:vMerge w:val="continue"/>
            <w:noWrap w:val="0"/>
            <w:vAlign w:val="center"/>
          </w:tcPr>
          <w:p w14:paraId="234111C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200" w:type="dxa"/>
            <w:noWrap w:val="0"/>
            <w:vAlign w:val="center"/>
          </w:tcPr>
          <w:p w14:paraId="5AF5221A">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间接助力生态环境改造</w:t>
            </w:r>
          </w:p>
        </w:tc>
        <w:tc>
          <w:tcPr>
            <w:tcW w:w="1119" w:type="dxa"/>
            <w:noWrap w:val="0"/>
            <w:vAlign w:val="center"/>
          </w:tcPr>
          <w:p w14:paraId="5452C854">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default" w:ascii="仿宋_GB2312" w:hAnsi="仿宋_GB2312" w:eastAsia="仿宋_GB2312" w:cs="仿宋_GB2312"/>
                <w:color w:val="000000"/>
                <w:kern w:val="0"/>
                <w:sz w:val="20"/>
                <w:szCs w:val="20"/>
                <w:lang w:val="en-US" w:eastAsia="zh-CN" w:bidi="ar-SA"/>
              </w:rPr>
              <w:t>推动</w:t>
            </w:r>
            <w:r>
              <w:rPr>
                <w:rFonts w:hint="eastAsia" w:ascii="仿宋_GB2312" w:hAnsi="仿宋_GB2312" w:eastAsia="仿宋_GB2312" w:cs="仿宋_GB2312"/>
                <w:color w:val="000000"/>
                <w:kern w:val="0"/>
                <w:sz w:val="20"/>
                <w:szCs w:val="20"/>
                <w:lang w:val="en-US" w:eastAsia="zh-CN" w:bidi="ar-SA"/>
              </w:rPr>
              <w:t>亮化设施</w:t>
            </w:r>
            <w:r>
              <w:rPr>
                <w:rFonts w:hint="default" w:ascii="仿宋_GB2312" w:hAnsi="仿宋_GB2312" w:eastAsia="仿宋_GB2312" w:cs="仿宋_GB2312"/>
                <w:color w:val="000000"/>
                <w:kern w:val="0"/>
                <w:sz w:val="20"/>
                <w:szCs w:val="20"/>
                <w:lang w:val="en-US" w:eastAsia="zh-CN" w:bidi="ar-SA"/>
              </w:rPr>
              <w:t>节能改造，建设绿色生态城市</w:t>
            </w:r>
            <w:r>
              <w:rPr>
                <w:rFonts w:hint="eastAsia" w:ascii="仿宋_GB2312" w:hAnsi="仿宋_GB2312" w:eastAsia="仿宋_GB2312" w:cs="仿宋_GB2312"/>
                <w:color w:val="000000"/>
                <w:kern w:val="0"/>
                <w:sz w:val="20"/>
                <w:szCs w:val="20"/>
                <w:lang w:val="en-US" w:eastAsia="zh-CN" w:bidi="ar-SA"/>
              </w:rPr>
              <w:t>。</w:t>
            </w:r>
          </w:p>
        </w:tc>
        <w:tc>
          <w:tcPr>
            <w:tcW w:w="1119" w:type="dxa"/>
            <w:noWrap w:val="0"/>
            <w:vAlign w:val="center"/>
          </w:tcPr>
          <w:p w14:paraId="2CD2345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kern w:val="0"/>
                <w:sz w:val="20"/>
                <w:szCs w:val="20"/>
                <w:lang w:val="en-US" w:eastAsia="zh-CN" w:bidi="ar-SA"/>
              </w:rPr>
              <w:t>亮化设施</w:t>
            </w:r>
            <w:r>
              <w:rPr>
                <w:rFonts w:hint="default" w:ascii="仿宋_GB2312" w:hAnsi="仿宋_GB2312" w:eastAsia="仿宋_GB2312" w:cs="仿宋_GB2312"/>
                <w:color w:val="000000"/>
                <w:kern w:val="0"/>
                <w:sz w:val="20"/>
                <w:szCs w:val="20"/>
                <w:lang w:val="en-US" w:eastAsia="zh-CN" w:bidi="ar-SA"/>
              </w:rPr>
              <w:t>节能改造</w:t>
            </w:r>
            <w:r>
              <w:rPr>
                <w:rFonts w:hint="eastAsia" w:ascii="仿宋_GB2312" w:hAnsi="仿宋_GB2312" w:eastAsia="仿宋_GB2312" w:cs="仿宋_GB2312"/>
                <w:color w:val="000000"/>
                <w:kern w:val="0"/>
                <w:sz w:val="20"/>
                <w:szCs w:val="20"/>
                <w:lang w:val="en-US" w:eastAsia="zh-CN" w:bidi="ar-SA"/>
              </w:rPr>
              <w:t>工作有序推进</w:t>
            </w:r>
          </w:p>
        </w:tc>
        <w:tc>
          <w:tcPr>
            <w:tcW w:w="811" w:type="dxa"/>
            <w:noWrap w:val="0"/>
            <w:vAlign w:val="center"/>
          </w:tcPr>
          <w:p w14:paraId="556D833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5</w:t>
            </w:r>
          </w:p>
        </w:tc>
        <w:tc>
          <w:tcPr>
            <w:tcW w:w="912" w:type="dxa"/>
            <w:noWrap w:val="0"/>
            <w:vAlign w:val="center"/>
          </w:tcPr>
          <w:p w14:paraId="1F0B1F6B">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default" w:ascii="仿宋_GB2312" w:hAnsi="仿宋_GB2312" w:eastAsia="仿宋_GB2312" w:cs="仿宋_GB2312"/>
                <w:color w:val="000000"/>
                <w:sz w:val="20"/>
                <w:szCs w:val="20"/>
                <w:highlight w:val="none"/>
                <w:lang w:val="en-US" w:eastAsia="zh-CN"/>
              </w:rPr>
              <w:t>4</w:t>
            </w:r>
          </w:p>
        </w:tc>
        <w:tc>
          <w:tcPr>
            <w:tcW w:w="1523" w:type="dxa"/>
            <w:noWrap w:val="0"/>
            <w:vAlign w:val="center"/>
          </w:tcPr>
          <w:p w14:paraId="5C6CF0C5">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default" w:ascii="仿宋_GB2312" w:hAnsi="仿宋_GB2312" w:eastAsia="仿宋_GB2312" w:cs="仿宋_GB2312"/>
                <w:color w:val="000000"/>
                <w:sz w:val="20"/>
                <w:szCs w:val="20"/>
                <w:highlight w:val="none"/>
                <w:lang w:val="en-US"/>
              </w:rPr>
            </w:pPr>
            <w:r>
              <w:rPr>
                <w:rFonts w:hint="eastAsia" w:ascii="仿宋_GB2312" w:hAnsi="仿宋_GB2312" w:eastAsia="仿宋_GB2312" w:cs="仿宋_GB2312"/>
                <w:color w:val="000000"/>
                <w:sz w:val="20"/>
                <w:szCs w:val="20"/>
                <w:lang w:val="en-US" w:eastAsia="zh-CN"/>
              </w:rPr>
              <w:t>亮化设施节能改造工作进度有待加快，合理调配资金，加快节能改造。</w:t>
            </w:r>
          </w:p>
        </w:tc>
      </w:tr>
      <w:tr w14:paraId="628F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3BCF7562">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vMerge w:val="continue"/>
            <w:noWrap w:val="0"/>
            <w:vAlign w:val="center"/>
          </w:tcPr>
          <w:p w14:paraId="59DB15E9">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p>
        </w:tc>
        <w:tc>
          <w:tcPr>
            <w:tcW w:w="1049" w:type="dxa"/>
            <w:noWrap w:val="0"/>
            <w:vAlign w:val="center"/>
          </w:tcPr>
          <w:p w14:paraId="71231B11">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highlight w:val="none"/>
              </w:rPr>
              <w:t>可持续影响指标</w:t>
            </w:r>
          </w:p>
        </w:tc>
        <w:tc>
          <w:tcPr>
            <w:tcW w:w="1200" w:type="dxa"/>
            <w:noWrap w:val="0"/>
            <w:vAlign w:val="center"/>
          </w:tcPr>
          <w:p w14:paraId="5CE08EE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lang w:eastAsia="zh-CN"/>
              </w:rPr>
              <w:t>夜景亮化提升城市整体形象，</w:t>
            </w:r>
            <w:r>
              <w:rPr>
                <w:rFonts w:hint="eastAsia" w:ascii="仿宋_GB2312" w:hAnsi="仿宋_GB2312" w:eastAsia="仿宋_GB2312" w:cs="仿宋_GB2312"/>
                <w:color w:val="auto"/>
                <w:kern w:val="0"/>
                <w:sz w:val="20"/>
                <w:szCs w:val="20"/>
                <w:lang w:val="en-US" w:eastAsia="zh-CN" w:bidi="ar-SA"/>
              </w:rPr>
              <w:t>改善投资环境</w:t>
            </w:r>
          </w:p>
        </w:tc>
        <w:tc>
          <w:tcPr>
            <w:tcW w:w="1119" w:type="dxa"/>
            <w:noWrap w:val="0"/>
            <w:vAlign w:val="center"/>
          </w:tcPr>
          <w:p w14:paraId="50ED1E6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lang w:eastAsia="zh-CN"/>
              </w:rPr>
              <w:t>美化亮化城市，</w:t>
            </w:r>
            <w:r>
              <w:rPr>
                <w:rFonts w:hint="eastAsia" w:ascii="仿宋_GB2312" w:hAnsi="仿宋_GB2312" w:eastAsia="仿宋_GB2312" w:cs="仿宋_GB2312"/>
                <w:color w:val="auto"/>
                <w:sz w:val="20"/>
                <w:szCs w:val="20"/>
                <w:highlight w:val="none"/>
                <w:lang w:val="en" w:eastAsia="zh-CN"/>
              </w:rPr>
              <w:t>助力城市招商引资</w:t>
            </w:r>
          </w:p>
        </w:tc>
        <w:tc>
          <w:tcPr>
            <w:tcW w:w="1119" w:type="dxa"/>
            <w:noWrap w:val="0"/>
            <w:vAlign w:val="center"/>
          </w:tcPr>
          <w:p w14:paraId="02336A26">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lang w:val="en-US" w:eastAsia="zh-CN"/>
              </w:rPr>
              <w:t>城市整体形象明显提升</w:t>
            </w:r>
          </w:p>
        </w:tc>
        <w:tc>
          <w:tcPr>
            <w:tcW w:w="811" w:type="dxa"/>
            <w:noWrap w:val="0"/>
            <w:vAlign w:val="center"/>
          </w:tcPr>
          <w:p w14:paraId="5209C59C">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5</w:t>
            </w:r>
          </w:p>
        </w:tc>
        <w:tc>
          <w:tcPr>
            <w:tcW w:w="912" w:type="dxa"/>
            <w:noWrap w:val="0"/>
            <w:vAlign w:val="center"/>
          </w:tcPr>
          <w:p w14:paraId="13247296">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auto"/>
                <w:kern w:val="0"/>
                <w:sz w:val="20"/>
                <w:szCs w:val="20"/>
                <w:highlight w:val="none"/>
                <w:lang w:val="en-US" w:eastAsia="zh-CN" w:bidi="ar-SA"/>
              </w:rPr>
            </w:pPr>
            <w:r>
              <w:rPr>
                <w:rFonts w:hint="eastAsia" w:ascii="仿宋_GB2312" w:hAnsi="仿宋_GB2312" w:eastAsia="仿宋_GB2312" w:cs="仿宋_GB2312"/>
                <w:color w:val="auto"/>
                <w:sz w:val="20"/>
                <w:szCs w:val="20"/>
                <w:highlight w:val="none"/>
                <w:lang w:val="en-US" w:eastAsia="zh-CN"/>
              </w:rPr>
              <w:t>5</w:t>
            </w:r>
          </w:p>
        </w:tc>
        <w:tc>
          <w:tcPr>
            <w:tcW w:w="1523" w:type="dxa"/>
            <w:noWrap w:val="0"/>
            <w:vAlign w:val="center"/>
          </w:tcPr>
          <w:p w14:paraId="3CF27E9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FF0000"/>
                <w:sz w:val="20"/>
                <w:szCs w:val="20"/>
                <w:highlight w:val="none"/>
              </w:rPr>
            </w:pPr>
          </w:p>
        </w:tc>
      </w:tr>
      <w:tr w14:paraId="5265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5" w:type="dxa"/>
            <w:vMerge w:val="continue"/>
            <w:noWrap w:val="0"/>
            <w:vAlign w:val="center"/>
          </w:tcPr>
          <w:p w14:paraId="3894E287">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p>
        </w:tc>
        <w:tc>
          <w:tcPr>
            <w:tcW w:w="1063" w:type="dxa"/>
            <w:noWrap w:val="0"/>
            <w:vAlign w:val="center"/>
          </w:tcPr>
          <w:p w14:paraId="014F61E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满意度</w:t>
            </w:r>
          </w:p>
          <w:p w14:paraId="33955943">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指标</w:t>
            </w:r>
          </w:p>
          <w:p w14:paraId="2535AF3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（10分）</w:t>
            </w:r>
          </w:p>
        </w:tc>
        <w:tc>
          <w:tcPr>
            <w:tcW w:w="1049" w:type="dxa"/>
            <w:noWrap w:val="0"/>
            <w:vAlign w:val="center"/>
          </w:tcPr>
          <w:p w14:paraId="2DB42A04">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color w:val="auto"/>
                <w:sz w:val="20"/>
                <w:szCs w:val="20"/>
                <w:highlight w:val="none"/>
              </w:rPr>
              <w:t>服务对象满意度指标</w:t>
            </w:r>
          </w:p>
        </w:tc>
        <w:tc>
          <w:tcPr>
            <w:tcW w:w="1200" w:type="dxa"/>
            <w:noWrap w:val="0"/>
            <w:vAlign w:val="center"/>
          </w:tcPr>
          <w:p w14:paraId="0DF6CCFC">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lang w:eastAsia="zh-CN"/>
              </w:rPr>
              <w:t>市民</w:t>
            </w:r>
            <w:r>
              <w:rPr>
                <w:rFonts w:hint="eastAsia" w:ascii="仿宋_GB2312" w:hAnsi="仿宋_GB2312" w:eastAsia="仿宋_GB2312" w:cs="仿宋_GB2312"/>
                <w:color w:val="auto"/>
                <w:sz w:val="20"/>
                <w:szCs w:val="20"/>
              </w:rPr>
              <w:t>满意度</w:t>
            </w:r>
          </w:p>
        </w:tc>
        <w:tc>
          <w:tcPr>
            <w:tcW w:w="1119" w:type="dxa"/>
            <w:noWrap w:val="0"/>
            <w:vAlign w:val="center"/>
          </w:tcPr>
          <w:p w14:paraId="75D21CDA">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rPr>
              <w:t>　9</w:t>
            </w:r>
            <w:r>
              <w:rPr>
                <w:rFonts w:hint="eastAsia" w:ascii="仿宋_GB2312" w:hAnsi="仿宋_GB2312" w:eastAsia="仿宋_GB2312" w:cs="仿宋_GB2312"/>
                <w:color w:val="auto"/>
                <w:sz w:val="20"/>
                <w:szCs w:val="20"/>
                <w:lang w:val="en-US" w:eastAsia="zh-CN"/>
              </w:rPr>
              <w:t>5</w:t>
            </w:r>
            <w:r>
              <w:rPr>
                <w:rFonts w:hint="eastAsia" w:ascii="仿宋_GB2312" w:hAnsi="仿宋_GB2312" w:eastAsia="仿宋_GB2312" w:cs="仿宋_GB2312"/>
                <w:color w:val="auto"/>
                <w:sz w:val="20"/>
                <w:szCs w:val="20"/>
              </w:rPr>
              <w:t>%</w:t>
            </w:r>
            <w:r>
              <w:rPr>
                <w:rFonts w:hint="eastAsia" w:ascii="仿宋_GB2312" w:hAnsi="仿宋_GB2312" w:eastAsia="仿宋_GB2312" w:cs="仿宋_GB2312"/>
                <w:color w:val="auto"/>
                <w:sz w:val="20"/>
                <w:szCs w:val="20"/>
                <w:lang w:val="en-US" w:eastAsia="zh-CN"/>
              </w:rPr>
              <w:t>以上</w:t>
            </w:r>
          </w:p>
        </w:tc>
        <w:tc>
          <w:tcPr>
            <w:tcW w:w="1119" w:type="dxa"/>
            <w:noWrap w:val="0"/>
            <w:vAlign w:val="center"/>
          </w:tcPr>
          <w:p w14:paraId="1B05F1AE">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auto"/>
                <w:sz w:val="20"/>
                <w:szCs w:val="20"/>
                <w:highlight w:val="none"/>
              </w:rPr>
            </w:pPr>
            <w:r>
              <w:rPr>
                <w:rFonts w:hint="eastAsia" w:ascii="仿宋_GB2312" w:hAnsi="仿宋_GB2312" w:eastAsia="仿宋_GB2312" w:cs="仿宋_GB2312"/>
                <w:color w:val="auto"/>
                <w:sz w:val="20"/>
                <w:szCs w:val="20"/>
              </w:rPr>
              <w:t>　</w:t>
            </w:r>
            <w:r>
              <w:rPr>
                <w:rFonts w:hint="eastAsia" w:ascii="仿宋_GB2312" w:hAnsi="仿宋_GB2312" w:eastAsia="仿宋_GB2312" w:cs="仿宋_GB2312"/>
                <w:color w:val="auto"/>
                <w:sz w:val="20"/>
                <w:szCs w:val="20"/>
                <w:lang w:val="en-US" w:eastAsia="zh-CN"/>
              </w:rPr>
              <w:t>9</w:t>
            </w:r>
            <w:r>
              <w:rPr>
                <w:rFonts w:hint="default" w:ascii="仿宋_GB2312" w:hAnsi="仿宋_GB2312" w:eastAsia="仿宋_GB2312" w:cs="仿宋_GB2312"/>
                <w:color w:val="auto"/>
                <w:sz w:val="20"/>
                <w:szCs w:val="20"/>
                <w:lang w:val="en" w:eastAsia="zh-CN"/>
              </w:rPr>
              <w:t>7</w:t>
            </w:r>
            <w:r>
              <w:rPr>
                <w:rFonts w:hint="eastAsia" w:ascii="仿宋_GB2312" w:hAnsi="仿宋_GB2312" w:eastAsia="仿宋_GB2312" w:cs="仿宋_GB2312"/>
                <w:color w:val="auto"/>
                <w:sz w:val="20"/>
                <w:szCs w:val="20"/>
                <w:lang w:val="en-US" w:eastAsia="zh-CN"/>
              </w:rPr>
              <w:t>%</w:t>
            </w:r>
          </w:p>
        </w:tc>
        <w:tc>
          <w:tcPr>
            <w:tcW w:w="811" w:type="dxa"/>
            <w:noWrap w:val="0"/>
            <w:vAlign w:val="center"/>
          </w:tcPr>
          <w:p w14:paraId="03338BD5">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10</w:t>
            </w:r>
          </w:p>
        </w:tc>
        <w:tc>
          <w:tcPr>
            <w:tcW w:w="912" w:type="dxa"/>
            <w:noWrap w:val="0"/>
            <w:vAlign w:val="center"/>
          </w:tcPr>
          <w:p w14:paraId="29861C4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auto"/>
                <w:sz w:val="20"/>
                <w:szCs w:val="20"/>
                <w:highlight w:val="none"/>
                <w:lang w:val="en-US" w:eastAsia="zh-CN"/>
              </w:rPr>
            </w:pPr>
            <w:r>
              <w:rPr>
                <w:rFonts w:hint="eastAsia" w:ascii="仿宋_GB2312" w:hAnsi="仿宋_GB2312" w:eastAsia="仿宋_GB2312" w:cs="仿宋_GB2312"/>
                <w:color w:val="auto"/>
                <w:sz w:val="20"/>
                <w:szCs w:val="20"/>
                <w:highlight w:val="none"/>
                <w:lang w:val="en-US" w:eastAsia="zh-CN"/>
              </w:rPr>
              <w:t>10</w:t>
            </w:r>
          </w:p>
        </w:tc>
        <w:tc>
          <w:tcPr>
            <w:tcW w:w="1523" w:type="dxa"/>
            <w:noWrap w:val="0"/>
            <w:vAlign w:val="center"/>
          </w:tcPr>
          <w:p w14:paraId="1256BEC0">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FF0000"/>
                <w:sz w:val="20"/>
                <w:szCs w:val="20"/>
                <w:highlight w:val="none"/>
              </w:rPr>
            </w:pPr>
            <w:r>
              <w:rPr>
                <w:rFonts w:hint="eastAsia" w:ascii="仿宋_GB2312" w:hAnsi="仿宋_GB2312" w:eastAsia="仿宋_GB2312" w:cs="仿宋_GB2312"/>
                <w:color w:val="FF0000"/>
                <w:sz w:val="20"/>
                <w:szCs w:val="20"/>
                <w:highlight w:val="none"/>
              </w:rPr>
              <w:t>　</w:t>
            </w:r>
          </w:p>
        </w:tc>
      </w:tr>
      <w:tr w14:paraId="738A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jc w:val="center"/>
        </w:trPr>
        <w:tc>
          <w:tcPr>
            <w:tcW w:w="6605" w:type="dxa"/>
            <w:gridSpan w:val="6"/>
            <w:noWrap w:val="0"/>
            <w:vAlign w:val="center"/>
          </w:tcPr>
          <w:p w14:paraId="09D6D547">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总分</w:t>
            </w:r>
          </w:p>
        </w:tc>
        <w:tc>
          <w:tcPr>
            <w:tcW w:w="811" w:type="dxa"/>
            <w:noWrap w:val="0"/>
            <w:vAlign w:val="center"/>
          </w:tcPr>
          <w:p w14:paraId="0920FCDF">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100</w:t>
            </w:r>
          </w:p>
        </w:tc>
        <w:tc>
          <w:tcPr>
            <w:tcW w:w="912" w:type="dxa"/>
            <w:noWrap w:val="0"/>
            <w:vAlign w:val="center"/>
          </w:tcPr>
          <w:p w14:paraId="391A1D8E">
            <w:pPr>
              <w:keepNext w:val="0"/>
              <w:keepLines w:val="0"/>
              <w:pageBreakBefore w:val="0"/>
              <w:widowControl/>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color w:val="000000"/>
                <w:sz w:val="20"/>
                <w:szCs w:val="20"/>
                <w:highlight w:val="none"/>
                <w:lang w:val="en-US" w:eastAsia="zh-CN"/>
              </w:rPr>
            </w:pPr>
            <w:r>
              <w:rPr>
                <w:rFonts w:hint="eastAsia" w:ascii="仿宋_GB2312" w:hAnsi="仿宋_GB2312" w:eastAsia="仿宋_GB2312" w:cs="仿宋_GB2312"/>
                <w:color w:val="000000"/>
                <w:sz w:val="20"/>
                <w:szCs w:val="20"/>
                <w:highlight w:val="none"/>
                <w:lang w:val="en-US" w:eastAsia="zh-CN"/>
              </w:rPr>
              <w:t>9</w:t>
            </w:r>
            <w:r>
              <w:rPr>
                <w:rFonts w:hint="default" w:ascii="仿宋_GB2312" w:hAnsi="仿宋_GB2312" w:eastAsia="仿宋_GB2312" w:cs="仿宋_GB2312"/>
                <w:color w:val="000000"/>
                <w:sz w:val="20"/>
                <w:szCs w:val="20"/>
                <w:highlight w:val="none"/>
                <w:lang w:val="en-US" w:eastAsia="zh-CN"/>
              </w:rPr>
              <w:t>9</w:t>
            </w:r>
          </w:p>
        </w:tc>
        <w:tc>
          <w:tcPr>
            <w:tcW w:w="1523" w:type="dxa"/>
            <w:noWrap w:val="0"/>
            <w:vAlign w:val="center"/>
          </w:tcPr>
          <w:p w14:paraId="7B31884D">
            <w:pPr>
              <w:keepNext w:val="0"/>
              <w:keepLines w:val="0"/>
              <w:pageBreakBefore w:val="0"/>
              <w:widowControl/>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color w:val="000000"/>
                <w:sz w:val="20"/>
                <w:szCs w:val="20"/>
                <w:highlight w:val="none"/>
              </w:rPr>
            </w:pPr>
            <w:r>
              <w:rPr>
                <w:rFonts w:hint="eastAsia" w:ascii="仿宋_GB2312" w:hAnsi="仿宋_GB2312" w:eastAsia="仿宋_GB2312" w:cs="仿宋_GB2312"/>
                <w:color w:val="000000"/>
                <w:sz w:val="20"/>
                <w:szCs w:val="20"/>
                <w:highlight w:val="none"/>
              </w:rPr>
              <w:t>　</w:t>
            </w:r>
          </w:p>
        </w:tc>
      </w:tr>
    </w:tbl>
    <w:p w14:paraId="0AE56EC9">
      <w:pPr>
        <w:keepNext w:val="0"/>
        <w:keepLines w:val="0"/>
        <w:pageBreakBefore w:val="0"/>
        <w:kinsoku/>
        <w:wordWrap/>
        <w:overflowPunct/>
        <w:topLinePunct w:val="0"/>
        <w:autoSpaceDE/>
        <w:autoSpaceDN/>
        <w:bidi w:val="0"/>
        <w:adjustRightInd/>
        <w:snapToGrid/>
        <w:spacing w:line="340" w:lineRule="exact"/>
        <w:textAlignment w:val="auto"/>
        <w:rPr>
          <w:rFonts w:hint="default" w:ascii="Times New Roman" w:hAnsi="Times New Roman" w:eastAsia="仿宋_GB2312" w:cs="Times New Roman"/>
          <w:sz w:val="18"/>
          <w:szCs w:val="18"/>
          <w:highlight w:val="none"/>
        </w:rPr>
      </w:pPr>
    </w:p>
    <w:p w14:paraId="4EEBC81B">
      <w:pPr>
        <w:keepNext w:val="0"/>
        <w:keepLines w:val="0"/>
        <w:pageBreakBefore w:val="0"/>
        <w:kinsoku/>
        <w:wordWrap/>
        <w:overflowPunct/>
        <w:topLinePunct w:val="0"/>
        <w:autoSpaceDE/>
        <w:autoSpaceDN/>
        <w:bidi w:val="0"/>
        <w:adjustRightInd/>
        <w:snapToGrid/>
        <w:spacing w:line="340" w:lineRule="exact"/>
        <w:textAlignment w:val="auto"/>
        <w:rPr>
          <w:rFonts w:hint="eastAsia" w:ascii="CESI仿宋-GB2312" w:hAnsi="CESI仿宋-GB2312" w:eastAsia="CESI仿宋-GB2312" w:cs="CESI仿宋-GB2312"/>
          <w:color w:val="auto"/>
          <w:sz w:val="22"/>
          <w:szCs w:val="22"/>
          <w:lang w:eastAsia="zh-CN"/>
        </w:rPr>
      </w:pPr>
      <w:r>
        <w:rPr>
          <w:rFonts w:hint="eastAsia" w:ascii="仿宋_GB2312" w:hAnsi="仿宋_GB2312" w:eastAsia="仿宋_GB2312" w:cs="仿宋_GB2312"/>
          <w:sz w:val="22"/>
          <w:szCs w:val="22"/>
        </w:rPr>
        <w:t>填表人：</w:t>
      </w:r>
      <w:r>
        <w:rPr>
          <w:rFonts w:hint="eastAsia" w:ascii="仿宋_GB2312" w:hAnsi="仿宋_GB2312" w:eastAsia="仿宋_GB2312" w:cs="仿宋_GB2312"/>
          <w:sz w:val="22"/>
          <w:szCs w:val="22"/>
          <w:lang w:eastAsia="zh-CN"/>
        </w:rPr>
        <w:t>章迪</w:t>
      </w:r>
      <w:r>
        <w:rPr>
          <w:rFonts w:hint="eastAsia" w:ascii="仿宋_GB2312" w:hAnsi="仿宋_GB2312" w:eastAsia="仿宋_GB2312" w:cs="仿宋_GB2312"/>
          <w:sz w:val="22"/>
          <w:szCs w:val="22"/>
        </w:rPr>
        <w:t xml:space="preserve">  填报日期：</w:t>
      </w:r>
      <w:r>
        <w:rPr>
          <w:rFonts w:hint="eastAsia" w:ascii="仿宋_GB2312" w:hAnsi="仿宋_GB2312" w:eastAsia="仿宋_GB2312" w:cs="仿宋_GB2312"/>
          <w:sz w:val="22"/>
          <w:szCs w:val="22"/>
          <w:lang w:val="en-US" w:eastAsia="zh-CN"/>
        </w:rPr>
        <w:t xml:space="preserve">2025.6.4  </w:t>
      </w:r>
      <w:r>
        <w:rPr>
          <w:rFonts w:hint="eastAsia" w:ascii="仿宋_GB2312" w:hAnsi="仿宋_GB2312" w:eastAsia="仿宋_GB2312" w:cs="仿宋_GB2312"/>
          <w:sz w:val="22"/>
          <w:szCs w:val="22"/>
        </w:rPr>
        <w:t>联系电话：</w:t>
      </w:r>
      <w:r>
        <w:rPr>
          <w:rFonts w:hint="eastAsia" w:ascii="仿宋_GB2312" w:hAnsi="仿宋_GB2312" w:eastAsia="仿宋_GB2312" w:cs="仿宋_GB2312"/>
          <w:sz w:val="22"/>
          <w:szCs w:val="22"/>
          <w:lang w:val="en-US" w:eastAsia="zh-CN"/>
        </w:rPr>
        <w:t>8222406</w:t>
      </w:r>
      <w:r>
        <w:rPr>
          <w:rFonts w:hint="eastAsia" w:ascii="仿宋_GB2312" w:hAnsi="仿宋_GB2312" w:eastAsia="仿宋_GB2312" w:cs="仿宋_GB2312"/>
          <w:sz w:val="22"/>
          <w:szCs w:val="22"/>
        </w:rPr>
        <w:t xml:space="preserve">  </w:t>
      </w:r>
      <w:r>
        <w:rPr>
          <w:rFonts w:hint="eastAsia" w:ascii="仿宋_GB2312" w:hAnsi="仿宋_GB2312" w:eastAsia="仿宋_GB2312" w:cs="仿宋_GB2312"/>
          <w:color w:val="auto"/>
          <w:sz w:val="22"/>
          <w:szCs w:val="22"/>
          <w:lang w:val="en-US" w:eastAsia="zh-CN"/>
        </w:rPr>
        <w:t xml:space="preserve"> </w:t>
      </w:r>
      <w:r>
        <w:rPr>
          <w:rFonts w:hint="eastAsia" w:ascii="仿宋_GB2312" w:hAnsi="仿宋_GB2312" w:eastAsia="仿宋_GB2312" w:cs="仿宋_GB2312"/>
          <w:color w:val="auto"/>
          <w:sz w:val="22"/>
          <w:szCs w:val="22"/>
        </w:rPr>
        <w:t>单位负责人</w:t>
      </w:r>
      <w:r>
        <w:rPr>
          <w:rFonts w:hint="eastAsia" w:ascii="仿宋_GB2312" w:hAnsi="仿宋_GB2312" w:eastAsia="仿宋_GB2312" w:cs="仿宋_GB2312"/>
          <w:color w:val="auto"/>
          <w:sz w:val="22"/>
          <w:szCs w:val="22"/>
          <w:lang w:eastAsia="zh-CN"/>
        </w:rPr>
        <w:t>：</w:t>
      </w:r>
      <w:r>
        <w:rPr>
          <w:rFonts w:hint="eastAsia" w:ascii="仿宋_GB2312" w:hAnsi="仿宋_GB2312" w:eastAsia="仿宋_GB2312" w:cs="仿宋_GB2312"/>
          <w:color w:val="auto"/>
          <w:sz w:val="22"/>
          <w:szCs w:val="22"/>
          <w:lang w:val="en-US" w:eastAsia="zh-CN"/>
        </w:rPr>
        <w:t>王玮</w:t>
      </w:r>
    </w:p>
    <w:p w14:paraId="426627AD">
      <w:pPr>
        <w:keepNext w:val="0"/>
        <w:keepLines w:val="0"/>
        <w:pageBreakBefore w:val="0"/>
        <w:kinsoku/>
        <w:wordWrap/>
        <w:overflowPunct/>
        <w:topLinePunct w:val="0"/>
        <w:autoSpaceDE/>
        <w:autoSpaceDN/>
        <w:bidi w:val="0"/>
        <w:adjustRightInd/>
        <w:snapToGrid/>
        <w:spacing w:line="340" w:lineRule="exact"/>
        <w:textAlignment w:val="auto"/>
        <w:rPr>
          <w:rFonts w:hint="eastAsia" w:ascii="CESI仿宋-GB2312" w:hAnsi="CESI仿宋-GB2312" w:eastAsia="CESI仿宋-GB2312" w:cs="CESI仿宋-GB2312"/>
          <w:color w:val="auto"/>
          <w:sz w:val="22"/>
          <w:szCs w:val="22"/>
          <w:lang w:eastAsia="zh-CN"/>
        </w:rPr>
      </w:pPr>
    </w:p>
    <w:p w14:paraId="56F41DF7">
      <w:pPr>
        <w:rPr>
          <w:rFonts w:hint="eastAsia"/>
          <w:lang w:eastAsia="zh-CN"/>
        </w:rPr>
      </w:pPr>
    </w:p>
    <w:p w14:paraId="75F6D3FF">
      <w:pPr>
        <w:pStyle w:val="4"/>
        <w:ind w:left="0" w:leftChars="0" w:firstLine="0" w:firstLineChars="0"/>
        <w:rPr>
          <w:rFonts w:hint="eastAsia"/>
          <w:lang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1D98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4F5E9">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C4F5E9">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5D4F8E"/>
    <w:multiLevelType w:val="singleLevel"/>
    <w:tmpl w:val="805D4F8E"/>
    <w:lvl w:ilvl="0" w:tentative="0">
      <w:start w:val="4"/>
      <w:numFmt w:val="chineseCounting"/>
      <w:suff w:val="nothing"/>
      <w:lvlText w:val="%1、"/>
      <w:lvlJc w:val="left"/>
      <w:rPr>
        <w:rFonts w:hint="eastAsia"/>
      </w:rPr>
    </w:lvl>
  </w:abstractNum>
  <w:abstractNum w:abstractNumId="1">
    <w:nsid w:val="DD1A013B"/>
    <w:multiLevelType w:val="singleLevel"/>
    <w:tmpl w:val="DD1A013B"/>
    <w:lvl w:ilvl="0" w:tentative="0">
      <w:start w:val="1"/>
      <w:numFmt w:val="chineseCounting"/>
      <w:suff w:val="nothing"/>
      <w:lvlText w:val="%1、"/>
      <w:lvlJc w:val="left"/>
      <w:rPr>
        <w:rFonts w:hint="eastAsia"/>
      </w:rPr>
    </w:lvl>
  </w:abstractNum>
  <w:abstractNum w:abstractNumId="2">
    <w:nsid w:val="FF7F70BB"/>
    <w:multiLevelType w:val="singleLevel"/>
    <w:tmpl w:val="FF7F70BB"/>
    <w:lvl w:ilvl="0" w:tentative="0">
      <w:start w:val="1"/>
      <w:numFmt w:val="chineseCounting"/>
      <w:suff w:val="nothing"/>
      <w:lvlText w:val="（%1）"/>
      <w:lvlJc w:val="left"/>
      <w:rPr>
        <w:rFonts w:hint="eastAsia"/>
      </w:rPr>
    </w:lvl>
  </w:abstractNum>
  <w:abstractNum w:abstractNumId="3">
    <w:nsid w:val="30A46630"/>
    <w:multiLevelType w:val="singleLevel"/>
    <w:tmpl w:val="30A46630"/>
    <w:lvl w:ilvl="0" w:tentative="0">
      <w:start w:val="1"/>
      <w:numFmt w:val="chineseCounting"/>
      <w:suff w:val="nothing"/>
      <w:lvlText w:val="（%1）"/>
      <w:lvlJc w:val="left"/>
      <w:rPr>
        <w:rFonts w:hint="eastAsia"/>
      </w:rPr>
    </w:lvl>
  </w:abstractNum>
  <w:abstractNum w:abstractNumId="4">
    <w:nsid w:val="49156B2E"/>
    <w:multiLevelType w:val="singleLevel"/>
    <w:tmpl w:val="49156B2E"/>
    <w:lvl w:ilvl="0" w:tentative="0">
      <w:start w:val="2"/>
      <w:numFmt w:val="chineseCounting"/>
      <w:suff w:val="nothing"/>
      <w:lvlText w:val="（%1）"/>
      <w:lvlJc w:val="left"/>
      <w:pPr>
        <w:ind w:left="-83"/>
      </w:pPr>
      <w:rPr>
        <w:rFonts w:hint="eastAsia" w:ascii="仿宋_GB2312" w:hAnsi="仿宋_GB2312" w:eastAsia="仿宋_GB2312" w:cs="仿宋_GB2312"/>
      </w:rPr>
    </w:lvl>
  </w:abstractNum>
  <w:abstractNum w:abstractNumId="5">
    <w:nsid w:val="5DDAF873"/>
    <w:multiLevelType w:val="singleLevel"/>
    <w:tmpl w:val="5DDAF873"/>
    <w:lvl w:ilvl="0" w:tentative="0">
      <w:start w:val="5"/>
      <w:numFmt w:val="chineseCounting"/>
      <w:suff w:val="nothing"/>
      <w:lvlText w:val="（%1）"/>
      <w:lvlJc w:val="left"/>
      <w:pPr>
        <w:ind w:left="640" w:firstLine="0"/>
      </w:pPr>
      <w:rPr>
        <w:rFonts w:hint="eastAsia"/>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OTBlMjkxOGJkZTY2YWVjYTkxNWZjODEzNjkwZDcifQ=="/>
  </w:docVars>
  <w:rsids>
    <w:rsidRoot w:val="59886344"/>
    <w:rsid w:val="007200AE"/>
    <w:rsid w:val="008B7D2F"/>
    <w:rsid w:val="00F42F54"/>
    <w:rsid w:val="010A29DC"/>
    <w:rsid w:val="01320BFA"/>
    <w:rsid w:val="013C690E"/>
    <w:rsid w:val="016C0FA1"/>
    <w:rsid w:val="01C012ED"/>
    <w:rsid w:val="01CC7C92"/>
    <w:rsid w:val="023D46EC"/>
    <w:rsid w:val="02BA520D"/>
    <w:rsid w:val="03887BE8"/>
    <w:rsid w:val="038B1487"/>
    <w:rsid w:val="03947371"/>
    <w:rsid w:val="039A2A86"/>
    <w:rsid w:val="03D80B70"/>
    <w:rsid w:val="03EF7C67"/>
    <w:rsid w:val="04131BA8"/>
    <w:rsid w:val="04131D4A"/>
    <w:rsid w:val="044B331B"/>
    <w:rsid w:val="048B2A31"/>
    <w:rsid w:val="04CBF185"/>
    <w:rsid w:val="04E26BF7"/>
    <w:rsid w:val="055C132D"/>
    <w:rsid w:val="056D52E8"/>
    <w:rsid w:val="05A76A4C"/>
    <w:rsid w:val="05C0366A"/>
    <w:rsid w:val="0687062B"/>
    <w:rsid w:val="06FF0D9C"/>
    <w:rsid w:val="075F4141"/>
    <w:rsid w:val="075F5104"/>
    <w:rsid w:val="07754928"/>
    <w:rsid w:val="07D14A31"/>
    <w:rsid w:val="081D70BD"/>
    <w:rsid w:val="083311CC"/>
    <w:rsid w:val="09127B58"/>
    <w:rsid w:val="09D973F0"/>
    <w:rsid w:val="0A29476A"/>
    <w:rsid w:val="0A2A7C4B"/>
    <w:rsid w:val="0A4B2358"/>
    <w:rsid w:val="0A7C7039"/>
    <w:rsid w:val="0A805ABD"/>
    <w:rsid w:val="0A8E361C"/>
    <w:rsid w:val="0AA70798"/>
    <w:rsid w:val="0AAF1EFF"/>
    <w:rsid w:val="0AC43BFC"/>
    <w:rsid w:val="0AEF054D"/>
    <w:rsid w:val="0B1E6035"/>
    <w:rsid w:val="0B3E52F2"/>
    <w:rsid w:val="0B7B6A8B"/>
    <w:rsid w:val="0B9C25CD"/>
    <w:rsid w:val="0BA776D8"/>
    <w:rsid w:val="0C1F444D"/>
    <w:rsid w:val="0C4F1BEB"/>
    <w:rsid w:val="0CEA22C9"/>
    <w:rsid w:val="0D104ECE"/>
    <w:rsid w:val="0D1C7D1F"/>
    <w:rsid w:val="0D22079D"/>
    <w:rsid w:val="0D437BE5"/>
    <w:rsid w:val="0DBA3094"/>
    <w:rsid w:val="0E4E4698"/>
    <w:rsid w:val="0E87741A"/>
    <w:rsid w:val="0ECA37AB"/>
    <w:rsid w:val="0EF7E335"/>
    <w:rsid w:val="0F1A24B5"/>
    <w:rsid w:val="0F267955"/>
    <w:rsid w:val="0F707EAE"/>
    <w:rsid w:val="0F9D2C6D"/>
    <w:rsid w:val="0FA91612"/>
    <w:rsid w:val="0FAF079F"/>
    <w:rsid w:val="0FB57FB7"/>
    <w:rsid w:val="0FCC3B6B"/>
    <w:rsid w:val="10014FAA"/>
    <w:rsid w:val="10246EEB"/>
    <w:rsid w:val="10481EE0"/>
    <w:rsid w:val="10675755"/>
    <w:rsid w:val="10961E1D"/>
    <w:rsid w:val="10BB1506"/>
    <w:rsid w:val="10EC17B7"/>
    <w:rsid w:val="11404570"/>
    <w:rsid w:val="11492E52"/>
    <w:rsid w:val="115832F0"/>
    <w:rsid w:val="11D16BFE"/>
    <w:rsid w:val="124C3827"/>
    <w:rsid w:val="12526F96"/>
    <w:rsid w:val="12C2329D"/>
    <w:rsid w:val="12EC1F42"/>
    <w:rsid w:val="12F2507E"/>
    <w:rsid w:val="135F6908"/>
    <w:rsid w:val="138D755E"/>
    <w:rsid w:val="13961EAE"/>
    <w:rsid w:val="13BD56CC"/>
    <w:rsid w:val="13BF2ED5"/>
    <w:rsid w:val="13EE5846"/>
    <w:rsid w:val="143A4F2F"/>
    <w:rsid w:val="14847F58"/>
    <w:rsid w:val="149614BC"/>
    <w:rsid w:val="14D80309"/>
    <w:rsid w:val="14FFB1E3"/>
    <w:rsid w:val="154528B2"/>
    <w:rsid w:val="15510782"/>
    <w:rsid w:val="15655FDB"/>
    <w:rsid w:val="15C154CF"/>
    <w:rsid w:val="15DD5B72"/>
    <w:rsid w:val="160475A2"/>
    <w:rsid w:val="16096967"/>
    <w:rsid w:val="16E762AF"/>
    <w:rsid w:val="16FFDE7F"/>
    <w:rsid w:val="171F0588"/>
    <w:rsid w:val="1763479D"/>
    <w:rsid w:val="17AD4DD1"/>
    <w:rsid w:val="17AF1790"/>
    <w:rsid w:val="17E94CA2"/>
    <w:rsid w:val="183E6567"/>
    <w:rsid w:val="18493992"/>
    <w:rsid w:val="185F4F64"/>
    <w:rsid w:val="18CD6371"/>
    <w:rsid w:val="18D25736"/>
    <w:rsid w:val="18FA4C8D"/>
    <w:rsid w:val="19200BE6"/>
    <w:rsid w:val="192B4E46"/>
    <w:rsid w:val="19510D51"/>
    <w:rsid w:val="1A2E2E40"/>
    <w:rsid w:val="1A3B9CEA"/>
    <w:rsid w:val="1A4245C3"/>
    <w:rsid w:val="1AC02F99"/>
    <w:rsid w:val="1AF38AE2"/>
    <w:rsid w:val="1B2D1349"/>
    <w:rsid w:val="1B4B17D0"/>
    <w:rsid w:val="1B7F2977"/>
    <w:rsid w:val="1BB76E46"/>
    <w:rsid w:val="1BBC9B65"/>
    <w:rsid w:val="1C1B3898"/>
    <w:rsid w:val="1C534DE0"/>
    <w:rsid w:val="1CC32D57"/>
    <w:rsid w:val="1CDD793F"/>
    <w:rsid w:val="1CDF4F7E"/>
    <w:rsid w:val="1CE95A02"/>
    <w:rsid w:val="1CFE11EF"/>
    <w:rsid w:val="1D6D0123"/>
    <w:rsid w:val="1D7FA836"/>
    <w:rsid w:val="1D94893A"/>
    <w:rsid w:val="1DAD49C3"/>
    <w:rsid w:val="1DF51B31"/>
    <w:rsid w:val="1E6F86CE"/>
    <w:rsid w:val="1E7F010E"/>
    <w:rsid w:val="1E90231B"/>
    <w:rsid w:val="1E9F7573"/>
    <w:rsid w:val="1EFACA2E"/>
    <w:rsid w:val="1F134CFA"/>
    <w:rsid w:val="1F1A22A4"/>
    <w:rsid w:val="1F3BE52E"/>
    <w:rsid w:val="1F3C3B5B"/>
    <w:rsid w:val="1F65554F"/>
    <w:rsid w:val="1F7C289F"/>
    <w:rsid w:val="1F9F2D5F"/>
    <w:rsid w:val="1FBEEB04"/>
    <w:rsid w:val="207812B9"/>
    <w:rsid w:val="20816757"/>
    <w:rsid w:val="216E446A"/>
    <w:rsid w:val="217C0935"/>
    <w:rsid w:val="2181419D"/>
    <w:rsid w:val="21BC701B"/>
    <w:rsid w:val="21EE1107"/>
    <w:rsid w:val="22482474"/>
    <w:rsid w:val="22482D43"/>
    <w:rsid w:val="22483303"/>
    <w:rsid w:val="225C42C2"/>
    <w:rsid w:val="22A939AB"/>
    <w:rsid w:val="22B8599C"/>
    <w:rsid w:val="22D7265F"/>
    <w:rsid w:val="231418B0"/>
    <w:rsid w:val="236E1660"/>
    <w:rsid w:val="239605DE"/>
    <w:rsid w:val="23B02B18"/>
    <w:rsid w:val="23D97AB7"/>
    <w:rsid w:val="23FF845B"/>
    <w:rsid w:val="24520ADF"/>
    <w:rsid w:val="2468515C"/>
    <w:rsid w:val="24CF521F"/>
    <w:rsid w:val="255D2739"/>
    <w:rsid w:val="25867FD4"/>
    <w:rsid w:val="25C74149"/>
    <w:rsid w:val="261B04A2"/>
    <w:rsid w:val="26212B85"/>
    <w:rsid w:val="26B172D2"/>
    <w:rsid w:val="26DF027F"/>
    <w:rsid w:val="26E43DCB"/>
    <w:rsid w:val="26EA6341"/>
    <w:rsid w:val="26F14BE3"/>
    <w:rsid w:val="26FC03BD"/>
    <w:rsid w:val="275434FD"/>
    <w:rsid w:val="2762237B"/>
    <w:rsid w:val="27DADB30"/>
    <w:rsid w:val="27E64D5A"/>
    <w:rsid w:val="27EA4D2F"/>
    <w:rsid w:val="27EEFD3F"/>
    <w:rsid w:val="27F5510A"/>
    <w:rsid w:val="27F71BB0"/>
    <w:rsid w:val="27F7A504"/>
    <w:rsid w:val="284877C3"/>
    <w:rsid w:val="289522DC"/>
    <w:rsid w:val="28B560BE"/>
    <w:rsid w:val="28C36E49"/>
    <w:rsid w:val="290D27BA"/>
    <w:rsid w:val="298C7D9B"/>
    <w:rsid w:val="29AE18A7"/>
    <w:rsid w:val="29B35110"/>
    <w:rsid w:val="2A2878AC"/>
    <w:rsid w:val="2A5A5676"/>
    <w:rsid w:val="2A622692"/>
    <w:rsid w:val="2A86EA99"/>
    <w:rsid w:val="2AAE58D7"/>
    <w:rsid w:val="2ADE61BC"/>
    <w:rsid w:val="2B2D4A4E"/>
    <w:rsid w:val="2BA2543C"/>
    <w:rsid w:val="2BEB6DE3"/>
    <w:rsid w:val="2BFF1D57"/>
    <w:rsid w:val="2C167E8F"/>
    <w:rsid w:val="2C211588"/>
    <w:rsid w:val="2C387B4E"/>
    <w:rsid w:val="2C4E6D38"/>
    <w:rsid w:val="2CF557A9"/>
    <w:rsid w:val="2CFBE5BD"/>
    <w:rsid w:val="2D486799"/>
    <w:rsid w:val="2D6D383A"/>
    <w:rsid w:val="2D7124F1"/>
    <w:rsid w:val="2DD41AF8"/>
    <w:rsid w:val="2E20089A"/>
    <w:rsid w:val="2E555BD0"/>
    <w:rsid w:val="2EBE0079"/>
    <w:rsid w:val="2EBEC15B"/>
    <w:rsid w:val="2EDC8137"/>
    <w:rsid w:val="2EEC63A7"/>
    <w:rsid w:val="2EF20488"/>
    <w:rsid w:val="2F0B154A"/>
    <w:rsid w:val="2F287E07"/>
    <w:rsid w:val="2F3F2FA2"/>
    <w:rsid w:val="2F6B41A3"/>
    <w:rsid w:val="2F7CB1B4"/>
    <w:rsid w:val="2F874C11"/>
    <w:rsid w:val="2F8E07F4"/>
    <w:rsid w:val="2FA5FE0B"/>
    <w:rsid w:val="2FAA2B11"/>
    <w:rsid w:val="2FBE78C4"/>
    <w:rsid w:val="2FEA32E8"/>
    <w:rsid w:val="2FEE0B34"/>
    <w:rsid w:val="2FF1F9B8"/>
    <w:rsid w:val="2FFBB3D0"/>
    <w:rsid w:val="2FFDAF4F"/>
    <w:rsid w:val="301E15CC"/>
    <w:rsid w:val="3036513C"/>
    <w:rsid w:val="303C36D4"/>
    <w:rsid w:val="304F7540"/>
    <w:rsid w:val="30721F21"/>
    <w:rsid w:val="30FA3624"/>
    <w:rsid w:val="31061FC9"/>
    <w:rsid w:val="31181CFC"/>
    <w:rsid w:val="31683035"/>
    <w:rsid w:val="31715F0D"/>
    <w:rsid w:val="31D76F4E"/>
    <w:rsid w:val="31E87920"/>
    <w:rsid w:val="32546D64"/>
    <w:rsid w:val="32A41A99"/>
    <w:rsid w:val="32F04CDF"/>
    <w:rsid w:val="33072028"/>
    <w:rsid w:val="3338058E"/>
    <w:rsid w:val="335EF974"/>
    <w:rsid w:val="33A3F913"/>
    <w:rsid w:val="33B127AD"/>
    <w:rsid w:val="33B77EFA"/>
    <w:rsid w:val="33CB09A0"/>
    <w:rsid w:val="33D62DD7"/>
    <w:rsid w:val="33DA0AC3"/>
    <w:rsid w:val="33E517FA"/>
    <w:rsid w:val="340842AA"/>
    <w:rsid w:val="341430B6"/>
    <w:rsid w:val="34164C19"/>
    <w:rsid w:val="34181F9A"/>
    <w:rsid w:val="342D5B84"/>
    <w:rsid w:val="343E7CCC"/>
    <w:rsid w:val="343F2D95"/>
    <w:rsid w:val="347D07F4"/>
    <w:rsid w:val="349B6ECC"/>
    <w:rsid w:val="34D96C06"/>
    <w:rsid w:val="34EB57C1"/>
    <w:rsid w:val="34F36D08"/>
    <w:rsid w:val="353943A0"/>
    <w:rsid w:val="354632DC"/>
    <w:rsid w:val="35613C72"/>
    <w:rsid w:val="356B1C82"/>
    <w:rsid w:val="359B692C"/>
    <w:rsid w:val="35D73F34"/>
    <w:rsid w:val="361B02C4"/>
    <w:rsid w:val="361B4247"/>
    <w:rsid w:val="364C2B74"/>
    <w:rsid w:val="36CFA034"/>
    <w:rsid w:val="36DA1F2E"/>
    <w:rsid w:val="36EF07CF"/>
    <w:rsid w:val="37054AD1"/>
    <w:rsid w:val="372907BF"/>
    <w:rsid w:val="3767D9F7"/>
    <w:rsid w:val="37DF3574"/>
    <w:rsid w:val="37EF1A09"/>
    <w:rsid w:val="37FF23F9"/>
    <w:rsid w:val="38547ABE"/>
    <w:rsid w:val="385F1BB6"/>
    <w:rsid w:val="387A364E"/>
    <w:rsid w:val="387B329C"/>
    <w:rsid w:val="38860F79"/>
    <w:rsid w:val="389053A4"/>
    <w:rsid w:val="38A345A1"/>
    <w:rsid w:val="38C764E2"/>
    <w:rsid w:val="391C1547"/>
    <w:rsid w:val="39206C80"/>
    <w:rsid w:val="393B0C7E"/>
    <w:rsid w:val="394A14BD"/>
    <w:rsid w:val="395E009F"/>
    <w:rsid w:val="39BB26CB"/>
    <w:rsid w:val="39C3314D"/>
    <w:rsid w:val="39D21CBE"/>
    <w:rsid w:val="3A0D261A"/>
    <w:rsid w:val="3A612443"/>
    <w:rsid w:val="3A6410F5"/>
    <w:rsid w:val="3A724D7F"/>
    <w:rsid w:val="3A9748E4"/>
    <w:rsid w:val="3AB12F54"/>
    <w:rsid w:val="3AF5513B"/>
    <w:rsid w:val="3B143762"/>
    <w:rsid w:val="3B2B6CC2"/>
    <w:rsid w:val="3B2C6AD0"/>
    <w:rsid w:val="3B31058A"/>
    <w:rsid w:val="3B3B1656"/>
    <w:rsid w:val="3B3FB746"/>
    <w:rsid w:val="3B5E64E9"/>
    <w:rsid w:val="3B787F67"/>
    <w:rsid w:val="3B7EA8A0"/>
    <w:rsid w:val="3B950B19"/>
    <w:rsid w:val="3B9FEFF2"/>
    <w:rsid w:val="3BD473FF"/>
    <w:rsid w:val="3BEDEDCC"/>
    <w:rsid w:val="3BFD046C"/>
    <w:rsid w:val="3BFD60D2"/>
    <w:rsid w:val="3BFDF7F9"/>
    <w:rsid w:val="3BFE0BB8"/>
    <w:rsid w:val="3C7E105D"/>
    <w:rsid w:val="3C7E647A"/>
    <w:rsid w:val="3CBE7BFC"/>
    <w:rsid w:val="3CCB40C7"/>
    <w:rsid w:val="3CF78D04"/>
    <w:rsid w:val="3CFE5603"/>
    <w:rsid w:val="3D1912D6"/>
    <w:rsid w:val="3D1E069A"/>
    <w:rsid w:val="3D1FF435"/>
    <w:rsid w:val="3D5F8BF9"/>
    <w:rsid w:val="3D5FB45F"/>
    <w:rsid w:val="3D6D197D"/>
    <w:rsid w:val="3D760F0C"/>
    <w:rsid w:val="3D8DB456"/>
    <w:rsid w:val="3DA6700D"/>
    <w:rsid w:val="3DACF173"/>
    <w:rsid w:val="3DBC8514"/>
    <w:rsid w:val="3DD9D71E"/>
    <w:rsid w:val="3DDFE9DD"/>
    <w:rsid w:val="3DF169C2"/>
    <w:rsid w:val="3DF60279"/>
    <w:rsid w:val="3DFB736F"/>
    <w:rsid w:val="3DFF64D7"/>
    <w:rsid w:val="3DFFCDBE"/>
    <w:rsid w:val="3E1A257C"/>
    <w:rsid w:val="3E278565"/>
    <w:rsid w:val="3E3FD2B3"/>
    <w:rsid w:val="3E864749"/>
    <w:rsid w:val="3E8857B0"/>
    <w:rsid w:val="3E9C4E5F"/>
    <w:rsid w:val="3EB03043"/>
    <w:rsid w:val="3EDFACE0"/>
    <w:rsid w:val="3EF59FB3"/>
    <w:rsid w:val="3EFD0A22"/>
    <w:rsid w:val="3EFDFC1E"/>
    <w:rsid w:val="3EFF7AF5"/>
    <w:rsid w:val="3EFFF366"/>
    <w:rsid w:val="3F0264C5"/>
    <w:rsid w:val="3F41168B"/>
    <w:rsid w:val="3F47EFB6"/>
    <w:rsid w:val="3F5ABA59"/>
    <w:rsid w:val="3F5F2F4B"/>
    <w:rsid w:val="3F672711"/>
    <w:rsid w:val="3F717ED1"/>
    <w:rsid w:val="3F7CC23A"/>
    <w:rsid w:val="3F84512C"/>
    <w:rsid w:val="3FAB7148"/>
    <w:rsid w:val="3FB355BD"/>
    <w:rsid w:val="3FB3A3A7"/>
    <w:rsid w:val="3FB744D2"/>
    <w:rsid w:val="3FD7B59D"/>
    <w:rsid w:val="3FDB9D25"/>
    <w:rsid w:val="3FEEDFB7"/>
    <w:rsid w:val="3FEF6D8F"/>
    <w:rsid w:val="3FEFB42C"/>
    <w:rsid w:val="3FF72AE8"/>
    <w:rsid w:val="3FFB9C87"/>
    <w:rsid w:val="3FFBD86A"/>
    <w:rsid w:val="3FFE3770"/>
    <w:rsid w:val="3FFE3C53"/>
    <w:rsid w:val="3FFF4131"/>
    <w:rsid w:val="4024246B"/>
    <w:rsid w:val="4076305F"/>
    <w:rsid w:val="4090365D"/>
    <w:rsid w:val="40A02997"/>
    <w:rsid w:val="40D06A32"/>
    <w:rsid w:val="41087697"/>
    <w:rsid w:val="41CE6B33"/>
    <w:rsid w:val="425A1820"/>
    <w:rsid w:val="42E6665E"/>
    <w:rsid w:val="4363EA9A"/>
    <w:rsid w:val="4367503F"/>
    <w:rsid w:val="436F7031"/>
    <w:rsid w:val="437C436D"/>
    <w:rsid w:val="43A61958"/>
    <w:rsid w:val="43B56F07"/>
    <w:rsid w:val="43D857DF"/>
    <w:rsid w:val="43EE526A"/>
    <w:rsid w:val="4420603D"/>
    <w:rsid w:val="444F55DD"/>
    <w:rsid w:val="44AA6BF6"/>
    <w:rsid w:val="44ED5522"/>
    <w:rsid w:val="45163CE2"/>
    <w:rsid w:val="458B4EDE"/>
    <w:rsid w:val="45997458"/>
    <w:rsid w:val="459B31D0"/>
    <w:rsid w:val="45F79CE4"/>
    <w:rsid w:val="45FB4CB6"/>
    <w:rsid w:val="46D30747"/>
    <w:rsid w:val="477B1BEF"/>
    <w:rsid w:val="47A34110"/>
    <w:rsid w:val="47B642F1"/>
    <w:rsid w:val="47B82C8D"/>
    <w:rsid w:val="47C54534"/>
    <w:rsid w:val="47DC012C"/>
    <w:rsid w:val="47ED6974"/>
    <w:rsid w:val="47F46BC7"/>
    <w:rsid w:val="481D7ECC"/>
    <w:rsid w:val="48CC36A0"/>
    <w:rsid w:val="48F0738F"/>
    <w:rsid w:val="49055509"/>
    <w:rsid w:val="490E0657"/>
    <w:rsid w:val="498D1081"/>
    <w:rsid w:val="49BD76A2"/>
    <w:rsid w:val="49CA7329"/>
    <w:rsid w:val="49DA094E"/>
    <w:rsid w:val="4A240A3A"/>
    <w:rsid w:val="4A7DFBA6"/>
    <w:rsid w:val="4A7F11C3"/>
    <w:rsid w:val="4A9A1CA8"/>
    <w:rsid w:val="4AF02A73"/>
    <w:rsid w:val="4B0931B1"/>
    <w:rsid w:val="4B6DEE55"/>
    <w:rsid w:val="4B955BD4"/>
    <w:rsid w:val="4B9594DD"/>
    <w:rsid w:val="4BB26BAB"/>
    <w:rsid w:val="4C0B3D31"/>
    <w:rsid w:val="4CF6F607"/>
    <w:rsid w:val="4D1F1C40"/>
    <w:rsid w:val="4D3F7F18"/>
    <w:rsid w:val="4D4128AF"/>
    <w:rsid w:val="4DB25BBD"/>
    <w:rsid w:val="4DECA137"/>
    <w:rsid w:val="4DEF6E7C"/>
    <w:rsid w:val="4DFA60DA"/>
    <w:rsid w:val="4DFBA9BE"/>
    <w:rsid w:val="4DFF69B7"/>
    <w:rsid w:val="4EA36C51"/>
    <w:rsid w:val="4EB34E8E"/>
    <w:rsid w:val="4EDF237F"/>
    <w:rsid w:val="4F2303BC"/>
    <w:rsid w:val="4F4E6C90"/>
    <w:rsid w:val="4F4FA06E"/>
    <w:rsid w:val="4FB018D1"/>
    <w:rsid w:val="4FBF770B"/>
    <w:rsid w:val="4FCFC79A"/>
    <w:rsid w:val="4FDDF222"/>
    <w:rsid w:val="4FDF2BBE"/>
    <w:rsid w:val="4FEA60E5"/>
    <w:rsid w:val="4FFD515B"/>
    <w:rsid w:val="4FFD92F9"/>
    <w:rsid w:val="4FFF3A80"/>
    <w:rsid w:val="50105B92"/>
    <w:rsid w:val="503B09BB"/>
    <w:rsid w:val="50543912"/>
    <w:rsid w:val="50953061"/>
    <w:rsid w:val="51387B25"/>
    <w:rsid w:val="519F5DF6"/>
    <w:rsid w:val="51C27D36"/>
    <w:rsid w:val="51DB6702"/>
    <w:rsid w:val="521136F2"/>
    <w:rsid w:val="52D86E22"/>
    <w:rsid w:val="52FFE478"/>
    <w:rsid w:val="5344363A"/>
    <w:rsid w:val="53584AD8"/>
    <w:rsid w:val="53BF3D9C"/>
    <w:rsid w:val="53ED1536"/>
    <w:rsid w:val="53EF61AF"/>
    <w:rsid w:val="53EFC499"/>
    <w:rsid w:val="53FEACAA"/>
    <w:rsid w:val="5452714F"/>
    <w:rsid w:val="5486329D"/>
    <w:rsid w:val="54C17E31"/>
    <w:rsid w:val="54FC355F"/>
    <w:rsid w:val="551F6C2A"/>
    <w:rsid w:val="551FA81B"/>
    <w:rsid w:val="555C7B5A"/>
    <w:rsid w:val="5563056F"/>
    <w:rsid w:val="55697BA1"/>
    <w:rsid w:val="55D44A61"/>
    <w:rsid w:val="55F74B08"/>
    <w:rsid w:val="562C3D97"/>
    <w:rsid w:val="56525419"/>
    <w:rsid w:val="565E52F5"/>
    <w:rsid w:val="569F5791"/>
    <w:rsid w:val="56EFE4A1"/>
    <w:rsid w:val="575B282B"/>
    <w:rsid w:val="575C5F22"/>
    <w:rsid w:val="575F7BEB"/>
    <w:rsid w:val="5763CA04"/>
    <w:rsid w:val="5776C8E2"/>
    <w:rsid w:val="577E9FE7"/>
    <w:rsid w:val="57EC1669"/>
    <w:rsid w:val="57F3EC6D"/>
    <w:rsid w:val="57FF44A8"/>
    <w:rsid w:val="58634275"/>
    <w:rsid w:val="59710513"/>
    <w:rsid w:val="597F858A"/>
    <w:rsid w:val="59886344"/>
    <w:rsid w:val="59A33FA9"/>
    <w:rsid w:val="59A50A85"/>
    <w:rsid w:val="59B368E2"/>
    <w:rsid w:val="59DB5F0C"/>
    <w:rsid w:val="59F39FEE"/>
    <w:rsid w:val="59FF2AEF"/>
    <w:rsid w:val="59FF56FB"/>
    <w:rsid w:val="5AA6B76A"/>
    <w:rsid w:val="5ABB6EF3"/>
    <w:rsid w:val="5ABF378F"/>
    <w:rsid w:val="5AD92379"/>
    <w:rsid w:val="5AF3223C"/>
    <w:rsid w:val="5AFB0388"/>
    <w:rsid w:val="5B6F5728"/>
    <w:rsid w:val="5B7B51DE"/>
    <w:rsid w:val="5B9D966C"/>
    <w:rsid w:val="5BB5B672"/>
    <w:rsid w:val="5BBF4B9A"/>
    <w:rsid w:val="5BEECC7C"/>
    <w:rsid w:val="5BEF1B44"/>
    <w:rsid w:val="5BFE62FA"/>
    <w:rsid w:val="5BFFC59E"/>
    <w:rsid w:val="5C425CFC"/>
    <w:rsid w:val="5C91D0B9"/>
    <w:rsid w:val="5CFD7C41"/>
    <w:rsid w:val="5D192F00"/>
    <w:rsid w:val="5D423AD9"/>
    <w:rsid w:val="5D4D4958"/>
    <w:rsid w:val="5D6C283D"/>
    <w:rsid w:val="5D70A480"/>
    <w:rsid w:val="5D7F8D24"/>
    <w:rsid w:val="5D883BE2"/>
    <w:rsid w:val="5DB76B13"/>
    <w:rsid w:val="5DBD3FF3"/>
    <w:rsid w:val="5DBEAB4B"/>
    <w:rsid w:val="5DEE3B33"/>
    <w:rsid w:val="5DFBFF3F"/>
    <w:rsid w:val="5DFF4C5C"/>
    <w:rsid w:val="5DFFCD30"/>
    <w:rsid w:val="5E0D40E7"/>
    <w:rsid w:val="5E9F82B4"/>
    <w:rsid w:val="5ED87B25"/>
    <w:rsid w:val="5EFD62C1"/>
    <w:rsid w:val="5EFD78E1"/>
    <w:rsid w:val="5EFD7E4E"/>
    <w:rsid w:val="5F2A4C7A"/>
    <w:rsid w:val="5F2D50F6"/>
    <w:rsid w:val="5F434264"/>
    <w:rsid w:val="5F5DDA56"/>
    <w:rsid w:val="5F6E89AC"/>
    <w:rsid w:val="5F7DCC55"/>
    <w:rsid w:val="5F7E1DEF"/>
    <w:rsid w:val="5F812FDF"/>
    <w:rsid w:val="5FA3C02E"/>
    <w:rsid w:val="5FA7A721"/>
    <w:rsid w:val="5FB30413"/>
    <w:rsid w:val="5FB7A60E"/>
    <w:rsid w:val="5FB7EC16"/>
    <w:rsid w:val="5FB7EDEA"/>
    <w:rsid w:val="5FBB2F2B"/>
    <w:rsid w:val="5FBB8116"/>
    <w:rsid w:val="5FC7AA1B"/>
    <w:rsid w:val="5FD05D15"/>
    <w:rsid w:val="5FDF6F84"/>
    <w:rsid w:val="5FEA621E"/>
    <w:rsid w:val="5FEE0F3A"/>
    <w:rsid w:val="5FF21DBC"/>
    <w:rsid w:val="5FF47294"/>
    <w:rsid w:val="5FF718AF"/>
    <w:rsid w:val="5FF79DC0"/>
    <w:rsid w:val="5FFB245D"/>
    <w:rsid w:val="5FFF1C43"/>
    <w:rsid w:val="5FFF4FD2"/>
    <w:rsid w:val="5FFFA205"/>
    <w:rsid w:val="5FFFF6F2"/>
    <w:rsid w:val="600C7EAE"/>
    <w:rsid w:val="60123C37"/>
    <w:rsid w:val="6042276E"/>
    <w:rsid w:val="613320B7"/>
    <w:rsid w:val="61357BDD"/>
    <w:rsid w:val="619D03E1"/>
    <w:rsid w:val="6280757E"/>
    <w:rsid w:val="62D96C8E"/>
    <w:rsid w:val="634467FD"/>
    <w:rsid w:val="635602DE"/>
    <w:rsid w:val="639C1CC3"/>
    <w:rsid w:val="63E61C94"/>
    <w:rsid w:val="644B5969"/>
    <w:rsid w:val="64644AA1"/>
    <w:rsid w:val="646B7DB9"/>
    <w:rsid w:val="64B21544"/>
    <w:rsid w:val="64DA62A1"/>
    <w:rsid w:val="651106A3"/>
    <w:rsid w:val="65532D27"/>
    <w:rsid w:val="65654809"/>
    <w:rsid w:val="657FC307"/>
    <w:rsid w:val="65C15EE3"/>
    <w:rsid w:val="65C43C25"/>
    <w:rsid w:val="65DD6E5B"/>
    <w:rsid w:val="65FF9521"/>
    <w:rsid w:val="6645323B"/>
    <w:rsid w:val="664D2C8C"/>
    <w:rsid w:val="665DD92F"/>
    <w:rsid w:val="66680A54"/>
    <w:rsid w:val="66B95D38"/>
    <w:rsid w:val="66F01801"/>
    <w:rsid w:val="66FD9BCE"/>
    <w:rsid w:val="673FB79E"/>
    <w:rsid w:val="675F8B90"/>
    <w:rsid w:val="67777E97"/>
    <w:rsid w:val="677B015F"/>
    <w:rsid w:val="67C972D1"/>
    <w:rsid w:val="67DF6E3E"/>
    <w:rsid w:val="67EFDD76"/>
    <w:rsid w:val="67F58C9F"/>
    <w:rsid w:val="67F5E0EE"/>
    <w:rsid w:val="67F913CB"/>
    <w:rsid w:val="67FB3E7A"/>
    <w:rsid w:val="67FF66EE"/>
    <w:rsid w:val="67FFDC58"/>
    <w:rsid w:val="685F3791"/>
    <w:rsid w:val="6893201C"/>
    <w:rsid w:val="69157FD2"/>
    <w:rsid w:val="697FB809"/>
    <w:rsid w:val="69FDB13D"/>
    <w:rsid w:val="6A3D7B02"/>
    <w:rsid w:val="6AB35D65"/>
    <w:rsid w:val="6AC33580"/>
    <w:rsid w:val="6AD6A8A8"/>
    <w:rsid w:val="6AEC33C3"/>
    <w:rsid w:val="6AFF6918"/>
    <w:rsid w:val="6B225676"/>
    <w:rsid w:val="6B43383E"/>
    <w:rsid w:val="6B504DD7"/>
    <w:rsid w:val="6B6F1F3D"/>
    <w:rsid w:val="6B7D3C93"/>
    <w:rsid w:val="6BA6A898"/>
    <w:rsid w:val="6BA77929"/>
    <w:rsid w:val="6BAA6777"/>
    <w:rsid w:val="6BBFEBAD"/>
    <w:rsid w:val="6BDF31F2"/>
    <w:rsid w:val="6BE3DF72"/>
    <w:rsid w:val="6BFE70E1"/>
    <w:rsid w:val="6BFEDFC1"/>
    <w:rsid w:val="6BFF00DD"/>
    <w:rsid w:val="6BFF2463"/>
    <w:rsid w:val="6C0240CA"/>
    <w:rsid w:val="6C5ED9EF"/>
    <w:rsid w:val="6C77379F"/>
    <w:rsid w:val="6C9D1E7E"/>
    <w:rsid w:val="6CCB5899"/>
    <w:rsid w:val="6CDF9347"/>
    <w:rsid w:val="6CFB66B2"/>
    <w:rsid w:val="6D056FFD"/>
    <w:rsid w:val="6D34343E"/>
    <w:rsid w:val="6D3ED8BA"/>
    <w:rsid w:val="6D5F75A5"/>
    <w:rsid w:val="6D774E5E"/>
    <w:rsid w:val="6D9739CD"/>
    <w:rsid w:val="6D9F6CB6"/>
    <w:rsid w:val="6DB602F7"/>
    <w:rsid w:val="6DCC420E"/>
    <w:rsid w:val="6DED534C"/>
    <w:rsid w:val="6E1A6AD8"/>
    <w:rsid w:val="6E1D4012"/>
    <w:rsid w:val="6E4A53A7"/>
    <w:rsid w:val="6E7AE9A1"/>
    <w:rsid w:val="6E7B28DB"/>
    <w:rsid w:val="6E7B6775"/>
    <w:rsid w:val="6E7D9BBD"/>
    <w:rsid w:val="6E7FF360"/>
    <w:rsid w:val="6E9426BA"/>
    <w:rsid w:val="6E9F564A"/>
    <w:rsid w:val="6EB6EE6D"/>
    <w:rsid w:val="6EBF58A5"/>
    <w:rsid w:val="6EDFDF1A"/>
    <w:rsid w:val="6EEF1973"/>
    <w:rsid w:val="6EEF22A9"/>
    <w:rsid w:val="6EFBBF4A"/>
    <w:rsid w:val="6EFC2DAB"/>
    <w:rsid w:val="6F0B7228"/>
    <w:rsid w:val="6F0F97FD"/>
    <w:rsid w:val="6F31DF28"/>
    <w:rsid w:val="6F373CA7"/>
    <w:rsid w:val="6F4F27B2"/>
    <w:rsid w:val="6F7F7B03"/>
    <w:rsid w:val="6F900BA5"/>
    <w:rsid w:val="6F939A9D"/>
    <w:rsid w:val="6FBBE654"/>
    <w:rsid w:val="6FBF01E5"/>
    <w:rsid w:val="6FD24268"/>
    <w:rsid w:val="6FDF3C65"/>
    <w:rsid w:val="6FED4A51"/>
    <w:rsid w:val="6FEECB5F"/>
    <w:rsid w:val="6FEF3669"/>
    <w:rsid w:val="6FF63533"/>
    <w:rsid w:val="6FF7B318"/>
    <w:rsid w:val="6FF89649"/>
    <w:rsid w:val="6FFB6B74"/>
    <w:rsid w:val="6FFE04BD"/>
    <w:rsid w:val="6FFF1825"/>
    <w:rsid w:val="6FFF8125"/>
    <w:rsid w:val="6FFF8891"/>
    <w:rsid w:val="7027728A"/>
    <w:rsid w:val="70515912"/>
    <w:rsid w:val="70C34E1B"/>
    <w:rsid w:val="70E39782"/>
    <w:rsid w:val="711A10F8"/>
    <w:rsid w:val="71765FA0"/>
    <w:rsid w:val="71BB5646"/>
    <w:rsid w:val="71BF9FBF"/>
    <w:rsid w:val="71C9627C"/>
    <w:rsid w:val="71D21478"/>
    <w:rsid w:val="71F779AC"/>
    <w:rsid w:val="726F193A"/>
    <w:rsid w:val="72B172DF"/>
    <w:rsid w:val="72B50B7E"/>
    <w:rsid w:val="72B83070"/>
    <w:rsid w:val="72BE4196"/>
    <w:rsid w:val="72EE22E1"/>
    <w:rsid w:val="7309711B"/>
    <w:rsid w:val="732777FD"/>
    <w:rsid w:val="73727B75"/>
    <w:rsid w:val="73783623"/>
    <w:rsid w:val="739A7D73"/>
    <w:rsid w:val="73B4F690"/>
    <w:rsid w:val="73D12489"/>
    <w:rsid w:val="73DFD37C"/>
    <w:rsid w:val="73EF1C73"/>
    <w:rsid w:val="73F7430A"/>
    <w:rsid w:val="73FF419D"/>
    <w:rsid w:val="73FF677A"/>
    <w:rsid w:val="7419505C"/>
    <w:rsid w:val="743C7467"/>
    <w:rsid w:val="744F5002"/>
    <w:rsid w:val="748F53FE"/>
    <w:rsid w:val="74B74CEC"/>
    <w:rsid w:val="74C4154C"/>
    <w:rsid w:val="74E474F8"/>
    <w:rsid w:val="74FD6DFA"/>
    <w:rsid w:val="74FF89A7"/>
    <w:rsid w:val="750C4564"/>
    <w:rsid w:val="751029E3"/>
    <w:rsid w:val="753366D1"/>
    <w:rsid w:val="756F2257"/>
    <w:rsid w:val="757A974C"/>
    <w:rsid w:val="757FFDB2"/>
    <w:rsid w:val="75B47650"/>
    <w:rsid w:val="75DC9751"/>
    <w:rsid w:val="75F9797D"/>
    <w:rsid w:val="75FEC274"/>
    <w:rsid w:val="75FF03C2"/>
    <w:rsid w:val="75FFC3C2"/>
    <w:rsid w:val="767622FD"/>
    <w:rsid w:val="767B20DE"/>
    <w:rsid w:val="76A07D97"/>
    <w:rsid w:val="76A56AB8"/>
    <w:rsid w:val="76B71FBF"/>
    <w:rsid w:val="76B81D61"/>
    <w:rsid w:val="76C515AB"/>
    <w:rsid w:val="76DF167A"/>
    <w:rsid w:val="76F7D236"/>
    <w:rsid w:val="76F974D5"/>
    <w:rsid w:val="76FF090D"/>
    <w:rsid w:val="773F310C"/>
    <w:rsid w:val="775D3300"/>
    <w:rsid w:val="77730B72"/>
    <w:rsid w:val="77738939"/>
    <w:rsid w:val="777CB687"/>
    <w:rsid w:val="777FE264"/>
    <w:rsid w:val="779CD38C"/>
    <w:rsid w:val="779F3E48"/>
    <w:rsid w:val="77B2BD92"/>
    <w:rsid w:val="77BC58AD"/>
    <w:rsid w:val="77BCC758"/>
    <w:rsid w:val="77BE3B00"/>
    <w:rsid w:val="77BEBD81"/>
    <w:rsid w:val="77BF519B"/>
    <w:rsid w:val="77BF70B8"/>
    <w:rsid w:val="77C52B3F"/>
    <w:rsid w:val="77D1C06C"/>
    <w:rsid w:val="77D443FE"/>
    <w:rsid w:val="77D72716"/>
    <w:rsid w:val="77D753B9"/>
    <w:rsid w:val="77D987F7"/>
    <w:rsid w:val="77DFE2C6"/>
    <w:rsid w:val="77E293FF"/>
    <w:rsid w:val="77ED1AA1"/>
    <w:rsid w:val="77EDFF72"/>
    <w:rsid w:val="77F5906D"/>
    <w:rsid w:val="77F7262B"/>
    <w:rsid w:val="77F79056"/>
    <w:rsid w:val="77FD00B0"/>
    <w:rsid w:val="77FD36CB"/>
    <w:rsid w:val="77FE683F"/>
    <w:rsid w:val="77FF633D"/>
    <w:rsid w:val="78300CA6"/>
    <w:rsid w:val="783E52C8"/>
    <w:rsid w:val="785901FD"/>
    <w:rsid w:val="785A08FF"/>
    <w:rsid w:val="786D1560"/>
    <w:rsid w:val="786F3CEB"/>
    <w:rsid w:val="787F6313"/>
    <w:rsid w:val="7893165C"/>
    <w:rsid w:val="7897455F"/>
    <w:rsid w:val="789D7B25"/>
    <w:rsid w:val="78D15997"/>
    <w:rsid w:val="78DDAF4B"/>
    <w:rsid w:val="78EF77FE"/>
    <w:rsid w:val="78F543CA"/>
    <w:rsid w:val="78FB6C5A"/>
    <w:rsid w:val="78FF20F5"/>
    <w:rsid w:val="790548F2"/>
    <w:rsid w:val="79206F6D"/>
    <w:rsid w:val="792A3948"/>
    <w:rsid w:val="797FBF13"/>
    <w:rsid w:val="79BF9AC3"/>
    <w:rsid w:val="79F301DD"/>
    <w:rsid w:val="79FD80C2"/>
    <w:rsid w:val="79FFC3E5"/>
    <w:rsid w:val="79FFCF1A"/>
    <w:rsid w:val="7A37448C"/>
    <w:rsid w:val="7A3C7DD6"/>
    <w:rsid w:val="7A4830E1"/>
    <w:rsid w:val="7A772BBC"/>
    <w:rsid w:val="7AA81971"/>
    <w:rsid w:val="7AD5EE06"/>
    <w:rsid w:val="7ADC3BA9"/>
    <w:rsid w:val="7AE824EF"/>
    <w:rsid w:val="7B095F0A"/>
    <w:rsid w:val="7B3ED3E4"/>
    <w:rsid w:val="7B3FC154"/>
    <w:rsid w:val="7B5DA4FB"/>
    <w:rsid w:val="7B6165B2"/>
    <w:rsid w:val="7B6C46EB"/>
    <w:rsid w:val="7B6F9231"/>
    <w:rsid w:val="7B701E79"/>
    <w:rsid w:val="7B722D85"/>
    <w:rsid w:val="7B777368"/>
    <w:rsid w:val="7B7F2719"/>
    <w:rsid w:val="7B9FF6B6"/>
    <w:rsid w:val="7BA619AB"/>
    <w:rsid w:val="7BB7528E"/>
    <w:rsid w:val="7BB760F2"/>
    <w:rsid w:val="7BBF6C62"/>
    <w:rsid w:val="7BBFD164"/>
    <w:rsid w:val="7BC95D88"/>
    <w:rsid w:val="7BD76E0D"/>
    <w:rsid w:val="7BDB4236"/>
    <w:rsid w:val="7BDF0330"/>
    <w:rsid w:val="7BDFB41C"/>
    <w:rsid w:val="7BE9F6AE"/>
    <w:rsid w:val="7BEF4D81"/>
    <w:rsid w:val="7BEF80FF"/>
    <w:rsid w:val="7BF12816"/>
    <w:rsid w:val="7BF35F9B"/>
    <w:rsid w:val="7BF9EA63"/>
    <w:rsid w:val="7BFBF8C4"/>
    <w:rsid w:val="7BFF122E"/>
    <w:rsid w:val="7BFF3A38"/>
    <w:rsid w:val="7BFFEF43"/>
    <w:rsid w:val="7BFFFCE0"/>
    <w:rsid w:val="7C37699B"/>
    <w:rsid w:val="7C605FFE"/>
    <w:rsid w:val="7C7A407B"/>
    <w:rsid w:val="7CADCB92"/>
    <w:rsid w:val="7CAED0A8"/>
    <w:rsid w:val="7CDFD062"/>
    <w:rsid w:val="7CF70BDB"/>
    <w:rsid w:val="7CFCD1BF"/>
    <w:rsid w:val="7D1D5B5B"/>
    <w:rsid w:val="7D3E4A17"/>
    <w:rsid w:val="7D511DEB"/>
    <w:rsid w:val="7D5FE72C"/>
    <w:rsid w:val="7D6047CB"/>
    <w:rsid w:val="7D6FB977"/>
    <w:rsid w:val="7D77F8CE"/>
    <w:rsid w:val="7DAF1C83"/>
    <w:rsid w:val="7DBD5238"/>
    <w:rsid w:val="7DC76261"/>
    <w:rsid w:val="7DE14F1D"/>
    <w:rsid w:val="7DED2370"/>
    <w:rsid w:val="7DF2C6E8"/>
    <w:rsid w:val="7DF472BB"/>
    <w:rsid w:val="7DF98DEB"/>
    <w:rsid w:val="7DFAB792"/>
    <w:rsid w:val="7DFB6E5D"/>
    <w:rsid w:val="7DFB7392"/>
    <w:rsid w:val="7DFB83E6"/>
    <w:rsid w:val="7DFDAC0B"/>
    <w:rsid w:val="7DFDB2E9"/>
    <w:rsid w:val="7DFDD048"/>
    <w:rsid w:val="7DFFDBB0"/>
    <w:rsid w:val="7DFFDD44"/>
    <w:rsid w:val="7E0D3F64"/>
    <w:rsid w:val="7E4C4AA1"/>
    <w:rsid w:val="7E503BFB"/>
    <w:rsid w:val="7E584AB3"/>
    <w:rsid w:val="7E7A2C7B"/>
    <w:rsid w:val="7E7ED09C"/>
    <w:rsid w:val="7E9957F7"/>
    <w:rsid w:val="7EB1E3B4"/>
    <w:rsid w:val="7EB5875B"/>
    <w:rsid w:val="7EB79F01"/>
    <w:rsid w:val="7EB853C8"/>
    <w:rsid w:val="7EBF1DBE"/>
    <w:rsid w:val="7EDFCCA0"/>
    <w:rsid w:val="7EE03426"/>
    <w:rsid w:val="7EFE6DDA"/>
    <w:rsid w:val="7EFEF176"/>
    <w:rsid w:val="7F0013D2"/>
    <w:rsid w:val="7F3EC271"/>
    <w:rsid w:val="7F4F38AF"/>
    <w:rsid w:val="7F53D408"/>
    <w:rsid w:val="7F5CA754"/>
    <w:rsid w:val="7F5FC629"/>
    <w:rsid w:val="7F5FE62B"/>
    <w:rsid w:val="7F7382E6"/>
    <w:rsid w:val="7F75216D"/>
    <w:rsid w:val="7F756D9D"/>
    <w:rsid w:val="7F75E11D"/>
    <w:rsid w:val="7F7B7EE4"/>
    <w:rsid w:val="7F7BE94E"/>
    <w:rsid w:val="7F7FC5D7"/>
    <w:rsid w:val="7F7FE351"/>
    <w:rsid w:val="7F97D6DF"/>
    <w:rsid w:val="7FA3C321"/>
    <w:rsid w:val="7FAB253B"/>
    <w:rsid w:val="7FAF9994"/>
    <w:rsid w:val="7FAFC4DA"/>
    <w:rsid w:val="7FAFE28F"/>
    <w:rsid w:val="7FB30EFF"/>
    <w:rsid w:val="7FBA9245"/>
    <w:rsid w:val="7FBE4C77"/>
    <w:rsid w:val="7FBF02F0"/>
    <w:rsid w:val="7FBFC3A3"/>
    <w:rsid w:val="7FCF92CD"/>
    <w:rsid w:val="7FD72BD1"/>
    <w:rsid w:val="7FDDC43A"/>
    <w:rsid w:val="7FDF2109"/>
    <w:rsid w:val="7FDF435F"/>
    <w:rsid w:val="7FE508C4"/>
    <w:rsid w:val="7FEBEC56"/>
    <w:rsid w:val="7FEDC429"/>
    <w:rsid w:val="7FEECABC"/>
    <w:rsid w:val="7FEF47A7"/>
    <w:rsid w:val="7FEFCA72"/>
    <w:rsid w:val="7FEFCC46"/>
    <w:rsid w:val="7FF34A2F"/>
    <w:rsid w:val="7FF34DB5"/>
    <w:rsid w:val="7FF69A20"/>
    <w:rsid w:val="7FF7BABD"/>
    <w:rsid w:val="7FF8566F"/>
    <w:rsid w:val="7FF94B9F"/>
    <w:rsid w:val="7FFB2976"/>
    <w:rsid w:val="7FFBDFC1"/>
    <w:rsid w:val="7FFC8170"/>
    <w:rsid w:val="7FFD7B6A"/>
    <w:rsid w:val="7FFE6298"/>
    <w:rsid w:val="7FFEACDD"/>
    <w:rsid w:val="7FFEC8C8"/>
    <w:rsid w:val="7FFF2052"/>
    <w:rsid w:val="7FFF4394"/>
    <w:rsid w:val="7FFF54BF"/>
    <w:rsid w:val="7FFF8230"/>
    <w:rsid w:val="7FFFA2B6"/>
    <w:rsid w:val="7FFFA700"/>
    <w:rsid w:val="7FFFD02E"/>
    <w:rsid w:val="82E787AF"/>
    <w:rsid w:val="8B9FA1B2"/>
    <w:rsid w:val="8DCF14E0"/>
    <w:rsid w:val="8DFD706D"/>
    <w:rsid w:val="8F8C54AE"/>
    <w:rsid w:val="8FBE9E0A"/>
    <w:rsid w:val="8FCEF2CC"/>
    <w:rsid w:val="8FFA32A6"/>
    <w:rsid w:val="95A571C7"/>
    <w:rsid w:val="97ABF80B"/>
    <w:rsid w:val="97B575CF"/>
    <w:rsid w:val="97FFBDD9"/>
    <w:rsid w:val="996FEA6B"/>
    <w:rsid w:val="9A5B1CA2"/>
    <w:rsid w:val="9B6F3B8E"/>
    <w:rsid w:val="9B7BDE62"/>
    <w:rsid w:val="9BAF2AB5"/>
    <w:rsid w:val="9BDB9CFC"/>
    <w:rsid w:val="9C7D4470"/>
    <w:rsid w:val="9CEF0BB9"/>
    <w:rsid w:val="9D3D35C2"/>
    <w:rsid w:val="9D5F9C95"/>
    <w:rsid w:val="9DE74BAB"/>
    <w:rsid w:val="9ECDD6DE"/>
    <w:rsid w:val="9F5B7E6A"/>
    <w:rsid w:val="9F77EA62"/>
    <w:rsid w:val="9F7F7476"/>
    <w:rsid w:val="9FCE1A34"/>
    <w:rsid w:val="9FEB0896"/>
    <w:rsid w:val="9FEB4C87"/>
    <w:rsid w:val="A1F5E76D"/>
    <w:rsid w:val="A3F3C98A"/>
    <w:rsid w:val="A6BA419C"/>
    <w:rsid w:val="A6FC4A06"/>
    <w:rsid w:val="A7FBE3FD"/>
    <w:rsid w:val="A8FFDED6"/>
    <w:rsid w:val="A9FDE3F2"/>
    <w:rsid w:val="ABF2B939"/>
    <w:rsid w:val="AEAF8C7E"/>
    <w:rsid w:val="AFBE4036"/>
    <w:rsid w:val="AFDD2FE9"/>
    <w:rsid w:val="AFFBF9A9"/>
    <w:rsid w:val="AFFD604C"/>
    <w:rsid w:val="B0EB3187"/>
    <w:rsid w:val="B1357F45"/>
    <w:rsid w:val="B1FFEEC7"/>
    <w:rsid w:val="B2E3839E"/>
    <w:rsid w:val="B2F648B2"/>
    <w:rsid w:val="B2FF6DAA"/>
    <w:rsid w:val="B366F0DB"/>
    <w:rsid w:val="B3EF102D"/>
    <w:rsid w:val="B3FE799B"/>
    <w:rsid w:val="B3FFD7FF"/>
    <w:rsid w:val="B4BF812E"/>
    <w:rsid w:val="B537DDC3"/>
    <w:rsid w:val="B5D30236"/>
    <w:rsid w:val="B73F290B"/>
    <w:rsid w:val="B77583EE"/>
    <w:rsid w:val="B77AEFF1"/>
    <w:rsid w:val="B7AE936C"/>
    <w:rsid w:val="B7DE5E45"/>
    <w:rsid w:val="B7FB9C14"/>
    <w:rsid w:val="B7FD8CBE"/>
    <w:rsid w:val="B7FE775B"/>
    <w:rsid w:val="B7FFA084"/>
    <w:rsid w:val="B7FFBBC7"/>
    <w:rsid w:val="B7FFBEBD"/>
    <w:rsid w:val="B9CDAEEA"/>
    <w:rsid w:val="B9DF2C84"/>
    <w:rsid w:val="BA1F00AE"/>
    <w:rsid w:val="BABD33FB"/>
    <w:rsid w:val="BAF994BA"/>
    <w:rsid w:val="BAFE0AB0"/>
    <w:rsid w:val="BB3611A7"/>
    <w:rsid w:val="BB5DC74D"/>
    <w:rsid w:val="BB871270"/>
    <w:rsid w:val="BB8790AA"/>
    <w:rsid w:val="BBB78E8A"/>
    <w:rsid w:val="BBDD0756"/>
    <w:rsid w:val="BBE7D378"/>
    <w:rsid w:val="BBF6B870"/>
    <w:rsid w:val="BBFFBFDF"/>
    <w:rsid w:val="BC3BD924"/>
    <w:rsid w:val="BCF5B7DE"/>
    <w:rsid w:val="BCF9A1AD"/>
    <w:rsid w:val="BCFB0446"/>
    <w:rsid w:val="BCFF0B5A"/>
    <w:rsid w:val="BD38CE7F"/>
    <w:rsid w:val="BD3948DF"/>
    <w:rsid w:val="BD7AA883"/>
    <w:rsid w:val="BDBF8E5F"/>
    <w:rsid w:val="BDF78B94"/>
    <w:rsid w:val="BDFBCD65"/>
    <w:rsid w:val="BEBF10D2"/>
    <w:rsid w:val="BEF5023F"/>
    <w:rsid w:val="BEF73B6C"/>
    <w:rsid w:val="BEF97839"/>
    <w:rsid w:val="BEFEA32E"/>
    <w:rsid w:val="BEFEE56F"/>
    <w:rsid w:val="BF3A43C4"/>
    <w:rsid w:val="BF5B1450"/>
    <w:rsid w:val="BF5FECD2"/>
    <w:rsid w:val="BF7E7E95"/>
    <w:rsid w:val="BF7FD736"/>
    <w:rsid w:val="BFBBA2AD"/>
    <w:rsid w:val="BFBBB6AB"/>
    <w:rsid w:val="BFBD6FD2"/>
    <w:rsid w:val="BFBF9837"/>
    <w:rsid w:val="BFDEB254"/>
    <w:rsid w:val="BFEDE40C"/>
    <w:rsid w:val="BFEDE5AE"/>
    <w:rsid w:val="BFEF2DBA"/>
    <w:rsid w:val="BFEF3456"/>
    <w:rsid w:val="BFEFBA25"/>
    <w:rsid w:val="BFF72201"/>
    <w:rsid w:val="BFFE0122"/>
    <w:rsid w:val="BFFFD535"/>
    <w:rsid w:val="C0EFD860"/>
    <w:rsid w:val="C3BBB2C3"/>
    <w:rsid w:val="C3FFC173"/>
    <w:rsid w:val="C46744B4"/>
    <w:rsid w:val="C7AF1DB3"/>
    <w:rsid w:val="C7E36ED3"/>
    <w:rsid w:val="C7ED674B"/>
    <w:rsid w:val="CA3AD3B5"/>
    <w:rsid w:val="CB33F264"/>
    <w:rsid w:val="CBBE578A"/>
    <w:rsid w:val="CD3767B3"/>
    <w:rsid w:val="CD6FC016"/>
    <w:rsid w:val="CDB76022"/>
    <w:rsid w:val="CDEFDF3E"/>
    <w:rsid w:val="CDFA558B"/>
    <w:rsid w:val="CDFF4611"/>
    <w:rsid w:val="CEAF2054"/>
    <w:rsid w:val="CEBD7125"/>
    <w:rsid w:val="CEBF08F3"/>
    <w:rsid w:val="CF1F77A7"/>
    <w:rsid w:val="CF6A4E2C"/>
    <w:rsid w:val="CF7BC76E"/>
    <w:rsid w:val="CF7D973F"/>
    <w:rsid w:val="CFBF769B"/>
    <w:rsid w:val="CFC7F095"/>
    <w:rsid w:val="CFDE8B6B"/>
    <w:rsid w:val="CFF77C7E"/>
    <w:rsid w:val="CFFB9C0A"/>
    <w:rsid w:val="CFFD6773"/>
    <w:rsid w:val="CFFD91CB"/>
    <w:rsid w:val="D03F3B12"/>
    <w:rsid w:val="D37F4100"/>
    <w:rsid w:val="D5E7CE9D"/>
    <w:rsid w:val="D5EED253"/>
    <w:rsid w:val="D5FA63CA"/>
    <w:rsid w:val="D6D7C2E8"/>
    <w:rsid w:val="D77E37D0"/>
    <w:rsid w:val="D77FC077"/>
    <w:rsid w:val="D7B7B304"/>
    <w:rsid w:val="D7BF41F2"/>
    <w:rsid w:val="D7BF6D05"/>
    <w:rsid w:val="D7EE26FE"/>
    <w:rsid w:val="D7FD5376"/>
    <w:rsid w:val="D8D737CA"/>
    <w:rsid w:val="D966C220"/>
    <w:rsid w:val="DABBBCB8"/>
    <w:rsid w:val="DBF623B1"/>
    <w:rsid w:val="DBF7DA05"/>
    <w:rsid w:val="DBFD9150"/>
    <w:rsid w:val="DC9721E2"/>
    <w:rsid w:val="DC99C040"/>
    <w:rsid w:val="DCB3CB57"/>
    <w:rsid w:val="DCDB6836"/>
    <w:rsid w:val="DCFA0656"/>
    <w:rsid w:val="DD75A09D"/>
    <w:rsid w:val="DD7FB0BD"/>
    <w:rsid w:val="DD932717"/>
    <w:rsid w:val="DDAF52AB"/>
    <w:rsid w:val="DDBF6141"/>
    <w:rsid w:val="DDDEE9D4"/>
    <w:rsid w:val="DDFDDD31"/>
    <w:rsid w:val="DDFE1E5D"/>
    <w:rsid w:val="DDFF1539"/>
    <w:rsid w:val="DDFF9582"/>
    <w:rsid w:val="DE7FF679"/>
    <w:rsid w:val="DE91367B"/>
    <w:rsid w:val="DEB74D15"/>
    <w:rsid w:val="DEDF6869"/>
    <w:rsid w:val="DEFA27BE"/>
    <w:rsid w:val="DEFF0687"/>
    <w:rsid w:val="DF3FC7DF"/>
    <w:rsid w:val="DF4FD545"/>
    <w:rsid w:val="DF5ACF96"/>
    <w:rsid w:val="DF5E6A4F"/>
    <w:rsid w:val="DF77C2C2"/>
    <w:rsid w:val="DF7B47FF"/>
    <w:rsid w:val="DF7F132F"/>
    <w:rsid w:val="DF98150C"/>
    <w:rsid w:val="DF9DDAE2"/>
    <w:rsid w:val="DFBEB2C6"/>
    <w:rsid w:val="DFCD046A"/>
    <w:rsid w:val="DFCF9AD6"/>
    <w:rsid w:val="DFD56C01"/>
    <w:rsid w:val="DFD9484A"/>
    <w:rsid w:val="DFDDA34A"/>
    <w:rsid w:val="DFDDD654"/>
    <w:rsid w:val="DFDF2CBA"/>
    <w:rsid w:val="DFEF884A"/>
    <w:rsid w:val="DFF687CE"/>
    <w:rsid w:val="DFF70A22"/>
    <w:rsid w:val="DFF7398E"/>
    <w:rsid w:val="DFFBB1C3"/>
    <w:rsid w:val="DFFBC916"/>
    <w:rsid w:val="DFFD2510"/>
    <w:rsid w:val="DFFEB3A5"/>
    <w:rsid w:val="DFFFE1F0"/>
    <w:rsid w:val="E1ED59F6"/>
    <w:rsid w:val="E1F36091"/>
    <w:rsid w:val="E2F70961"/>
    <w:rsid w:val="E2FEF9F3"/>
    <w:rsid w:val="E37F1D1E"/>
    <w:rsid w:val="E37F933B"/>
    <w:rsid w:val="E3FCDD51"/>
    <w:rsid w:val="E3FDB587"/>
    <w:rsid w:val="E3FFAE64"/>
    <w:rsid w:val="E45FB368"/>
    <w:rsid w:val="E52F30D6"/>
    <w:rsid w:val="E57F781C"/>
    <w:rsid w:val="E59FBE16"/>
    <w:rsid w:val="E5BBB78D"/>
    <w:rsid w:val="E6F55AB0"/>
    <w:rsid w:val="E6FB600B"/>
    <w:rsid w:val="E6FE0F75"/>
    <w:rsid w:val="E72F0147"/>
    <w:rsid w:val="E77672C7"/>
    <w:rsid w:val="E7AAC673"/>
    <w:rsid w:val="E7B98638"/>
    <w:rsid w:val="E7DDADF7"/>
    <w:rsid w:val="E7F7207F"/>
    <w:rsid w:val="E7FF7B5B"/>
    <w:rsid w:val="E7FFBC4F"/>
    <w:rsid w:val="E95F6C66"/>
    <w:rsid w:val="E9FBD408"/>
    <w:rsid w:val="EA776643"/>
    <w:rsid w:val="EB4B5DC2"/>
    <w:rsid w:val="EB4B6268"/>
    <w:rsid w:val="EB6F86FF"/>
    <w:rsid w:val="EBEF05E0"/>
    <w:rsid w:val="EBF79625"/>
    <w:rsid w:val="ECFB3AFD"/>
    <w:rsid w:val="ED7B55F0"/>
    <w:rsid w:val="ED7BEB1A"/>
    <w:rsid w:val="EDBFD268"/>
    <w:rsid w:val="EDF717BC"/>
    <w:rsid w:val="EDFAE3BD"/>
    <w:rsid w:val="EDFBDD3E"/>
    <w:rsid w:val="EDFE68BF"/>
    <w:rsid w:val="EDFF1485"/>
    <w:rsid w:val="EDFFE48F"/>
    <w:rsid w:val="EE3BCC43"/>
    <w:rsid w:val="EE7A895A"/>
    <w:rsid w:val="EEBDC3BA"/>
    <w:rsid w:val="EECB9966"/>
    <w:rsid w:val="EEFE1555"/>
    <w:rsid w:val="EF1BEA69"/>
    <w:rsid w:val="EF3D8AD8"/>
    <w:rsid w:val="EF5B697C"/>
    <w:rsid w:val="EF8D34E9"/>
    <w:rsid w:val="EFCF50F5"/>
    <w:rsid w:val="EFDBB13B"/>
    <w:rsid w:val="EFE7B2A9"/>
    <w:rsid w:val="EFEE7D0F"/>
    <w:rsid w:val="EFFB0AAF"/>
    <w:rsid w:val="EFFD90ED"/>
    <w:rsid w:val="EFFE1B47"/>
    <w:rsid w:val="EFFEA9E2"/>
    <w:rsid w:val="EFFF4DB8"/>
    <w:rsid w:val="EFFF55A8"/>
    <w:rsid w:val="EFFF7215"/>
    <w:rsid w:val="F1D70445"/>
    <w:rsid w:val="F27E9596"/>
    <w:rsid w:val="F34F0394"/>
    <w:rsid w:val="F35C8FD5"/>
    <w:rsid w:val="F37DDC06"/>
    <w:rsid w:val="F37E7B81"/>
    <w:rsid w:val="F37E808B"/>
    <w:rsid w:val="F3DAAEE7"/>
    <w:rsid w:val="F3E75718"/>
    <w:rsid w:val="F3ED2150"/>
    <w:rsid w:val="F3FB27EC"/>
    <w:rsid w:val="F3FBA7A0"/>
    <w:rsid w:val="F3FF574B"/>
    <w:rsid w:val="F4FB65F8"/>
    <w:rsid w:val="F51F4095"/>
    <w:rsid w:val="F58D88EE"/>
    <w:rsid w:val="F59F7864"/>
    <w:rsid w:val="F5CD46D5"/>
    <w:rsid w:val="F5E1B436"/>
    <w:rsid w:val="F5EF4457"/>
    <w:rsid w:val="F5F3C194"/>
    <w:rsid w:val="F5FE2B16"/>
    <w:rsid w:val="F5FF739D"/>
    <w:rsid w:val="F62ED69F"/>
    <w:rsid w:val="F66D12D5"/>
    <w:rsid w:val="F679290B"/>
    <w:rsid w:val="F67D57A2"/>
    <w:rsid w:val="F6EFCBEB"/>
    <w:rsid w:val="F6FF1245"/>
    <w:rsid w:val="F6FFEA4E"/>
    <w:rsid w:val="F73CEED0"/>
    <w:rsid w:val="F747D36B"/>
    <w:rsid w:val="F75E310B"/>
    <w:rsid w:val="F75F998A"/>
    <w:rsid w:val="F76CF7F2"/>
    <w:rsid w:val="F777B9A7"/>
    <w:rsid w:val="F795B073"/>
    <w:rsid w:val="F79F70D0"/>
    <w:rsid w:val="F7AF2EE5"/>
    <w:rsid w:val="F7AF4BF9"/>
    <w:rsid w:val="F7BD2405"/>
    <w:rsid w:val="F7BD2B9A"/>
    <w:rsid w:val="F7BF71BE"/>
    <w:rsid w:val="F7CF1C69"/>
    <w:rsid w:val="F7DA2389"/>
    <w:rsid w:val="F7E474A3"/>
    <w:rsid w:val="F7EE6594"/>
    <w:rsid w:val="F7EF35DA"/>
    <w:rsid w:val="F7F354A3"/>
    <w:rsid w:val="F7F4BC8D"/>
    <w:rsid w:val="F7F71A1E"/>
    <w:rsid w:val="F7FF371F"/>
    <w:rsid w:val="F7FFB119"/>
    <w:rsid w:val="F7FFF6D7"/>
    <w:rsid w:val="F8FBEC42"/>
    <w:rsid w:val="F93E474A"/>
    <w:rsid w:val="F9AF4DC9"/>
    <w:rsid w:val="F9BB0337"/>
    <w:rsid w:val="F9BFC443"/>
    <w:rsid w:val="F9CF9B68"/>
    <w:rsid w:val="F9CFEF94"/>
    <w:rsid w:val="F9EF9D65"/>
    <w:rsid w:val="F9EFDFE0"/>
    <w:rsid w:val="F9F9AACA"/>
    <w:rsid w:val="F9FE4831"/>
    <w:rsid w:val="FABBEE01"/>
    <w:rsid w:val="FAD7D7F0"/>
    <w:rsid w:val="FAE9BE0C"/>
    <w:rsid w:val="FAFDAD0F"/>
    <w:rsid w:val="FAFEE623"/>
    <w:rsid w:val="FAFF546D"/>
    <w:rsid w:val="FAFFB5CB"/>
    <w:rsid w:val="FB2697BC"/>
    <w:rsid w:val="FB3F7263"/>
    <w:rsid w:val="FB438D05"/>
    <w:rsid w:val="FB7DEF12"/>
    <w:rsid w:val="FB7FE9F6"/>
    <w:rsid w:val="FB950DAF"/>
    <w:rsid w:val="FBB36605"/>
    <w:rsid w:val="FBBA07A5"/>
    <w:rsid w:val="FBD3361C"/>
    <w:rsid w:val="FBDBD655"/>
    <w:rsid w:val="FBDDD3F7"/>
    <w:rsid w:val="FBDE8648"/>
    <w:rsid w:val="FBDF6041"/>
    <w:rsid w:val="FBE99334"/>
    <w:rsid w:val="FBEC31DB"/>
    <w:rsid w:val="FBF7857C"/>
    <w:rsid w:val="FBF9F8D1"/>
    <w:rsid w:val="FBFB09EC"/>
    <w:rsid w:val="FBFC08DB"/>
    <w:rsid w:val="FBFDA5DB"/>
    <w:rsid w:val="FBFF6073"/>
    <w:rsid w:val="FBFFA5C0"/>
    <w:rsid w:val="FC5739CB"/>
    <w:rsid w:val="FC7F2A90"/>
    <w:rsid w:val="FCAF92A9"/>
    <w:rsid w:val="FCBB0ABC"/>
    <w:rsid w:val="FCBED0F6"/>
    <w:rsid w:val="FCBFA70C"/>
    <w:rsid w:val="FCE71E58"/>
    <w:rsid w:val="FD3DD933"/>
    <w:rsid w:val="FD4FFDFE"/>
    <w:rsid w:val="FD75D44B"/>
    <w:rsid w:val="FD7BCC61"/>
    <w:rsid w:val="FD97427F"/>
    <w:rsid w:val="FD9D597D"/>
    <w:rsid w:val="FDB74B8C"/>
    <w:rsid w:val="FDBC8530"/>
    <w:rsid w:val="FDD6850E"/>
    <w:rsid w:val="FDD728B4"/>
    <w:rsid w:val="FDE5231B"/>
    <w:rsid w:val="FDE78803"/>
    <w:rsid w:val="FDE7C4B3"/>
    <w:rsid w:val="FDED5079"/>
    <w:rsid w:val="FDED6169"/>
    <w:rsid w:val="FDEF4C43"/>
    <w:rsid w:val="FDF5B2C4"/>
    <w:rsid w:val="FDF7AAF0"/>
    <w:rsid w:val="FDF9C540"/>
    <w:rsid w:val="FDFD2337"/>
    <w:rsid w:val="FDFD7ED2"/>
    <w:rsid w:val="FDFE8177"/>
    <w:rsid w:val="FDFF0B90"/>
    <w:rsid w:val="FDFF8931"/>
    <w:rsid w:val="FDFFB142"/>
    <w:rsid w:val="FDFFC8DA"/>
    <w:rsid w:val="FE4B1979"/>
    <w:rsid w:val="FE761969"/>
    <w:rsid w:val="FE7AB0E0"/>
    <w:rsid w:val="FE7BF479"/>
    <w:rsid w:val="FE7DAC93"/>
    <w:rsid w:val="FE7F89C2"/>
    <w:rsid w:val="FE957670"/>
    <w:rsid w:val="FEAD3E62"/>
    <w:rsid w:val="FEB7DC77"/>
    <w:rsid w:val="FEBB1594"/>
    <w:rsid w:val="FEBB65CB"/>
    <w:rsid w:val="FED9B2F7"/>
    <w:rsid w:val="FEDEB389"/>
    <w:rsid w:val="FEDF69AC"/>
    <w:rsid w:val="FEEFE2BB"/>
    <w:rsid w:val="FEF33A23"/>
    <w:rsid w:val="FEF70731"/>
    <w:rsid w:val="FEF74F1A"/>
    <w:rsid w:val="FEF953A3"/>
    <w:rsid w:val="FEFB0492"/>
    <w:rsid w:val="FEFB10A2"/>
    <w:rsid w:val="FEFBE4B9"/>
    <w:rsid w:val="FEFBFBEF"/>
    <w:rsid w:val="FEFDAAE1"/>
    <w:rsid w:val="FEFF0CE7"/>
    <w:rsid w:val="FEFF5ABD"/>
    <w:rsid w:val="FEFF80C9"/>
    <w:rsid w:val="FF177A71"/>
    <w:rsid w:val="FF33AA56"/>
    <w:rsid w:val="FF3DE661"/>
    <w:rsid w:val="FF452612"/>
    <w:rsid w:val="FF4B3D44"/>
    <w:rsid w:val="FF66F352"/>
    <w:rsid w:val="FF678DED"/>
    <w:rsid w:val="FF6C1EBB"/>
    <w:rsid w:val="FF6F10E9"/>
    <w:rsid w:val="FF6FDDC4"/>
    <w:rsid w:val="FF772B6C"/>
    <w:rsid w:val="FF773C03"/>
    <w:rsid w:val="FF797123"/>
    <w:rsid w:val="FF7A9490"/>
    <w:rsid w:val="FF7BEF5B"/>
    <w:rsid w:val="FF7C063C"/>
    <w:rsid w:val="FF7ECFF4"/>
    <w:rsid w:val="FF7F9152"/>
    <w:rsid w:val="FF9F9285"/>
    <w:rsid w:val="FFA45AF0"/>
    <w:rsid w:val="FFA7FC8E"/>
    <w:rsid w:val="FFBA8D9C"/>
    <w:rsid w:val="FFBB0602"/>
    <w:rsid w:val="FFBB8AFA"/>
    <w:rsid w:val="FFBCD6B9"/>
    <w:rsid w:val="FFBD0089"/>
    <w:rsid w:val="FFBF8D4D"/>
    <w:rsid w:val="FFBFCD8C"/>
    <w:rsid w:val="FFBFE85E"/>
    <w:rsid w:val="FFCDA642"/>
    <w:rsid w:val="FFD03F37"/>
    <w:rsid w:val="FFD2AE38"/>
    <w:rsid w:val="FFD718FA"/>
    <w:rsid w:val="FFDD8AEC"/>
    <w:rsid w:val="FFDE0FE1"/>
    <w:rsid w:val="FFDE911B"/>
    <w:rsid w:val="FFDF8314"/>
    <w:rsid w:val="FFE3C855"/>
    <w:rsid w:val="FFE982CB"/>
    <w:rsid w:val="FFED17E1"/>
    <w:rsid w:val="FFED55C4"/>
    <w:rsid w:val="FFEDF21C"/>
    <w:rsid w:val="FFEE5662"/>
    <w:rsid w:val="FFEF28F2"/>
    <w:rsid w:val="FFEFD1FF"/>
    <w:rsid w:val="FFF59DC9"/>
    <w:rsid w:val="FFF63D72"/>
    <w:rsid w:val="FFF75D3E"/>
    <w:rsid w:val="FFF77F6D"/>
    <w:rsid w:val="FFF788B4"/>
    <w:rsid w:val="FFF99F41"/>
    <w:rsid w:val="FFFA1E77"/>
    <w:rsid w:val="FFFB948B"/>
    <w:rsid w:val="FFFC7890"/>
    <w:rsid w:val="FFFD4A3B"/>
    <w:rsid w:val="FFFD4C97"/>
    <w:rsid w:val="FFFDF51E"/>
    <w:rsid w:val="FFFE50AD"/>
    <w:rsid w:val="FFFE7A61"/>
    <w:rsid w:val="FFFE9039"/>
    <w:rsid w:val="FFFF6494"/>
    <w:rsid w:val="FFFF758A"/>
    <w:rsid w:val="FFFF78E6"/>
    <w:rsid w:val="FFFFB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宋体" w:cs="Times New Roman"/>
      <w:kern w:val="0"/>
      <w:sz w:val="28"/>
      <w:szCs w:val="24"/>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semiHidden/>
    <w:qFormat/>
    <w:uiPriority w:val="0"/>
    <w:rPr>
      <w:rFonts w:ascii="仿宋" w:hAnsi="仿宋" w:eastAsia="仿宋" w:cs="仿宋"/>
      <w:sz w:val="31"/>
      <w:szCs w:val="31"/>
      <w:lang w:val="en-US" w:eastAsia="en-US" w:bidi="ar-SA"/>
    </w:rPr>
  </w:style>
  <w:style w:type="paragraph" w:styleId="4">
    <w:name w:val="toc 5"/>
    <w:basedOn w:val="1"/>
    <w:next w:val="1"/>
    <w:qFormat/>
    <w:uiPriority w:val="0"/>
    <w:pPr>
      <w:ind w:left="1680" w:leftChars="800"/>
    </w:pPr>
  </w:style>
  <w:style w:type="paragraph" w:styleId="5">
    <w:name w:val="Plain Text"/>
    <w:basedOn w:val="1"/>
    <w:qFormat/>
    <w:uiPriority w:val="0"/>
    <w:rPr>
      <w:rFonts w:ascii="宋体" w:hAnsi="Courier New"/>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w:basedOn w:val="3"/>
    <w:unhideWhenUsed/>
    <w:qFormat/>
    <w:uiPriority w:val="99"/>
    <w:pPr>
      <w:ind w:firstLine="420" w:firstLineChars="100"/>
    </w:pPr>
  </w:style>
  <w:style w:type="paragraph" w:customStyle="1" w:styleId="12">
    <w:name w:val="列出段落1"/>
    <w:basedOn w:val="1"/>
    <w:qFormat/>
    <w:uiPriority w:val="34"/>
    <w:pPr>
      <w:ind w:firstLine="420" w:firstLineChars="200"/>
    </w:pPr>
  </w:style>
  <w:style w:type="paragraph" w:styleId="13">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10641</Words>
  <Characters>11466</Characters>
  <Lines>0</Lines>
  <Paragraphs>0</Paragraphs>
  <TotalTime>13</TotalTime>
  <ScaleCrop>false</ScaleCrop>
  <LinksUpToDate>false</LinksUpToDate>
  <CharactersWithSpaces>11800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2024-03-31T16:36:00Z</dcterms:created>
  <dc:creator>Administrator</dc:creator>
  <cp:lastModifiedBy>kylin</cp:lastModifiedBy>
  <cp:lastPrinted>2026-06-17T09:00:01Z</cp:lastPrinted>
  <dcterms:modified xsi:type="dcterms:W3CDTF">2026-06-17T09:12:11Z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48DEA3E0549CA876E985226A14437826_43</vt:lpwstr>
  </property>
  <property fmtid="{D5CDD505-2E9C-101B-9397-08002B2CF9AE}" pid="4" name="KSOTemplateDocerSaveRecord">
    <vt:lpwstr>eyJoZGlkIjoiOTkwMWQzZDczMGU0OTBhNzI5NzQ3NjRhODY2YWI2ODUiLCJ1c2VySWQiOiI3ODU0MjU3MzUifQ==</vt:lpwstr>
  </property>
</Properties>
</file>