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6CAFB6">
      <w:pPr>
        <w:pStyle w:val="2"/>
        <w:rPr>
          <w:rFonts w:hint="eastAsia" w:ascii="黑体" w:hAnsi="黑体" w:eastAsia="黑体" w:cs="黑体"/>
          <w:b w:val="0"/>
          <w:bCs w:val="0"/>
          <w:color w:val="000000" w:themeColor="text1"/>
          <w:spacing w:val="10"/>
          <w:sz w:val="32"/>
          <w:szCs w:val="32"/>
          <w:lang w:eastAsia="zh-CN"/>
          <w14:textFill>
            <w14:solidFill>
              <w14:schemeClr w14:val="tx1"/>
            </w14:solidFill>
          </w14:textFill>
        </w:rPr>
      </w:pPr>
    </w:p>
    <w:p w14:paraId="4FE460B8">
      <w:pPr>
        <w:pStyle w:val="3"/>
        <w:rPr>
          <w:rFonts w:hint="eastAsia" w:ascii="黑体" w:hAnsi="黑体" w:eastAsia="黑体" w:cs="黑体"/>
          <w:b w:val="0"/>
          <w:bCs w:val="0"/>
          <w:color w:val="000000" w:themeColor="text1"/>
          <w:spacing w:val="10"/>
          <w:sz w:val="32"/>
          <w:szCs w:val="32"/>
          <w:lang w:eastAsia="zh-CN"/>
          <w14:textFill>
            <w14:solidFill>
              <w14:schemeClr w14:val="tx1"/>
            </w14:solidFill>
          </w14:textFill>
        </w:rPr>
      </w:pPr>
    </w:p>
    <w:p w14:paraId="7D38A640">
      <w:pPr>
        <w:rPr>
          <w:rFonts w:hint="eastAsia"/>
          <w:lang w:eastAsia="zh-CN"/>
        </w:rPr>
      </w:pPr>
    </w:p>
    <w:p w14:paraId="48E97F33">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Theme="majorEastAsia" w:hAnsiTheme="majorEastAsia" w:eastAsiaTheme="majorEastAsia" w:cstheme="majorEastAsia"/>
          <w:b/>
          <w:bCs/>
          <w:color w:val="000000" w:themeColor="text1"/>
          <w:spacing w:val="2"/>
          <w:sz w:val="44"/>
          <w:szCs w:val="44"/>
          <w:lang w:val="en-US" w:eastAsia="zh-CN"/>
          <w14:textFill>
            <w14:solidFill>
              <w14:schemeClr w14:val="tx1"/>
            </w14:solidFill>
          </w14:textFill>
        </w:rPr>
      </w:pPr>
      <w:r>
        <w:rPr>
          <w:rFonts w:hint="eastAsia" w:asciiTheme="majorEastAsia" w:hAnsiTheme="majorEastAsia" w:eastAsiaTheme="majorEastAsia" w:cstheme="majorEastAsia"/>
          <w:b/>
          <w:bCs/>
          <w:color w:val="000000" w:themeColor="text1"/>
          <w:spacing w:val="2"/>
          <w:sz w:val="44"/>
          <w:szCs w:val="44"/>
          <w:lang w:val="en-US" w:eastAsia="zh-CN"/>
          <w14:textFill>
            <w14:solidFill>
              <w14:schemeClr w14:val="tx1"/>
            </w14:solidFill>
          </w14:textFill>
        </w:rPr>
        <w:t>2025年度岳阳市市政维护管理中心       整体支出绩效自评报告</w:t>
      </w:r>
    </w:p>
    <w:p w14:paraId="58A49CF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5F8BCF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B77149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9464AA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F0D893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F82BC4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23E509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F70EC22">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EBACE46">
      <w:pPr>
        <w:pStyle w:val="2"/>
        <w:rPr>
          <w:rFonts w:hint="default"/>
          <w:lang w:val="en-US" w:eastAsia="zh-CN"/>
        </w:rPr>
      </w:pPr>
    </w:p>
    <w:p w14:paraId="2142421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AD3C46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147339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b/>
          <w:bCs/>
          <w:color w:val="000000" w:themeColor="text1"/>
          <w:spacing w:val="0"/>
          <w:position w:val="0"/>
          <w:sz w:val="32"/>
          <w:szCs w:val="32"/>
          <w:lang w:val="en-US" w:eastAsia="zh-CN"/>
          <w14:textFill>
            <w14:solidFill>
              <w14:schemeClr w14:val="tx1"/>
            </w14:solidFill>
          </w14:textFill>
        </w:rPr>
      </w:pPr>
      <w:r>
        <w:rPr>
          <w:rFonts w:hint="eastAsia" w:ascii="宋体" w:hAnsi="宋体" w:eastAsia="宋体" w:cs="宋体"/>
          <w:b/>
          <w:bCs/>
          <w:color w:val="000000" w:themeColor="text1"/>
          <w:spacing w:val="0"/>
          <w:position w:val="0"/>
          <w:sz w:val="32"/>
          <w:szCs w:val="32"/>
          <w:lang w:val="en-US" w:eastAsia="zh-CN"/>
          <w14:textFill>
            <w14:solidFill>
              <w14:schemeClr w14:val="tx1"/>
            </w14:solidFill>
          </w14:textFill>
        </w:rPr>
        <w:t>单位名称：</w:t>
      </w:r>
      <w:r>
        <w:rPr>
          <w:rFonts w:hint="eastAsia" w:ascii="宋体" w:hAnsi="宋体" w:eastAsia="宋体" w:cs="宋体"/>
          <w:b/>
          <w:bCs/>
          <w:color w:val="000000" w:themeColor="text1"/>
          <w:spacing w:val="0"/>
          <w:position w:val="0"/>
          <w:sz w:val="32"/>
          <w:szCs w:val="32"/>
          <w:u w:val="single"/>
          <w:lang w:val="en-US" w:eastAsia="zh-CN"/>
          <w14:textFill>
            <w14:solidFill>
              <w14:schemeClr w14:val="tx1"/>
            </w14:solidFill>
          </w14:textFill>
        </w:rPr>
        <w:t xml:space="preserve"> 岳阳市市政维护管理中心</w:t>
      </w:r>
    </w:p>
    <w:p w14:paraId="00A92970">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b/>
          <w:bCs/>
          <w:color w:val="000000" w:themeColor="text1"/>
          <w:spacing w:val="0"/>
          <w:position w:val="0"/>
          <w:sz w:val="32"/>
          <w:szCs w:val="32"/>
          <w:lang w:val="en-US" w:eastAsia="zh-CN"/>
          <w14:textFill>
            <w14:solidFill>
              <w14:schemeClr w14:val="tx1"/>
            </w14:solidFill>
          </w14:textFill>
        </w:rPr>
      </w:pPr>
      <w:r>
        <w:rPr>
          <w:rFonts w:hint="eastAsia" w:ascii="宋体" w:hAnsi="宋体" w:eastAsia="宋体" w:cs="宋体"/>
          <w:b/>
          <w:bCs/>
          <w:color w:val="000000" w:themeColor="text1"/>
          <w:spacing w:val="0"/>
          <w:position w:val="0"/>
          <w:sz w:val="32"/>
          <w:szCs w:val="32"/>
          <w:lang w:val="en-US" w:eastAsia="zh-CN"/>
          <w14:textFill>
            <w14:solidFill>
              <w14:schemeClr w14:val="tx1"/>
            </w14:solidFill>
          </w14:textFill>
        </w:rPr>
        <w:t>2026年 6 月 2</w:t>
      </w:r>
      <w:r>
        <w:rPr>
          <w:rFonts w:hint="default" w:ascii="宋体" w:hAnsi="宋体" w:cs="宋体"/>
          <w:b/>
          <w:bCs/>
          <w:color w:val="000000" w:themeColor="text1"/>
          <w:spacing w:val="0"/>
          <w:position w:val="0"/>
          <w:sz w:val="32"/>
          <w:szCs w:val="32"/>
          <w:lang w:val="en" w:eastAsia="zh-CN"/>
          <w14:textFill>
            <w14:solidFill>
              <w14:schemeClr w14:val="tx1"/>
            </w14:solidFill>
          </w14:textFill>
        </w:rPr>
        <w:t>3</w:t>
      </w:r>
      <w:r>
        <w:rPr>
          <w:rFonts w:hint="eastAsia" w:ascii="宋体" w:hAnsi="宋体" w:eastAsia="宋体" w:cs="宋体"/>
          <w:b/>
          <w:bCs/>
          <w:color w:val="000000" w:themeColor="text1"/>
          <w:spacing w:val="0"/>
          <w:position w:val="0"/>
          <w:sz w:val="32"/>
          <w:szCs w:val="32"/>
          <w:lang w:val="en-US" w:eastAsia="zh-CN"/>
          <w14:textFill>
            <w14:solidFill>
              <w14:schemeClr w14:val="tx1"/>
            </w14:solidFill>
          </w14:textFill>
        </w:rPr>
        <w:t xml:space="preserve"> 日</w:t>
      </w:r>
    </w:p>
    <w:p w14:paraId="674C7F4D">
      <w:pPr>
        <w:pStyle w:val="2"/>
        <w:rPr>
          <w:rFonts w:hint="eastAsia"/>
          <w:lang w:val="en-US" w:eastAsia="zh-CN"/>
        </w:rPr>
      </w:pPr>
    </w:p>
    <w:p w14:paraId="2D65D953">
      <w:pPr>
        <w:jc w:val="both"/>
        <w:rPr>
          <w:rFonts w:hint="eastAsia" w:ascii="方正小标宋简体" w:hAnsi="方正小标宋简体" w:eastAsia="方正小标宋简体" w:cs="方正小标宋简体"/>
          <w:kern w:val="0"/>
          <w:sz w:val="44"/>
          <w:szCs w:val="44"/>
          <w:lang w:val="en-US" w:eastAsia="zh-CN"/>
        </w:rPr>
        <w:sectPr>
          <w:pgSz w:w="11906" w:h="16838"/>
          <w:pgMar w:top="1701" w:right="1701" w:bottom="1701" w:left="1701" w:header="851" w:footer="992" w:gutter="0"/>
          <w:pgNumType w:fmt="decimal" w:start="1"/>
          <w:cols w:space="0" w:num="1"/>
          <w:rtlGutter w:val="0"/>
          <w:docGrid w:type="lines" w:linePitch="312" w:charSpace="0"/>
        </w:sectPr>
      </w:pPr>
    </w:p>
    <w:p w14:paraId="235AF5C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kern w:val="0"/>
          <w:sz w:val="44"/>
          <w:szCs w:val="44"/>
          <w:lang w:val="en-US" w:eastAsia="zh-CN"/>
        </w:rPr>
      </w:pPr>
    </w:p>
    <w:p w14:paraId="54D2005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kern w:val="0"/>
          <w:sz w:val="44"/>
          <w:szCs w:val="44"/>
          <w:lang w:val="en-US" w:eastAsia="zh-CN"/>
        </w:rPr>
      </w:pPr>
    </w:p>
    <w:p w14:paraId="3496551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b/>
          <w:bCs/>
          <w:kern w:val="0"/>
          <w:sz w:val="44"/>
          <w:szCs w:val="44"/>
          <w:lang w:val="en-US" w:eastAsia="zh-CN"/>
        </w:rPr>
      </w:pPr>
      <w:r>
        <w:rPr>
          <w:rFonts w:hint="eastAsia" w:asciiTheme="majorEastAsia" w:hAnsiTheme="majorEastAsia" w:eastAsiaTheme="majorEastAsia" w:cstheme="majorEastAsia"/>
          <w:b/>
          <w:bCs/>
          <w:kern w:val="0"/>
          <w:sz w:val="44"/>
          <w:szCs w:val="44"/>
          <w:lang w:val="en-US" w:eastAsia="zh-CN"/>
        </w:rPr>
        <w:t>2025年度岳阳市市政维护管理中心</w:t>
      </w:r>
    </w:p>
    <w:p w14:paraId="1749E61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b/>
          <w:bCs/>
          <w:color w:val="000000" w:themeColor="text1"/>
          <w:spacing w:val="0"/>
          <w:position w:val="0"/>
          <w:sz w:val="44"/>
          <w:szCs w:val="44"/>
          <w:lang w:val="en-US" w:eastAsia="zh-CN"/>
          <w14:textFill>
            <w14:solidFill>
              <w14:schemeClr w14:val="tx1"/>
            </w14:solidFill>
          </w14:textFill>
        </w:rPr>
      </w:pPr>
      <w:r>
        <w:rPr>
          <w:rFonts w:hint="eastAsia" w:asciiTheme="majorEastAsia" w:hAnsiTheme="majorEastAsia" w:eastAsiaTheme="majorEastAsia" w:cstheme="majorEastAsia"/>
          <w:b/>
          <w:bCs/>
          <w:kern w:val="0"/>
          <w:sz w:val="44"/>
          <w:szCs w:val="44"/>
          <w:lang w:val="en-US" w:eastAsia="zh-CN"/>
        </w:rPr>
        <w:t>整体支出绩效自评报告</w:t>
      </w:r>
    </w:p>
    <w:p w14:paraId="23DC0F2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E990E59">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kern w:val="0"/>
          <w:sz w:val="32"/>
          <w:szCs w:val="32"/>
          <w:lang w:val="en-US" w:eastAsia="zh-CN"/>
        </w:rPr>
      </w:pPr>
      <w:r>
        <w:rPr>
          <w:rFonts w:hint="eastAsia" w:ascii="楷体_GB2312" w:hAnsi="楷体_GB2312" w:eastAsia="楷体_GB2312" w:cs="楷体_GB2312"/>
          <w:b/>
          <w:bCs/>
          <w:kern w:val="0"/>
          <w:sz w:val="32"/>
          <w:szCs w:val="32"/>
          <w:lang w:val="en-US" w:eastAsia="zh-CN"/>
        </w:rPr>
        <w:t>单位基本情况</w:t>
      </w:r>
    </w:p>
    <w:p w14:paraId="0455D15A">
      <w:pPr>
        <w:pStyle w:val="2"/>
        <w:keepNext w:val="0"/>
        <w:keepLines w:val="0"/>
        <w:pageBreakBefore w:val="0"/>
        <w:numPr>
          <w:ilvl w:val="0"/>
          <w:numId w:val="0"/>
        </w:numPr>
        <w:wordWrap/>
        <w:overflowPunct/>
        <w:topLinePunct w:val="0"/>
        <w:bidi w:val="0"/>
        <w:spacing w:line="580" w:lineRule="exact"/>
        <w:rPr>
          <w:rFonts w:hint="eastAsia" w:ascii="仿宋_GB2312" w:hAnsi="仿宋_GB2312" w:eastAsia="仿宋_GB2312" w:cs="仿宋_GB2312"/>
          <w:sz w:val="32"/>
          <w:szCs w:val="32"/>
          <w:lang w:val="en-US" w:eastAsia="zh-CN"/>
        </w:rPr>
      </w:pPr>
      <w:r>
        <w:rPr>
          <w:rFonts w:hint="eastAsia"/>
          <w:lang w:val="en-US" w:eastAsia="zh-CN"/>
        </w:rPr>
        <w:t xml:space="preserve">    </w:t>
      </w:r>
      <w:r>
        <w:rPr>
          <w:rFonts w:hint="eastAsia" w:ascii="仿宋_GB2312" w:hAnsi="仿宋_GB2312" w:eastAsia="仿宋_GB2312" w:cs="仿宋_GB2312"/>
          <w:b/>
          <w:bCs/>
          <w:color w:val="000000"/>
          <w:kern w:val="0"/>
          <w:sz w:val="32"/>
          <w:szCs w:val="32"/>
        </w:rPr>
        <w:t>（一）职能职责</w:t>
      </w:r>
    </w:p>
    <w:p w14:paraId="2AC0EC62">
      <w:pPr>
        <w:keepNext w:val="0"/>
        <w:keepLines w:val="0"/>
        <w:pageBreakBefore w:val="0"/>
        <w:widowControl w:val="0"/>
        <w:kinsoku/>
        <w:wordWrap/>
        <w:overflowPunct/>
        <w:topLinePunct w:val="0"/>
        <w:autoSpaceDE/>
        <w:bidi w:val="0"/>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负责宣传和贯彻执行国家、省有关城市市政设施维护管理的法律、法规和规章，参与本市市政设施管理和养护规范性文件的起草以及市政设施维护发展规划的制定。</w:t>
      </w:r>
    </w:p>
    <w:p w14:paraId="415D0BD4">
      <w:pPr>
        <w:keepNext w:val="0"/>
        <w:keepLines w:val="0"/>
        <w:pageBreakBefore w:val="0"/>
        <w:widowControl w:val="0"/>
        <w:kinsoku/>
        <w:wordWrap/>
        <w:overflowPunct/>
        <w:topLinePunct w:val="0"/>
        <w:autoSpaceDE/>
        <w:bidi w:val="0"/>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负责组织与管理本城市市政基础设施(道路、桥梁、隧道、泵</w:t>
      </w:r>
      <w:r>
        <w:rPr>
          <w:rFonts w:hint="eastAsia" w:ascii="仿宋_GB2312" w:hAnsi="仿宋_GB2312" w:eastAsia="仿宋_GB2312" w:cs="仿宋_GB2312"/>
          <w:color w:val="000000"/>
          <w:sz w:val="32"/>
          <w:szCs w:val="32"/>
          <w:lang w:eastAsia="zh-CN"/>
        </w:rPr>
        <w:t>房</w:t>
      </w:r>
      <w:r>
        <w:rPr>
          <w:rFonts w:hint="eastAsia" w:ascii="仿宋_GB2312" w:hAnsi="仿宋_GB2312" w:eastAsia="仿宋_GB2312" w:cs="仿宋_GB2312"/>
          <w:color w:val="000000"/>
          <w:sz w:val="32"/>
          <w:szCs w:val="32"/>
        </w:rPr>
        <w:t>、排水涵洞、人行道、人行天桥、人行地下通道等)的日常管理、设施监测、检测及维修与养护，确保市政设施整齐完好。</w:t>
      </w:r>
    </w:p>
    <w:p w14:paraId="1907C13F">
      <w:pPr>
        <w:keepNext w:val="0"/>
        <w:keepLines w:val="0"/>
        <w:pageBreakBefore w:val="0"/>
        <w:widowControl w:val="0"/>
        <w:kinsoku/>
        <w:wordWrap/>
        <w:overflowPunct/>
        <w:topLinePunct w:val="0"/>
        <w:autoSpaceDE/>
        <w:bidi w:val="0"/>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负责管理城市市政维护行业标准及其工程施工的质量、进度、安全和市政维护技术标准，并监督执行；负责市政工程质量检测；参与新建市政工程移交、接管工作；根据职责分工参与本城市环境综合整治、创建文明卫生城市和市容管理等工作。</w:t>
      </w:r>
    </w:p>
    <w:p w14:paraId="791F84BE">
      <w:pPr>
        <w:keepNext w:val="0"/>
        <w:keepLines w:val="0"/>
        <w:pageBreakBefore w:val="0"/>
        <w:widowControl w:val="0"/>
        <w:kinsoku/>
        <w:wordWrap/>
        <w:overflowPunct/>
        <w:topLinePunct w:val="0"/>
        <w:autoSpaceDE/>
        <w:bidi w:val="0"/>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负责本城市市政设施维修、改造计划及资金计划的编制；负责组织与管理本城市市政工程设施的大、中修和配套建设；负责破占道恢复工作。</w:t>
      </w:r>
    </w:p>
    <w:p w14:paraId="0A0E331C">
      <w:pPr>
        <w:keepNext w:val="0"/>
        <w:keepLines w:val="0"/>
        <w:pageBreakBefore w:val="0"/>
        <w:widowControl w:val="0"/>
        <w:kinsoku/>
        <w:wordWrap/>
        <w:overflowPunct/>
        <w:topLinePunct w:val="0"/>
        <w:autoSpaceDE/>
        <w:bidi w:val="0"/>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参与本城市排涝、排渍;负责城区雨污水排放、水质、水量监测、监控。</w:t>
      </w:r>
    </w:p>
    <w:p w14:paraId="4B920024">
      <w:pPr>
        <w:keepNext w:val="0"/>
        <w:keepLines w:val="0"/>
        <w:pageBreakBefore w:val="0"/>
        <w:widowControl w:val="0"/>
        <w:kinsoku/>
        <w:wordWrap/>
        <w:overflowPunct/>
        <w:topLinePunct w:val="0"/>
        <w:autoSpaceDE/>
        <w:bidi w:val="0"/>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负责本单位工程机械、车辆、设备的管理，确保安全运行。</w:t>
      </w:r>
    </w:p>
    <w:p w14:paraId="5C938F51">
      <w:pPr>
        <w:keepNext w:val="0"/>
        <w:keepLines w:val="0"/>
        <w:pageBreakBefore w:val="0"/>
        <w:widowControl w:val="0"/>
        <w:kinsoku/>
        <w:wordWrap/>
        <w:overflowPunct/>
        <w:topLinePunct w:val="0"/>
        <w:autoSpaceDE/>
        <w:bidi w:val="0"/>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负责市政应急指挥(处理)中心的日常工作；负责涉及市政设施方面的城市防汛、防台风、抗冰雪灾害等突发应急事件的组织和协调。</w:t>
      </w:r>
    </w:p>
    <w:p w14:paraId="503F397B">
      <w:pPr>
        <w:keepNext w:val="0"/>
        <w:keepLines w:val="0"/>
        <w:pageBreakBefore w:val="0"/>
        <w:widowControl w:val="0"/>
        <w:kinsoku/>
        <w:wordWrap/>
        <w:overflowPunct/>
        <w:topLinePunct w:val="0"/>
        <w:autoSpaceDE/>
        <w:bidi w:val="0"/>
        <w:spacing w:line="58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承办市委市政府和主管部门交办的其</w:t>
      </w:r>
      <w:r>
        <w:rPr>
          <w:rFonts w:hint="eastAsia" w:ascii="仿宋_GB2312" w:hAnsi="仿宋_GB2312" w:eastAsia="仿宋_GB2312" w:cs="仿宋_GB2312"/>
          <w:color w:val="000000"/>
          <w:sz w:val="32"/>
          <w:szCs w:val="32"/>
          <w:lang w:eastAsia="zh-CN"/>
        </w:rPr>
        <w:t>他</w:t>
      </w:r>
      <w:r>
        <w:rPr>
          <w:rFonts w:hint="eastAsia" w:ascii="仿宋_GB2312" w:hAnsi="仿宋_GB2312" w:eastAsia="仿宋_GB2312" w:cs="仿宋_GB2312"/>
          <w:color w:val="000000"/>
          <w:sz w:val="32"/>
          <w:szCs w:val="32"/>
        </w:rPr>
        <w:t>工作。</w:t>
      </w:r>
    </w:p>
    <w:p w14:paraId="2B506DBF">
      <w:pPr>
        <w:keepNext w:val="0"/>
        <w:keepLines w:val="0"/>
        <w:pageBreakBefore w:val="0"/>
        <w:widowControl w:val="0"/>
        <w:kinsoku/>
        <w:wordWrap/>
        <w:overflowPunct/>
        <w:topLinePunct w:val="0"/>
        <w:autoSpaceDE/>
        <w:bidi w:val="0"/>
        <w:spacing w:line="580" w:lineRule="exact"/>
        <w:ind w:firstLine="643"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0"/>
          <w:sz w:val="32"/>
          <w:szCs w:val="32"/>
          <w:lang w:val="en-US" w:eastAsia="zh-CN"/>
        </w:rPr>
        <w:t>（二）机构设置及人员编制情况</w:t>
      </w:r>
    </w:p>
    <w:p w14:paraId="25E58109">
      <w:pPr>
        <w:keepNext w:val="0"/>
        <w:keepLines w:val="0"/>
        <w:pageBreakBefore w:val="0"/>
        <w:widowControl w:val="0"/>
        <w:kinsoku/>
        <w:wordWrap/>
        <w:overflowPunct/>
        <w:topLinePunct w:val="0"/>
        <w:autoSpaceDE/>
        <w:bidi w:val="0"/>
        <w:spacing w:line="580" w:lineRule="exact"/>
        <w:ind w:firstLine="640" w:firstLineChars="200"/>
        <w:rPr>
          <w:rFonts w:hint="eastAsia" w:ascii="仿宋_GB2312" w:hAnsi="仿宋_GB2312" w:eastAsia="仿宋_GB2312" w:cs="仿宋_GB2312"/>
          <w:b/>
          <w:bCs/>
          <w:color w:val="000000"/>
          <w:sz w:val="32"/>
          <w:szCs w:val="32"/>
        </w:rPr>
      </w:pPr>
      <w:r>
        <w:rPr>
          <w:rFonts w:hint="eastAsia" w:ascii="仿宋_GB2312" w:hAnsi="仿宋_GB2312" w:eastAsia="仿宋_GB2312" w:cs="仿宋_GB2312"/>
          <w:kern w:val="2"/>
          <w:sz w:val="32"/>
          <w:szCs w:val="32"/>
          <w:lang w:val="en-US" w:eastAsia="zh-CN" w:bidi="ar-SA"/>
        </w:rPr>
        <w:t>岳阳市市政维护管理中心为正科级公益一类事业单位，隶属岳阳市城市管理和综合执法局，设6个内设机构：综合部、财务内审部、人事部、安全技术部、计划服务部、信息考评部；下设5个副科级分支机构：市政道路桥梁管理所、市政排水泵站管理所、市政设备管理所、市政维护科研所、城陵矶新港区管理所。核定岳阳市市政维护管理中心全额事业编制35人，实际在编人数35人，另核定编外聘用人员计划数100人。</w:t>
      </w:r>
    </w:p>
    <w:p w14:paraId="205093CE">
      <w:pPr>
        <w:keepNext w:val="0"/>
        <w:keepLines w:val="0"/>
        <w:pageBreakBefore w:val="0"/>
        <w:widowControl w:val="0"/>
        <w:kinsoku/>
        <w:wordWrap/>
        <w:overflowPunct/>
        <w:topLinePunct w:val="0"/>
        <w:autoSpaceDE/>
        <w:bidi w:val="0"/>
        <w:spacing w:line="580" w:lineRule="exact"/>
        <w:ind w:firstLine="643" w:firstLineChars="200"/>
        <w:rPr>
          <w:rFonts w:hint="eastAsia" w:ascii="仿宋" w:hAnsi="仿宋" w:eastAsia="仿宋" w:cs="仿宋"/>
          <w:b w:val="0"/>
          <w:bCs w:val="0"/>
          <w:color w:val="auto"/>
          <w:sz w:val="32"/>
          <w:szCs w:val="32"/>
        </w:rPr>
      </w:pPr>
      <w:r>
        <w:rPr>
          <w:rFonts w:hint="eastAsia" w:ascii="楷体_GB2312" w:hAnsi="楷体_GB2312" w:eastAsia="楷体_GB2312" w:cs="楷体_GB2312"/>
          <w:b/>
          <w:bCs/>
          <w:color w:val="auto"/>
          <w:kern w:val="0"/>
          <w:sz w:val="32"/>
          <w:szCs w:val="32"/>
          <w:lang w:val="en-US" w:eastAsia="zh-CN"/>
        </w:rPr>
        <w:t>二、一般公共预算支出情况</w:t>
      </w:r>
    </w:p>
    <w:p w14:paraId="18AC45F1">
      <w:pPr>
        <w:keepNext w:val="0"/>
        <w:keepLines w:val="0"/>
        <w:pageBreakBefore w:val="0"/>
        <w:widowControl w:val="0"/>
        <w:kinsoku/>
        <w:wordWrap/>
        <w:overflowPunct/>
        <w:topLinePunct w:val="0"/>
        <w:autoSpaceDE/>
        <w:bidi w:val="0"/>
        <w:spacing w:line="580" w:lineRule="exact"/>
        <w:ind w:firstLine="643" w:firstLineChars="200"/>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lang w:val="en-US" w:eastAsia="zh-CN"/>
        </w:rPr>
        <w:t>（一）基本支出情况</w:t>
      </w:r>
    </w:p>
    <w:p w14:paraId="42CD62D9">
      <w:pPr>
        <w:keepNext w:val="0"/>
        <w:keepLines w:val="0"/>
        <w:pageBreakBefore w:val="0"/>
        <w:widowControl w:val="0"/>
        <w:kinsoku/>
        <w:wordWrap/>
        <w:overflowPunct/>
        <w:topLinePunct w:val="0"/>
        <w:autoSpaceDE/>
        <w:bidi w:val="0"/>
        <w:spacing w:line="58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25</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单位</w:t>
      </w:r>
      <w:r>
        <w:rPr>
          <w:rFonts w:hint="eastAsia" w:ascii="仿宋_GB2312" w:hAnsi="仿宋_GB2312" w:eastAsia="仿宋_GB2312" w:cs="仿宋_GB2312"/>
          <w:bCs/>
          <w:sz w:val="32"/>
          <w:szCs w:val="32"/>
        </w:rPr>
        <w:t>基本支出</w:t>
      </w:r>
      <w:r>
        <w:rPr>
          <w:rFonts w:hint="eastAsia" w:ascii="仿宋_GB2312" w:hAnsi="仿宋_GB2312" w:eastAsia="仿宋_GB2312" w:cs="仿宋_GB2312"/>
          <w:bCs/>
          <w:sz w:val="32"/>
          <w:szCs w:val="32"/>
          <w:lang w:val="en-US" w:eastAsia="zh-CN"/>
        </w:rPr>
        <w:t>总额为</w:t>
      </w:r>
      <w:r>
        <w:rPr>
          <w:rFonts w:hint="eastAsia" w:ascii="仿宋_GB2312" w:hAnsi="仿宋_GB2312" w:eastAsia="仿宋_GB2312" w:cs="仿宋_GB2312"/>
          <w:bCs/>
          <w:color w:val="auto"/>
          <w:sz w:val="32"/>
          <w:szCs w:val="32"/>
          <w:lang w:val="en-US" w:eastAsia="zh-CN"/>
        </w:rPr>
        <w:t>744.68</w:t>
      </w:r>
      <w:r>
        <w:rPr>
          <w:rFonts w:hint="eastAsia" w:ascii="仿宋_GB2312" w:hAnsi="仿宋_GB2312" w:eastAsia="仿宋_GB2312" w:cs="仿宋_GB2312"/>
          <w:bCs/>
          <w:sz w:val="32"/>
          <w:szCs w:val="32"/>
        </w:rPr>
        <w:t>万元，其中人员经费支出</w:t>
      </w:r>
      <w:r>
        <w:rPr>
          <w:rFonts w:hint="eastAsia" w:ascii="仿宋_GB2312" w:hAnsi="仿宋_GB2312" w:eastAsia="仿宋_GB2312" w:cs="仿宋_GB2312"/>
          <w:bCs/>
          <w:color w:val="auto"/>
          <w:sz w:val="32"/>
          <w:szCs w:val="32"/>
          <w:lang w:val="en-US" w:eastAsia="zh-CN"/>
        </w:rPr>
        <w:t>622.49</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val="en-US" w:eastAsia="zh-CN"/>
        </w:rPr>
        <w:t>主要用于</w:t>
      </w:r>
      <w:r>
        <w:rPr>
          <w:rFonts w:hint="eastAsia" w:ascii="仿宋_GB2312" w:hAnsi="仿宋_GB2312" w:eastAsia="仿宋_GB2312" w:cs="仿宋_GB2312"/>
          <w:bCs/>
          <w:sz w:val="32"/>
          <w:szCs w:val="32"/>
          <w:highlight w:val="none"/>
          <w:lang w:val="en-US" w:eastAsia="zh-CN"/>
        </w:rPr>
        <w:t>职工工资、津补贴、绩效工资及社会保障缴费等。</w:t>
      </w:r>
      <w:r>
        <w:rPr>
          <w:rFonts w:hint="eastAsia" w:ascii="仿宋_GB2312" w:hAnsi="仿宋_GB2312" w:eastAsia="仿宋_GB2312" w:cs="仿宋_GB2312"/>
          <w:bCs/>
          <w:sz w:val="32"/>
          <w:szCs w:val="32"/>
        </w:rPr>
        <w:t>公用</w:t>
      </w:r>
      <w:r>
        <w:rPr>
          <w:rFonts w:hint="eastAsia" w:ascii="仿宋_GB2312" w:hAnsi="仿宋_GB2312" w:eastAsia="仿宋_GB2312" w:cs="仿宋_GB2312"/>
          <w:bCs/>
          <w:sz w:val="32"/>
          <w:szCs w:val="32"/>
          <w:lang w:val="en-US" w:eastAsia="zh-CN"/>
        </w:rPr>
        <w:t>经费</w:t>
      </w:r>
      <w:r>
        <w:rPr>
          <w:rFonts w:hint="eastAsia" w:ascii="仿宋_GB2312" w:hAnsi="仿宋_GB2312" w:eastAsia="仿宋_GB2312" w:cs="仿宋_GB2312"/>
          <w:bCs/>
          <w:sz w:val="32"/>
          <w:szCs w:val="32"/>
        </w:rPr>
        <w:t>支出</w:t>
      </w:r>
      <w:r>
        <w:rPr>
          <w:rFonts w:hint="eastAsia" w:ascii="仿宋_GB2312" w:hAnsi="仿宋_GB2312" w:eastAsia="仿宋_GB2312" w:cs="仿宋_GB2312"/>
          <w:bCs/>
          <w:color w:val="auto"/>
          <w:sz w:val="32"/>
          <w:szCs w:val="32"/>
          <w:lang w:val="en-US" w:eastAsia="zh-CN"/>
        </w:rPr>
        <w:t>122.19</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主要用于办公费、印刷费、水电费、邮电费、取暖费、物业费、差旅费、维修（护）费、租赁费、劳务费、委托业务费、工会经费、公务用车运行费、其他交通费用、其他商品和服务支出等单位运转费用支出。</w:t>
      </w:r>
    </w:p>
    <w:p w14:paraId="01EFFB98">
      <w:pPr>
        <w:keepNext w:val="0"/>
        <w:keepLines w:val="0"/>
        <w:pageBreakBefore w:val="0"/>
        <w:widowControl w:val="0"/>
        <w:kinsoku/>
        <w:wordWrap/>
        <w:overflowPunct/>
        <w:topLinePunct w:val="0"/>
        <w:autoSpaceDE/>
        <w:autoSpaceDN/>
        <w:bidi w:val="0"/>
        <w:spacing w:line="580" w:lineRule="exact"/>
        <w:ind w:firstLine="640"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Cs/>
          <w:sz w:val="32"/>
          <w:szCs w:val="32"/>
        </w:rPr>
        <w:t>本年度公务接待费</w:t>
      </w:r>
      <w:r>
        <w:rPr>
          <w:rFonts w:hint="eastAsia" w:ascii="仿宋_GB2312" w:hAnsi="仿宋_GB2312" w:eastAsia="仿宋_GB2312" w:cs="仿宋_GB2312"/>
          <w:bCs/>
          <w:sz w:val="32"/>
          <w:szCs w:val="32"/>
          <w:lang w:eastAsia="zh-CN"/>
        </w:rPr>
        <w:t>预算</w:t>
      </w:r>
      <w:r>
        <w:rPr>
          <w:rFonts w:hint="eastAsia" w:ascii="仿宋_GB2312" w:hAnsi="仿宋_GB2312" w:eastAsia="仿宋_GB2312" w:cs="仿宋_GB2312"/>
          <w:bCs/>
          <w:sz w:val="32"/>
          <w:szCs w:val="32"/>
          <w:lang w:val="en-US" w:eastAsia="zh-CN"/>
        </w:rPr>
        <w:t>与实际</w:t>
      </w:r>
      <w:r>
        <w:rPr>
          <w:rFonts w:hint="eastAsia" w:ascii="仿宋_GB2312" w:hAnsi="仿宋_GB2312" w:eastAsia="仿宋_GB2312" w:cs="仿宋_GB2312"/>
          <w:bCs/>
          <w:sz w:val="32"/>
          <w:szCs w:val="32"/>
        </w:rPr>
        <w:t>支出</w:t>
      </w:r>
      <w:r>
        <w:rPr>
          <w:rFonts w:hint="eastAsia" w:ascii="仿宋_GB2312" w:hAnsi="仿宋_GB2312" w:eastAsia="仿宋_GB2312" w:cs="仿宋_GB2312"/>
          <w:bCs/>
          <w:sz w:val="32"/>
          <w:szCs w:val="32"/>
          <w:lang w:val="en-US" w:eastAsia="zh-CN"/>
        </w:rPr>
        <w:t>金额均为0</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val="en-US" w:eastAsia="zh-CN"/>
        </w:rPr>
        <w:t>公务用车购置及</w:t>
      </w:r>
      <w:r>
        <w:rPr>
          <w:rFonts w:hint="eastAsia" w:ascii="仿宋_GB2312" w:hAnsi="仿宋_GB2312" w:eastAsia="仿宋_GB2312" w:cs="仿宋_GB2312"/>
          <w:bCs/>
          <w:sz w:val="32"/>
          <w:szCs w:val="32"/>
        </w:rPr>
        <w:t>公务用车运行维护费支出</w:t>
      </w:r>
      <w:r>
        <w:rPr>
          <w:rFonts w:hint="eastAsia" w:ascii="仿宋_GB2312" w:hAnsi="仿宋_GB2312" w:eastAsia="仿宋_GB2312" w:cs="仿宋_GB2312"/>
          <w:bCs/>
          <w:sz w:val="32"/>
          <w:szCs w:val="32"/>
          <w:lang w:eastAsia="zh-CN"/>
        </w:rPr>
        <w:t>预算</w:t>
      </w:r>
      <w:r>
        <w:rPr>
          <w:rFonts w:hint="eastAsia" w:ascii="仿宋_GB2312" w:hAnsi="仿宋_GB2312" w:eastAsia="仿宋_GB2312" w:cs="仿宋_GB2312"/>
          <w:bCs/>
          <w:sz w:val="32"/>
          <w:szCs w:val="32"/>
          <w:lang w:val="en-US" w:eastAsia="zh-CN"/>
        </w:rPr>
        <w:t>金额为75.00万元（其中公务用车购置预算0万元），公务用车购置及</w:t>
      </w:r>
      <w:r>
        <w:rPr>
          <w:rFonts w:hint="eastAsia" w:ascii="仿宋_GB2312" w:hAnsi="仿宋_GB2312" w:eastAsia="仿宋_GB2312" w:cs="仿宋_GB2312"/>
          <w:bCs/>
          <w:sz w:val="32"/>
          <w:szCs w:val="32"/>
        </w:rPr>
        <w:t>公务用车运行维护费</w:t>
      </w:r>
      <w:r>
        <w:rPr>
          <w:rFonts w:hint="eastAsia" w:ascii="仿宋_GB2312" w:hAnsi="仿宋_GB2312" w:eastAsia="仿宋_GB2312" w:cs="仿宋_GB2312"/>
          <w:bCs/>
          <w:sz w:val="32"/>
          <w:szCs w:val="32"/>
          <w:lang w:val="en-US" w:eastAsia="zh-CN"/>
        </w:rPr>
        <w:t>实际支出金额为74.06</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val="en-US" w:eastAsia="zh-CN"/>
        </w:rPr>
        <w:t>（其中公务用车购置支出0万元）</w:t>
      </w:r>
      <w:r>
        <w:rPr>
          <w:rFonts w:hint="eastAsia" w:ascii="仿宋_GB2312" w:hAnsi="仿宋_GB2312" w:eastAsia="仿宋_GB2312" w:cs="仿宋_GB2312"/>
          <w:bCs/>
          <w:sz w:val="32"/>
          <w:szCs w:val="32"/>
          <w:lang w:eastAsia="zh-CN"/>
        </w:rPr>
        <w:t>，因</w:t>
      </w:r>
      <w:r>
        <w:rPr>
          <w:rFonts w:hint="eastAsia" w:ascii="仿宋_GB2312" w:hAnsi="仿宋_GB2312" w:eastAsia="仿宋_GB2312" w:cs="仿宋_GB2312"/>
          <w:bCs/>
          <w:sz w:val="32"/>
          <w:szCs w:val="32"/>
        </w:rPr>
        <w:t>公出国</w:t>
      </w:r>
      <w:r>
        <w:rPr>
          <w:rFonts w:hint="eastAsia" w:ascii="仿宋_GB2312" w:hAnsi="仿宋_GB2312" w:eastAsia="仿宋_GB2312" w:cs="仿宋_GB2312"/>
          <w:bCs/>
          <w:sz w:val="32"/>
          <w:szCs w:val="32"/>
          <w:lang w:eastAsia="zh-CN"/>
        </w:rPr>
        <w:t>费用</w:t>
      </w:r>
      <w:r>
        <w:rPr>
          <w:rFonts w:hint="eastAsia" w:ascii="仿宋_GB2312" w:hAnsi="仿宋_GB2312" w:eastAsia="仿宋_GB2312" w:cs="仿宋_GB2312"/>
          <w:bCs/>
          <w:sz w:val="32"/>
          <w:szCs w:val="32"/>
          <w:lang w:val="en-US" w:eastAsia="zh-CN"/>
        </w:rPr>
        <w:t>预算与实际</w:t>
      </w:r>
      <w:r>
        <w:rPr>
          <w:rFonts w:hint="eastAsia" w:ascii="仿宋_GB2312" w:hAnsi="仿宋_GB2312" w:eastAsia="仿宋_GB2312" w:cs="仿宋_GB2312"/>
          <w:bCs/>
          <w:sz w:val="32"/>
          <w:szCs w:val="32"/>
        </w:rPr>
        <w:t>支出</w:t>
      </w:r>
      <w:r>
        <w:rPr>
          <w:rFonts w:hint="eastAsia" w:ascii="仿宋_GB2312" w:hAnsi="仿宋_GB2312" w:eastAsia="仿宋_GB2312" w:cs="仿宋_GB2312"/>
          <w:bCs/>
          <w:sz w:val="32"/>
          <w:szCs w:val="32"/>
          <w:lang w:val="en-US" w:eastAsia="zh-CN"/>
        </w:rPr>
        <w:t>金额均为</w:t>
      </w:r>
      <w:r>
        <w:rPr>
          <w:rFonts w:hint="eastAsia" w:ascii="仿宋_GB2312" w:hAnsi="仿宋_GB2312" w:eastAsia="仿宋_GB2312" w:cs="仿宋_GB2312"/>
          <w:bCs/>
          <w:sz w:val="32"/>
          <w:szCs w:val="32"/>
        </w:rPr>
        <w:t>0万元</w:t>
      </w:r>
      <w:r>
        <w:rPr>
          <w:rFonts w:hint="eastAsia" w:ascii="仿宋_GB2312" w:hAnsi="仿宋_GB2312" w:eastAsia="仿宋_GB2312" w:cs="仿宋_GB2312"/>
          <w:bCs/>
          <w:sz w:val="32"/>
          <w:szCs w:val="32"/>
          <w:lang w:eastAsia="zh-CN"/>
        </w:rPr>
        <w:t>，“三公经费”支出</w:t>
      </w:r>
      <w:r>
        <w:rPr>
          <w:rFonts w:hint="eastAsia" w:ascii="仿宋_GB2312" w:hAnsi="仿宋_GB2312" w:eastAsia="仿宋_GB2312" w:cs="仿宋_GB2312"/>
          <w:bCs/>
          <w:sz w:val="32"/>
          <w:szCs w:val="32"/>
          <w:lang w:val="en-US" w:eastAsia="zh-CN"/>
        </w:rPr>
        <w:t>总额为74.06万元，</w:t>
      </w:r>
      <w:r>
        <w:rPr>
          <w:rFonts w:hint="eastAsia" w:ascii="仿宋_GB2312" w:hAnsi="仿宋_GB2312" w:eastAsia="仿宋_GB2312" w:cs="仿宋_GB2312"/>
          <w:bCs/>
          <w:sz w:val="32"/>
          <w:szCs w:val="32"/>
          <w:lang w:eastAsia="zh-CN"/>
        </w:rPr>
        <w:t>控制在年初预算</w:t>
      </w:r>
      <w:r>
        <w:rPr>
          <w:rFonts w:hint="eastAsia" w:ascii="仿宋_GB2312" w:hAnsi="仿宋_GB2312" w:eastAsia="仿宋_GB2312" w:cs="仿宋_GB2312"/>
          <w:bCs/>
          <w:sz w:val="32"/>
          <w:szCs w:val="32"/>
          <w:lang w:val="en-US" w:eastAsia="zh-CN"/>
        </w:rPr>
        <w:t>金额75.00万元</w:t>
      </w:r>
      <w:r>
        <w:rPr>
          <w:rFonts w:hint="eastAsia" w:ascii="仿宋_GB2312" w:hAnsi="仿宋_GB2312" w:eastAsia="仿宋_GB2312" w:cs="仿宋_GB2312"/>
          <w:bCs/>
          <w:sz w:val="32"/>
          <w:szCs w:val="32"/>
          <w:lang w:eastAsia="zh-CN"/>
        </w:rPr>
        <w:t>之内</w:t>
      </w:r>
      <w:r>
        <w:rPr>
          <w:rFonts w:hint="eastAsia" w:ascii="仿宋_GB2312" w:hAnsi="仿宋_GB2312" w:eastAsia="仿宋_GB2312" w:cs="仿宋_GB2312"/>
          <w:bCs/>
          <w:sz w:val="32"/>
          <w:szCs w:val="32"/>
        </w:rPr>
        <w:t>。</w:t>
      </w:r>
    </w:p>
    <w:p w14:paraId="0033855E">
      <w:pPr>
        <w:keepNext w:val="0"/>
        <w:keepLines w:val="0"/>
        <w:pageBreakBefore w:val="0"/>
        <w:widowControl w:val="0"/>
        <w:kinsoku/>
        <w:wordWrap/>
        <w:overflowPunct/>
        <w:topLinePunct w:val="0"/>
        <w:autoSpaceDE/>
        <w:bidi w:val="0"/>
        <w:spacing w:line="580" w:lineRule="exact"/>
        <w:ind w:firstLine="643" w:firstLineChars="200"/>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lang w:val="en-US" w:eastAsia="zh-CN"/>
        </w:rPr>
        <w:t>（二）项目支出情况</w:t>
      </w:r>
    </w:p>
    <w:p w14:paraId="21D71CF2">
      <w:pPr>
        <w:keepNext w:val="0"/>
        <w:keepLines w:val="0"/>
        <w:pageBreakBefore w:val="0"/>
        <w:widowControl w:val="0"/>
        <w:kinsoku/>
        <w:wordWrap/>
        <w:overflowPunct/>
        <w:topLinePunct w:val="0"/>
        <w:autoSpaceDE/>
        <w:bidi w:val="0"/>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w:t>
      </w:r>
      <w:r>
        <w:rPr>
          <w:rFonts w:hint="eastAsia" w:ascii="仿宋_GB2312" w:hAnsi="仿宋_GB2312" w:eastAsia="仿宋_GB2312" w:cs="仿宋_GB2312"/>
          <w:color w:val="auto"/>
          <w:sz w:val="32"/>
          <w:szCs w:val="32"/>
          <w:lang w:eastAsia="zh-CN"/>
        </w:rPr>
        <w:t>，一般公共预算</w:t>
      </w:r>
      <w:r>
        <w:rPr>
          <w:rFonts w:hint="eastAsia" w:ascii="仿宋_GB2312" w:hAnsi="仿宋_GB2312" w:eastAsia="仿宋_GB2312" w:cs="仿宋_GB2312"/>
          <w:color w:val="auto"/>
          <w:sz w:val="32"/>
          <w:szCs w:val="32"/>
        </w:rPr>
        <w:t>项目支出</w:t>
      </w:r>
      <w:r>
        <w:rPr>
          <w:rFonts w:hint="eastAsia" w:ascii="仿宋_GB2312" w:hAnsi="仿宋_GB2312" w:eastAsia="仿宋_GB2312" w:cs="仿宋_GB2312"/>
          <w:color w:val="auto"/>
          <w:sz w:val="32"/>
          <w:szCs w:val="32"/>
          <w:lang w:val="en-US" w:eastAsia="zh-CN"/>
        </w:rPr>
        <w:t>合</w:t>
      </w:r>
      <w:r>
        <w:rPr>
          <w:rFonts w:hint="eastAsia" w:ascii="仿宋_GB2312" w:hAnsi="仿宋_GB2312" w:eastAsia="仿宋_GB2312" w:cs="仿宋_GB2312"/>
          <w:color w:val="auto"/>
          <w:sz w:val="32"/>
          <w:szCs w:val="32"/>
          <w:lang w:eastAsia="zh-CN"/>
        </w:rPr>
        <w:t>计</w:t>
      </w:r>
      <w:r>
        <w:rPr>
          <w:rFonts w:hint="eastAsia" w:ascii="仿宋_GB2312" w:hAnsi="仿宋_GB2312" w:eastAsia="仿宋_GB2312" w:cs="仿宋_GB2312"/>
          <w:color w:val="auto"/>
          <w:sz w:val="32"/>
          <w:szCs w:val="32"/>
          <w:lang w:val="en-US" w:eastAsia="zh-CN"/>
        </w:rPr>
        <w:t>4400.32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纳入本次绩效自评范围的</w:t>
      </w:r>
      <w:r>
        <w:rPr>
          <w:rFonts w:hint="eastAsia" w:ascii="仿宋_GB2312" w:hAnsi="仿宋_GB2312" w:eastAsia="仿宋_GB2312" w:cs="仿宋_GB2312"/>
          <w:color w:val="auto"/>
          <w:sz w:val="32"/>
          <w:szCs w:val="32"/>
        </w:rPr>
        <w:t>项目支出</w:t>
      </w:r>
      <w:r>
        <w:rPr>
          <w:rFonts w:hint="eastAsia" w:ascii="仿宋_GB2312" w:hAnsi="仿宋_GB2312" w:eastAsia="仿宋_GB2312" w:cs="仿宋_GB2312"/>
          <w:color w:val="auto"/>
          <w:sz w:val="32"/>
          <w:szCs w:val="32"/>
          <w:lang w:val="en-US" w:eastAsia="zh-CN"/>
        </w:rPr>
        <w:t>包括</w:t>
      </w:r>
      <w:r>
        <w:rPr>
          <w:rFonts w:hint="eastAsia" w:ascii="仿宋_GB2312" w:hAnsi="仿宋_GB2312" w:eastAsia="仿宋_GB2312" w:cs="仿宋_GB2312"/>
          <w:sz w:val="32"/>
          <w:szCs w:val="32"/>
          <w:highlight w:val="none"/>
        </w:rPr>
        <w:t>市</w:t>
      </w:r>
      <w:r>
        <w:rPr>
          <w:rFonts w:hint="eastAsia" w:ascii="仿宋_GB2312" w:hAnsi="仿宋_GB2312" w:eastAsia="仿宋_GB2312" w:cs="仿宋_GB2312"/>
          <w:sz w:val="32"/>
          <w:szCs w:val="32"/>
          <w:highlight w:val="none"/>
          <w:lang w:eastAsia="zh-CN"/>
        </w:rPr>
        <w:t>政维护专项</w:t>
      </w:r>
      <w:r>
        <w:rPr>
          <w:rFonts w:hint="eastAsia" w:ascii="仿宋_GB2312" w:hAnsi="仿宋_GB2312" w:eastAsia="仿宋_GB2312" w:cs="仿宋_GB2312"/>
          <w:sz w:val="32"/>
          <w:szCs w:val="32"/>
          <w:highlight w:val="none"/>
        </w:rPr>
        <w:t>经费</w:t>
      </w:r>
      <w:r>
        <w:rPr>
          <w:rFonts w:hint="eastAsia" w:ascii="仿宋_GB2312" w:hAnsi="仿宋_GB2312" w:eastAsia="仿宋_GB2312" w:cs="仿宋_GB2312"/>
          <w:sz w:val="32"/>
          <w:szCs w:val="32"/>
          <w:highlight w:val="none"/>
          <w:lang w:eastAsia="zh-CN"/>
        </w:rPr>
        <w:t>（含日常工作经费）</w:t>
      </w:r>
      <w:r>
        <w:rPr>
          <w:rFonts w:hint="eastAsia" w:ascii="仿宋_GB2312" w:hAnsi="仿宋_GB2312" w:eastAsia="仿宋_GB2312" w:cs="仿宋_GB2312"/>
          <w:color w:val="auto"/>
          <w:sz w:val="32"/>
          <w:szCs w:val="32"/>
          <w:lang w:val="en-US" w:eastAsia="zh-CN"/>
        </w:rPr>
        <w:t>2631.50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泵站运行</w:t>
      </w:r>
      <w:r>
        <w:rPr>
          <w:rFonts w:hint="eastAsia" w:ascii="仿宋_GB2312" w:hAnsi="仿宋_GB2312" w:eastAsia="仿宋_GB2312" w:cs="仿宋_GB2312"/>
          <w:color w:val="auto"/>
          <w:sz w:val="32"/>
          <w:szCs w:val="32"/>
          <w:lang w:val="en-US" w:eastAsia="zh-CN"/>
        </w:rPr>
        <w:t>费及电费1240.00万元（含城东南路泵站费用）；</w:t>
      </w:r>
      <w:r>
        <w:rPr>
          <w:rFonts w:hint="eastAsia" w:ascii="仿宋_GB2312" w:hAnsi="仿宋_GB2312" w:eastAsia="仿宋_GB2312" w:cs="仿宋_GB2312"/>
          <w:sz w:val="32"/>
          <w:szCs w:val="32"/>
          <w:highlight w:val="none"/>
        </w:rPr>
        <w:t>原市政建设总公司改制经费</w:t>
      </w:r>
      <w:r>
        <w:rPr>
          <w:rFonts w:hint="eastAsia" w:ascii="仿宋_GB2312" w:hAnsi="仿宋_GB2312" w:eastAsia="仿宋_GB2312" w:cs="仿宋_GB2312"/>
          <w:sz w:val="32"/>
          <w:szCs w:val="32"/>
          <w:highlight w:val="none"/>
          <w:lang w:val="en-US" w:eastAsia="zh-CN"/>
        </w:rPr>
        <w:t>259.90万元；旅发大会桥梁隧道涂装翻新256.94万元；非税执收经费11.98万元，</w:t>
      </w:r>
      <w:r>
        <w:rPr>
          <w:rFonts w:hint="eastAsia" w:ascii="仿宋_GB2312" w:hAnsi="仿宋_GB2312" w:eastAsia="仿宋_GB2312" w:cs="仿宋_GB2312"/>
          <w:color w:val="000000"/>
          <w:sz w:val="32"/>
          <w:szCs w:val="32"/>
        </w:rPr>
        <w:t>项目支出主要列支各类道路</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auto"/>
          <w:sz w:val="32"/>
          <w:szCs w:val="32"/>
        </w:rPr>
        <w:t>桥梁、主涵</w:t>
      </w:r>
      <w:r>
        <w:rPr>
          <w:rFonts w:hint="eastAsia" w:ascii="仿宋_GB2312" w:hAnsi="仿宋_GB2312" w:eastAsia="仿宋_GB2312" w:cs="仿宋_GB2312"/>
          <w:color w:val="000000"/>
          <w:sz w:val="32"/>
          <w:szCs w:val="32"/>
          <w:lang w:val="en-US" w:eastAsia="zh-CN"/>
        </w:rPr>
        <w:t>等</w:t>
      </w:r>
      <w:r>
        <w:rPr>
          <w:rFonts w:hint="eastAsia" w:ascii="仿宋_GB2312" w:hAnsi="仿宋_GB2312" w:eastAsia="仿宋_GB2312" w:cs="仿宋_GB2312"/>
          <w:color w:val="000000"/>
          <w:sz w:val="32"/>
          <w:szCs w:val="32"/>
        </w:rPr>
        <w:t>维修劳务费、</w:t>
      </w:r>
      <w:r>
        <w:rPr>
          <w:rFonts w:hint="eastAsia" w:ascii="仿宋_GB2312" w:hAnsi="仿宋_GB2312" w:eastAsia="仿宋_GB2312" w:cs="仿宋_GB2312"/>
          <w:kern w:val="2"/>
          <w:sz w:val="32"/>
          <w:szCs w:val="32"/>
          <w:lang w:val="en-US" w:eastAsia="zh-CN" w:bidi="ar-SA"/>
        </w:rPr>
        <w:t>编外聘用人员劳务费、</w:t>
      </w:r>
      <w:bookmarkStart w:id="0" w:name="_GoBack"/>
      <w:bookmarkEnd w:id="0"/>
      <w:r>
        <w:rPr>
          <w:rFonts w:hint="eastAsia" w:ascii="仿宋_GB2312" w:hAnsi="仿宋_GB2312" w:eastAsia="仿宋_GB2312" w:cs="仿宋_GB2312"/>
          <w:color w:val="000000"/>
          <w:sz w:val="32"/>
          <w:szCs w:val="32"/>
        </w:rPr>
        <w:t>各类维修机械台班费、机械培训、吊装和租赁费、混凝土、砂石等维修物资</w:t>
      </w:r>
      <w:r>
        <w:rPr>
          <w:rFonts w:hint="eastAsia" w:ascii="仿宋_GB2312" w:hAnsi="仿宋_GB2312" w:eastAsia="仿宋_GB2312" w:cs="仿宋_GB2312"/>
          <w:color w:val="000000"/>
          <w:sz w:val="32"/>
          <w:szCs w:val="32"/>
          <w:lang w:eastAsia="zh-CN"/>
        </w:rPr>
        <w:t>，以及</w:t>
      </w:r>
      <w:r>
        <w:rPr>
          <w:rFonts w:hint="eastAsia" w:ascii="仿宋_GB2312" w:hAnsi="仿宋_GB2312" w:eastAsia="仿宋_GB2312" w:cs="仿宋_GB2312"/>
          <w:color w:val="auto"/>
          <w:sz w:val="32"/>
          <w:szCs w:val="32"/>
          <w:lang w:val="en-US" w:eastAsia="zh-CN"/>
        </w:rPr>
        <w:t>雨雪冰冻灾害天气应对材料</w:t>
      </w:r>
      <w:r>
        <w:rPr>
          <w:rFonts w:hint="eastAsia" w:ascii="仿宋_GB2312" w:hAnsi="仿宋_GB2312" w:eastAsia="仿宋_GB2312" w:cs="仿宋_GB2312"/>
          <w:color w:val="000000"/>
          <w:sz w:val="32"/>
          <w:szCs w:val="32"/>
        </w:rPr>
        <w:t>的购</w:t>
      </w:r>
      <w:r>
        <w:rPr>
          <w:rFonts w:hint="eastAsia" w:ascii="仿宋_GB2312" w:hAnsi="仿宋_GB2312" w:eastAsia="仿宋_GB2312" w:cs="仿宋_GB2312"/>
          <w:color w:val="000000"/>
          <w:sz w:val="32"/>
          <w:szCs w:val="32"/>
          <w:lang w:eastAsia="zh-CN"/>
        </w:rPr>
        <w:t>置，</w:t>
      </w:r>
      <w:r>
        <w:rPr>
          <w:rFonts w:hint="eastAsia" w:ascii="仿宋_GB2312" w:hAnsi="仿宋_GB2312" w:eastAsia="仿宋_GB2312" w:cs="仿宋_GB2312"/>
          <w:sz w:val="32"/>
          <w:szCs w:val="32"/>
          <w:highlight w:val="none"/>
          <w:lang w:val="en-US" w:eastAsia="zh-CN"/>
        </w:rPr>
        <w:t>旅发大会桥梁隧道涂装翻新，</w:t>
      </w:r>
      <w:r>
        <w:rPr>
          <w:rFonts w:hint="eastAsia" w:ascii="仿宋_GB2312" w:hAnsi="仿宋_GB2312" w:eastAsia="仿宋_GB2312" w:cs="仿宋_GB2312"/>
          <w:color w:val="000000"/>
          <w:sz w:val="32"/>
          <w:szCs w:val="32"/>
        </w:rPr>
        <w:t>泵站设备维护及电费等费用，各项目支出严格控制支出规模，未出现超预算开支的</w:t>
      </w:r>
      <w:r>
        <w:rPr>
          <w:rFonts w:hint="eastAsia" w:ascii="仿宋_GB2312" w:hAnsi="仿宋_GB2312" w:eastAsia="仿宋_GB2312" w:cs="仿宋_GB2312"/>
          <w:color w:val="000000"/>
          <w:sz w:val="32"/>
          <w:szCs w:val="32"/>
          <w:lang w:val="en-US" w:eastAsia="zh-CN"/>
        </w:rPr>
        <w:t>现象</w:t>
      </w:r>
      <w:r>
        <w:rPr>
          <w:rFonts w:hint="eastAsia" w:ascii="仿宋_GB2312" w:hAnsi="仿宋_GB2312" w:eastAsia="仿宋_GB2312" w:cs="仿宋_GB2312"/>
          <w:color w:val="000000"/>
          <w:sz w:val="32"/>
          <w:szCs w:val="32"/>
        </w:rPr>
        <w:t>。</w:t>
      </w:r>
    </w:p>
    <w:p w14:paraId="1F82B1F5">
      <w:pPr>
        <w:pStyle w:val="15"/>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黑体" w:cs="Times New Roman"/>
          <w:sz w:val="32"/>
          <w:szCs w:val="32"/>
        </w:rPr>
      </w:pP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政府性基金预算支出情况</w:t>
      </w:r>
    </w:p>
    <w:p w14:paraId="48923EE0">
      <w:pPr>
        <w:pStyle w:val="15"/>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我单位年初预算</w:t>
      </w:r>
      <w:r>
        <w:rPr>
          <w:rFonts w:hint="eastAsia" w:ascii="仿宋_GB2312" w:hAnsi="仿宋_GB2312" w:eastAsia="仿宋_GB2312" w:cs="仿宋_GB2312"/>
          <w:color w:val="auto"/>
          <w:sz w:val="32"/>
          <w:szCs w:val="32"/>
        </w:rPr>
        <w:t>政府性基金预算支出</w:t>
      </w:r>
      <w:r>
        <w:rPr>
          <w:rFonts w:hint="eastAsia" w:ascii="仿宋_GB2312" w:hAnsi="仿宋_GB2312" w:eastAsia="仿宋_GB2312" w:cs="仿宋_GB2312"/>
          <w:color w:val="auto"/>
          <w:sz w:val="32"/>
          <w:szCs w:val="32"/>
          <w:lang w:eastAsia="zh-CN"/>
        </w:rPr>
        <w:t>金额为</w:t>
      </w:r>
      <w:r>
        <w:rPr>
          <w:rFonts w:hint="eastAsia" w:ascii="仿宋_GB2312" w:hAnsi="仿宋_GB2312" w:eastAsia="仿宋_GB2312" w:cs="仿宋_GB2312"/>
          <w:color w:val="auto"/>
          <w:sz w:val="32"/>
          <w:szCs w:val="32"/>
          <w:lang w:val="en-US" w:eastAsia="zh-CN"/>
        </w:rPr>
        <w:t>0万元，年中向财政申请追加</w:t>
      </w:r>
      <w:r>
        <w:rPr>
          <w:rFonts w:hint="eastAsia" w:ascii="仿宋_GB2312" w:hAnsi="仿宋_GB2312" w:eastAsia="仿宋_GB2312" w:cs="仿宋_GB2312"/>
          <w:color w:val="auto"/>
          <w:sz w:val="32"/>
          <w:szCs w:val="32"/>
        </w:rPr>
        <w:t>政府性基金预算</w:t>
      </w:r>
      <w:r>
        <w:rPr>
          <w:rFonts w:hint="eastAsia" w:ascii="仿宋_GB2312" w:hAnsi="仿宋_GB2312" w:eastAsia="仿宋_GB2312" w:cs="仿宋_GB2312"/>
          <w:color w:val="auto"/>
          <w:sz w:val="32"/>
          <w:szCs w:val="32"/>
          <w:lang w:val="en-US" w:eastAsia="zh-CN"/>
        </w:rPr>
        <w:t>754.64万元，主要用于中心城区</w:t>
      </w:r>
      <w:r>
        <w:rPr>
          <w:rFonts w:hint="eastAsia" w:ascii="仿宋_GB2312" w:hAnsi="仿宋_GB2312" w:eastAsia="仿宋_GB2312" w:cs="仿宋_GB2312"/>
          <w:color w:val="auto"/>
          <w:sz w:val="32"/>
          <w:szCs w:val="32"/>
          <w:highlight w:val="none"/>
          <w:lang w:val="en-US" w:eastAsia="zh-CN"/>
        </w:rPr>
        <w:t>青年堤、下王组等四条城市排水主涵清淤和巴陵石化公司老厂区原泵站维修改造项目进度款结算。</w:t>
      </w:r>
    </w:p>
    <w:p w14:paraId="638C280E">
      <w:pPr>
        <w:pStyle w:val="15"/>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黑体" w:cs="Times New Roman"/>
          <w:sz w:val="32"/>
          <w:szCs w:val="32"/>
        </w:rPr>
      </w:pPr>
      <w:r>
        <w:rPr>
          <w:rFonts w:hint="eastAsia" w:ascii="楷体_GB2312" w:hAnsi="楷体_GB2312" w:eastAsia="楷体_GB2312" w:cs="楷体_GB2312"/>
          <w:b/>
          <w:bCs/>
          <w:sz w:val="32"/>
          <w:szCs w:val="32"/>
          <w:lang w:eastAsia="zh-CN"/>
        </w:rPr>
        <w:t>四、</w:t>
      </w:r>
      <w:r>
        <w:rPr>
          <w:rFonts w:hint="eastAsia" w:ascii="楷体_GB2312" w:hAnsi="楷体_GB2312" w:eastAsia="楷体_GB2312" w:cs="楷体_GB2312"/>
          <w:b/>
          <w:bCs/>
          <w:sz w:val="32"/>
          <w:szCs w:val="32"/>
        </w:rPr>
        <w:t>国有资本经营预算</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社会保险基金预算支出情况</w:t>
      </w:r>
    </w:p>
    <w:p w14:paraId="0A9DF2ED">
      <w:pPr>
        <w:pStyle w:val="15"/>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我单位无</w:t>
      </w:r>
      <w:r>
        <w:rPr>
          <w:rFonts w:hint="eastAsia" w:ascii="仿宋_GB2312" w:hAnsi="仿宋_GB2312" w:eastAsia="仿宋_GB2312" w:cs="仿宋_GB2312"/>
          <w:sz w:val="32"/>
          <w:szCs w:val="32"/>
        </w:rPr>
        <w:t>国有资本经营预算</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社会保险基金预算支出</w:t>
      </w:r>
      <w:r>
        <w:rPr>
          <w:rFonts w:hint="eastAsia" w:ascii="仿宋_GB2312" w:hAnsi="仿宋_GB2312" w:eastAsia="仿宋_GB2312" w:cs="仿宋_GB2312"/>
          <w:sz w:val="32"/>
          <w:szCs w:val="32"/>
          <w:lang w:val="en-US" w:eastAsia="zh-CN"/>
        </w:rPr>
        <w:t>。</w:t>
      </w:r>
    </w:p>
    <w:p w14:paraId="217B7495">
      <w:pPr>
        <w:keepNext w:val="0"/>
        <w:keepLines w:val="0"/>
        <w:pageBreakBefore w:val="0"/>
        <w:widowControl/>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lang w:eastAsia="zh-CN"/>
        </w:rPr>
        <w:t>五</w:t>
      </w:r>
      <w:r>
        <w:rPr>
          <w:rFonts w:hint="eastAsia" w:ascii="楷体_GB2312" w:hAnsi="楷体_GB2312" w:eastAsia="楷体_GB2312" w:cs="楷体_GB2312"/>
          <w:b/>
          <w:bCs/>
          <w:color w:val="auto"/>
          <w:sz w:val="32"/>
          <w:szCs w:val="32"/>
        </w:rPr>
        <w:t>、部门整体支出绩效情况</w:t>
      </w:r>
    </w:p>
    <w:p w14:paraId="337083C6">
      <w:pPr>
        <w:keepNext w:val="0"/>
        <w:keepLines w:val="0"/>
        <w:pageBreakBefore w:val="0"/>
        <w:widowControl/>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b/>
          <w:bCs w:val="0"/>
          <w:color w:val="auto"/>
          <w:kern w:val="2"/>
          <w:sz w:val="32"/>
          <w:szCs w:val="32"/>
          <w:highlight w:val="none"/>
          <w:lang w:val="en-US" w:eastAsia="zh-CN" w:bidi="ar-SA"/>
        </w:rPr>
        <w:t>（一）年度绩效目标</w:t>
      </w:r>
    </w:p>
    <w:p w14:paraId="5DE24F9F">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lang w:val="en-US" w:eastAsia="zh-CN"/>
        </w:rPr>
        <w:t>目标1：</w:t>
      </w:r>
      <w:r>
        <w:rPr>
          <w:rFonts w:hint="eastAsia" w:ascii="仿宋_GB2312" w:hAnsi="仿宋_GB2312" w:eastAsia="仿宋_GB2312" w:cs="仿宋_GB2312"/>
          <w:color w:val="000000"/>
          <w:sz w:val="32"/>
          <w:szCs w:val="32"/>
          <w:highlight w:val="none"/>
        </w:rPr>
        <w:t>完成管理的中心城区</w:t>
      </w:r>
      <w:r>
        <w:rPr>
          <w:rFonts w:hint="eastAsia" w:ascii="仿宋_GB2312" w:hAnsi="仿宋_GB2312" w:eastAsia="仿宋_GB2312" w:cs="仿宋_GB2312"/>
          <w:color w:val="000000"/>
          <w:sz w:val="32"/>
          <w:szCs w:val="32"/>
          <w:highlight w:val="none"/>
          <w:lang w:val="en-US" w:eastAsia="zh-CN"/>
        </w:rPr>
        <w:t>及经开区</w:t>
      </w:r>
      <w:r>
        <w:rPr>
          <w:rFonts w:hint="eastAsia" w:ascii="仿宋_GB2312" w:hAnsi="仿宋_GB2312" w:eastAsia="仿宋_GB2312" w:cs="仿宋_GB2312"/>
          <w:color w:val="000000"/>
          <w:sz w:val="32"/>
          <w:szCs w:val="32"/>
          <w:highlight w:val="none"/>
        </w:rPr>
        <w:t>市政道路、人行道、桥梁、地下通道、道路排水管网、主涵、单车摩托车围栏、隔离桩等日常维护及应急任务，提高我市市政设施完好率，保障市民的生活舒适和出行顺畅</w:t>
      </w:r>
      <w:r>
        <w:rPr>
          <w:rFonts w:hint="eastAsia" w:ascii="仿宋_GB2312" w:hAnsi="仿宋_GB2312" w:eastAsia="仿宋_GB2312" w:cs="仿宋_GB2312"/>
          <w:color w:val="000000"/>
          <w:sz w:val="32"/>
          <w:szCs w:val="32"/>
          <w:highlight w:val="none"/>
          <w:lang w:eastAsia="zh-CN"/>
        </w:rPr>
        <w:t>。</w:t>
      </w:r>
    </w:p>
    <w:p w14:paraId="02DFD1DC">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lang w:val="en-US" w:eastAsia="zh-CN"/>
        </w:rPr>
        <w:t>目标2：</w:t>
      </w:r>
      <w:r>
        <w:rPr>
          <w:rFonts w:hint="eastAsia" w:ascii="仿宋_GB2312" w:hAnsi="仿宋_GB2312" w:eastAsia="仿宋_GB2312" w:cs="仿宋_GB2312"/>
          <w:color w:val="000000"/>
          <w:sz w:val="32"/>
          <w:szCs w:val="32"/>
          <w:highlight w:val="none"/>
        </w:rPr>
        <w:t>完成泵站和调蓄池的清淤、清</w:t>
      </w:r>
      <w:r>
        <w:rPr>
          <w:rFonts w:hint="eastAsia" w:ascii="仿宋_GB2312" w:hAnsi="仿宋_GB2312" w:eastAsia="仿宋_GB2312" w:cs="仿宋_GB2312"/>
          <w:color w:val="000000"/>
          <w:sz w:val="32"/>
          <w:szCs w:val="32"/>
          <w:highlight w:val="none"/>
          <w:lang w:eastAsia="zh-CN"/>
        </w:rPr>
        <w:t>漂</w:t>
      </w:r>
      <w:r>
        <w:rPr>
          <w:rFonts w:hint="eastAsia" w:ascii="仿宋_GB2312" w:hAnsi="仿宋_GB2312" w:eastAsia="仿宋_GB2312" w:cs="仿宋_GB2312"/>
          <w:color w:val="000000"/>
          <w:sz w:val="32"/>
          <w:szCs w:val="32"/>
          <w:highlight w:val="none"/>
        </w:rPr>
        <w:t>、打捞垃圾及运输处置及日常运行维护，确保泵站和调蓄池的正常运行，完成污水24小时抽排，确保中心城区低洼地段不积水</w:t>
      </w:r>
      <w:r>
        <w:rPr>
          <w:rFonts w:hint="eastAsia" w:ascii="仿宋_GB2312" w:hAnsi="仿宋_GB2312" w:eastAsia="仿宋_GB2312" w:cs="仿宋_GB2312"/>
          <w:color w:val="000000"/>
          <w:sz w:val="32"/>
          <w:szCs w:val="32"/>
          <w:highlight w:val="none"/>
          <w:lang w:eastAsia="zh-CN"/>
        </w:rPr>
        <w:t>。</w:t>
      </w:r>
    </w:p>
    <w:p w14:paraId="36840F7E">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lang w:val="en-US" w:eastAsia="zh-CN"/>
        </w:rPr>
        <w:t>目标3：</w:t>
      </w:r>
      <w:r>
        <w:rPr>
          <w:rFonts w:hint="eastAsia" w:ascii="仿宋_GB2312" w:hAnsi="仿宋_GB2312" w:eastAsia="仿宋_GB2312" w:cs="仿宋_GB2312"/>
          <w:color w:val="000000"/>
          <w:sz w:val="32"/>
          <w:szCs w:val="32"/>
          <w:highlight w:val="none"/>
        </w:rPr>
        <w:t>完成机械设备日常维护和保养，以提高城市处置防汛排涝、铲冰除雪应急能力，提升维护机械作业水平</w:t>
      </w:r>
      <w:r>
        <w:rPr>
          <w:rFonts w:hint="eastAsia" w:ascii="仿宋_GB2312" w:hAnsi="仿宋_GB2312" w:eastAsia="仿宋_GB2312" w:cs="仿宋_GB2312"/>
          <w:color w:val="000000"/>
          <w:sz w:val="32"/>
          <w:szCs w:val="32"/>
          <w:highlight w:val="none"/>
          <w:lang w:eastAsia="zh-CN"/>
        </w:rPr>
        <w:t>。</w:t>
      </w:r>
    </w:p>
    <w:p w14:paraId="3EA05CBA">
      <w:pPr>
        <w:keepNext w:val="0"/>
        <w:keepLines w:val="0"/>
        <w:pageBreakBefore w:val="0"/>
        <w:kinsoku/>
        <w:wordWrap/>
        <w:overflowPunct/>
        <w:topLinePunct w:val="0"/>
        <w:autoSpaceDE/>
        <w:autoSpaceDN/>
        <w:bidi w:val="0"/>
        <w:adjustRightInd/>
        <w:snapToGrid/>
        <w:spacing w:after="120" w:afterLines="50" w:line="58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lang w:val="en-US" w:eastAsia="zh-CN"/>
        </w:rPr>
        <w:t>目标4：</w:t>
      </w:r>
      <w:r>
        <w:rPr>
          <w:rFonts w:hint="eastAsia" w:ascii="仿宋_GB2312" w:hAnsi="仿宋_GB2312" w:eastAsia="仿宋_GB2312" w:cs="仿宋_GB2312"/>
          <w:color w:val="000000"/>
          <w:sz w:val="32"/>
          <w:szCs w:val="32"/>
          <w:highlight w:val="none"/>
        </w:rPr>
        <w:t>加强安全监督，确保安全生产事故率为零。　</w:t>
      </w:r>
    </w:p>
    <w:p w14:paraId="74BAC35D">
      <w:pPr>
        <w:pStyle w:val="15"/>
        <w:keepNext w:val="0"/>
        <w:keepLines w:val="0"/>
        <w:pageBreakBefore w:val="0"/>
        <w:widowControl/>
        <w:numPr>
          <w:ilvl w:val="0"/>
          <w:numId w:val="2"/>
        </w:numPr>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val="0"/>
          <w:color w:val="auto"/>
          <w:kern w:val="2"/>
          <w:sz w:val="32"/>
          <w:szCs w:val="32"/>
          <w:highlight w:val="none"/>
          <w:lang w:val="en-US" w:eastAsia="zh-CN" w:bidi="ar-SA"/>
        </w:rPr>
        <w:t>完成情况及</w:t>
      </w:r>
      <w:r>
        <w:rPr>
          <w:rFonts w:hint="eastAsia" w:ascii="仿宋_GB2312" w:hAnsi="仿宋_GB2312" w:eastAsia="仿宋_GB2312" w:cs="仿宋_GB2312"/>
          <w:b/>
          <w:bCs/>
          <w:kern w:val="0"/>
          <w:sz w:val="32"/>
          <w:szCs w:val="32"/>
          <w:lang w:val="en-US" w:eastAsia="zh-CN"/>
        </w:rPr>
        <w:t>取得的效益情况</w:t>
      </w:r>
    </w:p>
    <w:p w14:paraId="6F17B278">
      <w:pPr>
        <w:keepNext w:val="0"/>
        <w:keepLines w:val="0"/>
        <w:pageBreakBefore w:val="0"/>
        <w:wordWrap/>
        <w:overflowPunct/>
        <w:topLinePunct w:val="0"/>
        <w:bidi w:val="0"/>
        <w:spacing w:after="120" w:afterLines="50" w:line="580" w:lineRule="exact"/>
        <w:jc w:val="both"/>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lang w:val="en-US" w:eastAsia="zh-CN"/>
        </w:rPr>
        <w:t xml:space="preserve">    实际完成情况：</w:t>
      </w:r>
    </w:p>
    <w:p w14:paraId="75BCC8A6">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lang w:val="en-US" w:eastAsia="zh-CN"/>
        </w:rPr>
        <w:t>目标1完成情况：</w:t>
      </w:r>
      <w:r>
        <w:rPr>
          <w:rFonts w:hint="eastAsia" w:ascii="仿宋_GB2312" w:hAnsi="仿宋_GB2312" w:eastAsia="仿宋_GB2312" w:cs="仿宋_GB2312"/>
          <w:color w:val="000000"/>
          <w:sz w:val="32"/>
          <w:szCs w:val="32"/>
          <w:highlight w:val="none"/>
          <w:lang w:eastAsia="zh-CN"/>
        </w:rPr>
        <w:t>负责</w:t>
      </w:r>
      <w:r>
        <w:rPr>
          <w:rFonts w:hint="eastAsia" w:ascii="仿宋_GB2312" w:hAnsi="仿宋_GB2312" w:eastAsia="仿宋_GB2312" w:cs="仿宋_GB2312"/>
          <w:color w:val="000000"/>
          <w:sz w:val="32"/>
          <w:szCs w:val="32"/>
          <w:highlight w:val="none"/>
        </w:rPr>
        <w:t>管理的中心城区</w:t>
      </w:r>
      <w:r>
        <w:rPr>
          <w:rFonts w:hint="eastAsia" w:ascii="仿宋_GB2312" w:hAnsi="仿宋_GB2312" w:eastAsia="仿宋_GB2312" w:cs="仿宋_GB2312"/>
          <w:color w:val="000000"/>
          <w:sz w:val="32"/>
          <w:szCs w:val="32"/>
          <w:highlight w:val="none"/>
          <w:lang w:val="en-US" w:eastAsia="zh-CN"/>
        </w:rPr>
        <w:t>及经开区</w:t>
      </w:r>
      <w:r>
        <w:rPr>
          <w:rFonts w:hint="eastAsia" w:ascii="仿宋_GB2312" w:hAnsi="仿宋_GB2312" w:eastAsia="仿宋_GB2312" w:cs="仿宋_GB2312"/>
          <w:color w:val="000000"/>
          <w:sz w:val="32"/>
          <w:szCs w:val="32"/>
          <w:highlight w:val="none"/>
        </w:rPr>
        <w:t>市政道路、人行道、桥梁、地下通道、道路排水管网、主涵、单车摩托车围栏、隔离桩等日常维护及应急任务</w:t>
      </w:r>
      <w:r>
        <w:rPr>
          <w:rFonts w:hint="eastAsia" w:ascii="仿宋_GB2312" w:hAnsi="仿宋_GB2312" w:eastAsia="仿宋_GB2312" w:cs="仿宋_GB2312"/>
          <w:color w:val="000000"/>
          <w:sz w:val="32"/>
          <w:szCs w:val="32"/>
          <w:highlight w:val="none"/>
          <w:lang w:eastAsia="zh-CN"/>
        </w:rPr>
        <w:t>均及时完成</w:t>
      </w:r>
      <w:r>
        <w:rPr>
          <w:rFonts w:hint="eastAsia" w:ascii="仿宋_GB2312" w:hAnsi="仿宋_GB2312" w:eastAsia="仿宋_GB2312" w:cs="仿宋_GB2312"/>
          <w:color w:val="000000"/>
          <w:sz w:val="32"/>
          <w:szCs w:val="32"/>
          <w:highlight w:val="none"/>
        </w:rPr>
        <w:t>，市政设施完好率</w:t>
      </w:r>
      <w:r>
        <w:rPr>
          <w:rFonts w:hint="eastAsia" w:ascii="仿宋_GB2312" w:hAnsi="仿宋_GB2312" w:eastAsia="仿宋_GB2312" w:cs="仿宋_GB2312"/>
          <w:color w:val="000000"/>
          <w:sz w:val="32"/>
          <w:szCs w:val="32"/>
          <w:highlight w:val="none"/>
          <w:lang w:eastAsia="zh-CN"/>
        </w:rPr>
        <w:t>高</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CN"/>
        </w:rPr>
        <w:t>为</w:t>
      </w:r>
      <w:r>
        <w:rPr>
          <w:rFonts w:hint="eastAsia" w:ascii="仿宋_GB2312" w:hAnsi="仿宋_GB2312" w:eastAsia="仿宋_GB2312" w:cs="仿宋_GB2312"/>
          <w:color w:val="000000"/>
          <w:sz w:val="32"/>
          <w:szCs w:val="32"/>
          <w:highlight w:val="none"/>
        </w:rPr>
        <w:t>市民</w:t>
      </w:r>
      <w:r>
        <w:rPr>
          <w:rFonts w:hint="eastAsia" w:ascii="仿宋_GB2312" w:hAnsi="仿宋_GB2312" w:eastAsia="仿宋_GB2312" w:cs="仿宋_GB2312"/>
          <w:color w:val="000000"/>
          <w:sz w:val="32"/>
          <w:szCs w:val="32"/>
          <w:highlight w:val="none"/>
          <w:lang w:eastAsia="zh-CN"/>
        </w:rPr>
        <w:t>创造了良好的城市生活</w:t>
      </w:r>
      <w:r>
        <w:rPr>
          <w:rFonts w:hint="eastAsia" w:ascii="仿宋_GB2312" w:hAnsi="仿宋_GB2312" w:eastAsia="仿宋_GB2312" w:cs="仿宋_GB2312"/>
          <w:color w:val="000000"/>
          <w:sz w:val="32"/>
          <w:szCs w:val="32"/>
          <w:highlight w:val="none"/>
        </w:rPr>
        <w:t>和出行</w:t>
      </w:r>
      <w:r>
        <w:rPr>
          <w:rFonts w:hint="eastAsia" w:ascii="仿宋_GB2312" w:hAnsi="仿宋_GB2312" w:eastAsia="仿宋_GB2312" w:cs="仿宋_GB2312"/>
          <w:color w:val="000000"/>
          <w:sz w:val="32"/>
          <w:szCs w:val="32"/>
          <w:highlight w:val="none"/>
          <w:lang w:eastAsia="zh-CN"/>
        </w:rPr>
        <w:t>环境。</w:t>
      </w:r>
    </w:p>
    <w:p w14:paraId="21179971">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lang w:val="en-US" w:eastAsia="zh-CN"/>
        </w:rPr>
        <w:t>目标2完成情况：</w:t>
      </w:r>
      <w:r>
        <w:rPr>
          <w:rFonts w:hint="eastAsia" w:ascii="仿宋_GB2312" w:hAnsi="仿宋_GB2312" w:eastAsia="仿宋_GB2312" w:cs="仿宋_GB2312"/>
          <w:color w:val="000000"/>
          <w:sz w:val="32"/>
          <w:szCs w:val="32"/>
          <w:highlight w:val="none"/>
          <w:lang w:val="en-US" w:eastAsia="zh-CN"/>
        </w:rPr>
        <w:t>及时完成了</w:t>
      </w:r>
      <w:r>
        <w:rPr>
          <w:rFonts w:hint="eastAsia" w:ascii="仿宋_GB2312" w:hAnsi="仿宋_GB2312" w:eastAsia="仿宋_GB2312" w:cs="仿宋_GB2312"/>
          <w:color w:val="000000"/>
          <w:sz w:val="32"/>
          <w:szCs w:val="32"/>
          <w:highlight w:val="none"/>
        </w:rPr>
        <w:t>泵站和调蓄池的清淤、清</w:t>
      </w:r>
      <w:r>
        <w:rPr>
          <w:rFonts w:hint="eastAsia" w:ascii="仿宋_GB2312" w:hAnsi="仿宋_GB2312" w:eastAsia="仿宋_GB2312" w:cs="仿宋_GB2312"/>
          <w:color w:val="000000"/>
          <w:sz w:val="32"/>
          <w:szCs w:val="32"/>
          <w:highlight w:val="none"/>
          <w:lang w:eastAsia="zh-CN"/>
        </w:rPr>
        <w:t>漂</w:t>
      </w:r>
      <w:r>
        <w:rPr>
          <w:rFonts w:hint="eastAsia" w:ascii="仿宋_GB2312" w:hAnsi="仿宋_GB2312" w:eastAsia="仿宋_GB2312" w:cs="仿宋_GB2312"/>
          <w:color w:val="000000"/>
          <w:sz w:val="32"/>
          <w:szCs w:val="32"/>
          <w:highlight w:val="none"/>
        </w:rPr>
        <w:t>、打捞垃圾及运输处置及日常运行维护，泵站和调蓄池的</w:t>
      </w:r>
      <w:r>
        <w:rPr>
          <w:rFonts w:hint="eastAsia" w:ascii="仿宋_GB2312" w:hAnsi="仿宋_GB2312" w:eastAsia="仿宋_GB2312" w:cs="仿宋_GB2312"/>
          <w:color w:val="000000"/>
          <w:sz w:val="32"/>
          <w:szCs w:val="32"/>
          <w:highlight w:val="none"/>
          <w:lang w:eastAsia="zh-CN"/>
        </w:rPr>
        <w:t>全年</w:t>
      </w:r>
      <w:r>
        <w:rPr>
          <w:rFonts w:hint="eastAsia" w:ascii="仿宋_GB2312" w:hAnsi="仿宋_GB2312" w:eastAsia="仿宋_GB2312" w:cs="仿宋_GB2312"/>
          <w:color w:val="000000"/>
          <w:sz w:val="32"/>
          <w:szCs w:val="32"/>
          <w:highlight w:val="none"/>
        </w:rPr>
        <w:t>正常运行，污水24小时抽排，确保</w:t>
      </w:r>
      <w:r>
        <w:rPr>
          <w:rFonts w:hint="eastAsia" w:ascii="仿宋_GB2312" w:hAnsi="仿宋_GB2312" w:eastAsia="仿宋_GB2312" w:cs="仿宋_GB2312"/>
          <w:color w:val="000000"/>
          <w:sz w:val="32"/>
          <w:szCs w:val="32"/>
          <w:highlight w:val="none"/>
          <w:lang w:eastAsia="zh-CN"/>
        </w:rPr>
        <w:t>了</w:t>
      </w:r>
      <w:r>
        <w:rPr>
          <w:rFonts w:hint="eastAsia" w:ascii="仿宋_GB2312" w:hAnsi="仿宋_GB2312" w:eastAsia="仿宋_GB2312" w:cs="仿宋_GB2312"/>
          <w:color w:val="000000"/>
          <w:sz w:val="32"/>
          <w:szCs w:val="32"/>
          <w:highlight w:val="none"/>
        </w:rPr>
        <w:t>中心城区低洼地段不积水</w:t>
      </w:r>
      <w:r>
        <w:rPr>
          <w:rFonts w:hint="eastAsia" w:ascii="仿宋_GB2312" w:hAnsi="仿宋_GB2312" w:eastAsia="仿宋_GB2312" w:cs="仿宋_GB2312"/>
          <w:color w:val="000000"/>
          <w:sz w:val="32"/>
          <w:szCs w:val="32"/>
          <w:highlight w:val="none"/>
          <w:lang w:eastAsia="zh-CN"/>
        </w:rPr>
        <w:t>。</w:t>
      </w:r>
    </w:p>
    <w:p w14:paraId="339B0CCB">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lang w:val="en-US" w:eastAsia="zh-CN"/>
        </w:rPr>
        <w:t>目标3完成情况：</w:t>
      </w:r>
      <w:r>
        <w:rPr>
          <w:rFonts w:hint="eastAsia" w:ascii="仿宋_GB2312" w:hAnsi="仿宋_GB2312" w:eastAsia="仿宋_GB2312" w:cs="仿宋_GB2312"/>
          <w:color w:val="000000"/>
          <w:sz w:val="32"/>
          <w:szCs w:val="32"/>
          <w:highlight w:val="none"/>
        </w:rPr>
        <w:t>机械设备日常维护和保养</w:t>
      </w:r>
      <w:r>
        <w:rPr>
          <w:rFonts w:hint="eastAsia" w:ascii="仿宋_GB2312" w:hAnsi="仿宋_GB2312" w:eastAsia="仿宋_GB2312" w:cs="仿宋_GB2312"/>
          <w:color w:val="000000"/>
          <w:sz w:val="32"/>
          <w:szCs w:val="32"/>
          <w:highlight w:val="none"/>
          <w:lang w:eastAsia="zh-CN"/>
        </w:rPr>
        <w:t>及时进行</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CN"/>
        </w:rPr>
        <w:t>保障了</w:t>
      </w:r>
      <w:r>
        <w:rPr>
          <w:rFonts w:hint="eastAsia" w:ascii="仿宋_GB2312" w:hAnsi="仿宋_GB2312" w:eastAsia="仿宋_GB2312" w:cs="仿宋_GB2312"/>
          <w:color w:val="000000"/>
          <w:sz w:val="32"/>
          <w:szCs w:val="32"/>
          <w:highlight w:val="none"/>
        </w:rPr>
        <w:t>机械</w:t>
      </w:r>
      <w:r>
        <w:rPr>
          <w:rFonts w:hint="eastAsia" w:ascii="仿宋_GB2312" w:hAnsi="仿宋_GB2312" w:eastAsia="仿宋_GB2312" w:cs="仿宋_GB2312"/>
          <w:color w:val="000000"/>
          <w:sz w:val="32"/>
          <w:szCs w:val="32"/>
          <w:highlight w:val="none"/>
          <w:lang w:eastAsia="zh-CN"/>
        </w:rPr>
        <w:t>设备各项工作性能正常发挥</w:t>
      </w:r>
      <w:r>
        <w:rPr>
          <w:rFonts w:hint="eastAsia" w:ascii="仿宋_GB2312" w:hAnsi="仿宋_GB2312" w:eastAsia="仿宋_GB2312" w:cs="仿宋_GB2312"/>
          <w:color w:val="000000"/>
          <w:sz w:val="32"/>
          <w:szCs w:val="32"/>
          <w:highlight w:val="none"/>
        </w:rPr>
        <w:t>；提</w:t>
      </w:r>
      <w:r>
        <w:rPr>
          <w:rFonts w:hint="eastAsia" w:ascii="仿宋_GB2312" w:hAnsi="仿宋_GB2312" w:eastAsia="仿宋_GB2312" w:cs="仿宋_GB2312"/>
          <w:color w:val="000000"/>
          <w:sz w:val="32"/>
          <w:szCs w:val="32"/>
          <w:highlight w:val="none"/>
          <w:lang w:eastAsia="zh-CN"/>
        </w:rPr>
        <w:t>升了</w:t>
      </w:r>
      <w:r>
        <w:rPr>
          <w:rFonts w:hint="eastAsia" w:ascii="仿宋_GB2312" w:hAnsi="仿宋_GB2312" w:eastAsia="仿宋_GB2312" w:cs="仿宋_GB2312"/>
          <w:color w:val="000000"/>
          <w:sz w:val="32"/>
          <w:szCs w:val="32"/>
          <w:highlight w:val="none"/>
        </w:rPr>
        <w:t>城市防汛排涝、铲冰除雪应急处置能力</w:t>
      </w:r>
      <w:r>
        <w:rPr>
          <w:rFonts w:hint="eastAsia" w:ascii="仿宋_GB2312" w:hAnsi="仿宋_GB2312" w:eastAsia="仿宋_GB2312" w:cs="仿宋_GB2312"/>
          <w:color w:val="000000"/>
          <w:sz w:val="32"/>
          <w:szCs w:val="32"/>
          <w:highlight w:val="none"/>
          <w:lang w:eastAsia="zh-CN"/>
        </w:rPr>
        <w:t>。</w:t>
      </w:r>
    </w:p>
    <w:p w14:paraId="6F249921">
      <w:pPr>
        <w:keepNext w:val="0"/>
        <w:keepLines w:val="0"/>
        <w:pageBreakBefore w:val="0"/>
        <w:wordWrap/>
        <w:overflowPunct/>
        <w:topLinePunct w:val="0"/>
        <w:bidi w:val="0"/>
        <w:spacing w:after="120" w:afterLines="50" w:line="580" w:lineRule="exact"/>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000000"/>
          <w:sz w:val="32"/>
          <w:szCs w:val="32"/>
          <w:lang w:val="en-US" w:eastAsia="zh-CN"/>
        </w:rPr>
        <w:t>目标4完成情况：进一步强化</w:t>
      </w:r>
      <w:r>
        <w:rPr>
          <w:rFonts w:hint="eastAsia" w:ascii="仿宋_GB2312" w:hAnsi="仿宋_GB2312" w:eastAsia="仿宋_GB2312" w:cs="仿宋_GB2312"/>
          <w:color w:val="000000"/>
          <w:sz w:val="32"/>
          <w:szCs w:val="32"/>
          <w:highlight w:val="none"/>
        </w:rPr>
        <w:t>安全监督，</w:t>
      </w:r>
      <w:r>
        <w:rPr>
          <w:rFonts w:hint="eastAsia" w:ascii="仿宋_GB2312" w:hAnsi="仿宋_GB2312" w:eastAsia="仿宋_GB2312" w:cs="仿宋_GB2312"/>
          <w:color w:val="000000"/>
          <w:sz w:val="32"/>
          <w:szCs w:val="32"/>
          <w:highlight w:val="none"/>
          <w:lang w:val="en-US" w:eastAsia="zh-CN"/>
        </w:rPr>
        <w:t>筑牢了安全生产防线，全年无</w:t>
      </w:r>
      <w:r>
        <w:rPr>
          <w:rFonts w:hint="eastAsia" w:ascii="仿宋_GB2312" w:hAnsi="仿宋_GB2312" w:eastAsia="仿宋_GB2312" w:cs="仿宋_GB2312"/>
          <w:color w:val="000000"/>
          <w:sz w:val="32"/>
          <w:szCs w:val="32"/>
          <w:highlight w:val="none"/>
        </w:rPr>
        <w:t>安全生产</w:t>
      </w:r>
      <w:r>
        <w:rPr>
          <w:rFonts w:hint="eastAsia" w:ascii="仿宋_GB2312" w:hAnsi="仿宋_GB2312" w:eastAsia="仿宋_GB2312" w:cs="仿宋_GB2312"/>
          <w:color w:val="000000"/>
          <w:sz w:val="32"/>
          <w:szCs w:val="32"/>
          <w:highlight w:val="none"/>
          <w:lang w:val="en-US" w:eastAsia="zh-CN"/>
        </w:rPr>
        <w:t>责任</w:t>
      </w:r>
      <w:r>
        <w:rPr>
          <w:rFonts w:hint="eastAsia" w:ascii="仿宋_GB2312" w:hAnsi="仿宋_GB2312" w:eastAsia="仿宋_GB2312" w:cs="仿宋_GB2312"/>
          <w:color w:val="000000"/>
          <w:sz w:val="32"/>
          <w:szCs w:val="32"/>
          <w:highlight w:val="none"/>
        </w:rPr>
        <w:t>事故。　　</w:t>
      </w:r>
    </w:p>
    <w:p w14:paraId="43395415">
      <w:pPr>
        <w:pStyle w:val="15"/>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kern w:val="0"/>
          <w:sz w:val="32"/>
          <w:szCs w:val="32"/>
          <w:lang w:val="en-US" w:eastAsia="zh-CN"/>
        </w:rPr>
        <w:t>取得的效益情况：</w:t>
      </w:r>
    </w:p>
    <w:p w14:paraId="7A48604F">
      <w:pPr>
        <w:keepNext w:val="0"/>
        <w:keepLines w:val="0"/>
        <w:pageBreakBefore w:val="0"/>
        <w:wordWrap/>
        <w:overflowPunct/>
        <w:topLinePunct w:val="0"/>
        <w:bidi w:val="0"/>
        <w:spacing w:after="120" w:afterLines="50" w:line="580" w:lineRule="exact"/>
        <w:ind w:firstLine="640" w:firstLineChars="200"/>
        <w:jc w:val="both"/>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sz w:val="32"/>
          <w:szCs w:val="32"/>
        </w:rPr>
        <w:t>2025年，在市委、市政府和上级主管部门的坚强领导下，</w:t>
      </w:r>
      <w:r>
        <w:rPr>
          <w:rFonts w:hint="eastAsia" w:ascii="仿宋_GB2312" w:hAnsi="仿宋_GB2312" w:eastAsia="仿宋_GB2312" w:cs="仿宋_GB2312"/>
          <w:sz w:val="32"/>
          <w:szCs w:val="32"/>
          <w:lang w:val="en-US" w:eastAsia="zh-CN"/>
        </w:rPr>
        <w:t>我中心</w:t>
      </w:r>
      <w:r>
        <w:rPr>
          <w:rFonts w:hint="eastAsia" w:ascii="仿宋_GB2312" w:hAnsi="仿宋_GB2312" w:eastAsia="仿宋_GB2312" w:cs="仿宋_GB2312"/>
          <w:sz w:val="32"/>
          <w:szCs w:val="32"/>
        </w:rPr>
        <w:t>紧扣“精细化管理、高效化服务”目标，全面完成各项任务，有力保障了城市运行安全与市民出行便利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主要成效体现在以下几个方面：</w:t>
      </w:r>
    </w:p>
    <w:p w14:paraId="267DF2F8">
      <w:pPr>
        <w:keepNext w:val="0"/>
        <w:keepLines w:val="0"/>
        <w:pageBreakBefore w:val="0"/>
        <w:numPr>
          <w:ilvl w:val="0"/>
          <w:numId w:val="3"/>
        </w:numPr>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sz w:val="32"/>
          <w:szCs w:val="32"/>
        </w:rPr>
      </w:pPr>
      <w:r>
        <w:rPr>
          <w:rStyle w:val="12"/>
          <w:rFonts w:hint="eastAsia" w:ascii="仿宋_GB2312" w:hAnsi="仿宋_GB2312" w:eastAsia="仿宋_GB2312" w:cs="仿宋_GB2312"/>
          <w:b/>
          <w:bCs/>
          <w:i w:val="0"/>
          <w:iCs w:val="0"/>
          <w:caps w:val="0"/>
          <w:color w:val="0F1115"/>
          <w:spacing w:val="0"/>
          <w:sz w:val="32"/>
          <w:szCs w:val="32"/>
          <w:shd w:val="clear" w:fill="FFFFFF"/>
        </w:rPr>
        <w:t>狠抓设施管养，提升运维效能</w:t>
      </w:r>
    </w:p>
    <w:p w14:paraId="159F7A50">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坚持日常维护与专项工程双轮驱动，推动城市市政设施面貌整体改善。</w:t>
      </w:r>
      <w:r>
        <w:rPr>
          <w:rFonts w:hint="eastAsia" w:ascii="仿宋_GB2312" w:hAnsi="仿宋_GB2312" w:eastAsia="仿宋_GB2312" w:cs="仿宋_GB2312"/>
          <w:b w:val="0"/>
          <w:bCs w:val="0"/>
          <w:sz w:val="32"/>
          <w:szCs w:val="32"/>
        </w:rPr>
        <w:t>一是日常维护精细扎实。全</w:t>
      </w:r>
      <w:r>
        <w:rPr>
          <w:rFonts w:hint="eastAsia" w:ascii="仿宋_GB2312" w:hAnsi="仿宋_GB2312" w:eastAsia="仿宋_GB2312" w:cs="仿宋_GB2312"/>
          <w:sz w:val="32"/>
          <w:szCs w:val="32"/>
        </w:rPr>
        <w:t>年累计完成中心城区路面维修</w:t>
      </w:r>
      <w:r>
        <w:rPr>
          <w:rFonts w:hint="eastAsia" w:ascii="仿宋_GB2312" w:hAnsi="仿宋_GB2312" w:eastAsia="仿宋_GB2312" w:cs="仿宋_GB2312"/>
          <w:sz w:val="32"/>
          <w:szCs w:val="32"/>
          <w:lang w:val="en-US" w:eastAsia="zh-CN"/>
        </w:rPr>
        <w:t>1.6万平方米</w:t>
      </w:r>
      <w:r>
        <w:rPr>
          <w:rFonts w:hint="eastAsia" w:ascii="仿宋_GB2312" w:hAnsi="仿宋_GB2312" w:eastAsia="仿宋_GB2312" w:cs="仿宋_GB2312"/>
          <w:sz w:val="32"/>
          <w:szCs w:val="32"/>
        </w:rPr>
        <w:t>、人行道维修</w:t>
      </w:r>
      <w:r>
        <w:rPr>
          <w:rFonts w:hint="eastAsia" w:ascii="仿宋_GB2312" w:hAnsi="仿宋_GB2312" w:eastAsia="仿宋_GB2312" w:cs="仿宋_GB2312"/>
          <w:sz w:val="32"/>
          <w:szCs w:val="32"/>
          <w:lang w:val="en-US" w:eastAsia="zh-CN"/>
        </w:rPr>
        <w:t>3.7万平方米</w:t>
      </w:r>
      <w:r>
        <w:rPr>
          <w:rFonts w:hint="eastAsia" w:ascii="仿宋_GB2312" w:hAnsi="仿宋_GB2312" w:eastAsia="仿宋_GB2312" w:cs="仿宋_GB2312"/>
          <w:sz w:val="32"/>
          <w:szCs w:val="32"/>
        </w:rPr>
        <w:t>，维修更换各类检查井、雨水窗</w:t>
      </w:r>
      <w:r>
        <w:rPr>
          <w:rFonts w:hint="eastAsia" w:ascii="仿宋_GB2312" w:hAnsi="仿宋_GB2312" w:eastAsia="仿宋_GB2312" w:cs="仿宋_GB2312"/>
          <w:sz w:val="32"/>
          <w:szCs w:val="32"/>
          <w:lang w:val="en-US" w:eastAsia="zh-CN"/>
        </w:rPr>
        <w:t>1400</w:t>
      </w:r>
      <w:r>
        <w:rPr>
          <w:rFonts w:hint="eastAsia" w:ascii="仿宋_GB2312" w:hAnsi="仿宋_GB2312" w:eastAsia="仿宋_GB2312" w:cs="仿宋_GB2312"/>
          <w:sz w:val="32"/>
          <w:szCs w:val="32"/>
        </w:rPr>
        <w:t>套，清理桥梁伸缩缝超</w:t>
      </w:r>
      <w:r>
        <w:rPr>
          <w:rFonts w:hint="eastAsia" w:ascii="仿宋_GB2312" w:hAnsi="仿宋_GB2312" w:eastAsia="仿宋_GB2312" w:cs="仿宋_GB2312"/>
          <w:sz w:val="32"/>
          <w:szCs w:val="32"/>
          <w:lang w:val="en-US" w:eastAsia="zh-CN"/>
        </w:rPr>
        <w:t>3.9万</w:t>
      </w:r>
      <w:r>
        <w:rPr>
          <w:rFonts w:hint="eastAsia" w:ascii="仿宋_GB2312" w:hAnsi="仿宋_GB2312" w:eastAsia="仿宋_GB2312" w:cs="仿宋_GB2312"/>
          <w:sz w:val="32"/>
          <w:szCs w:val="32"/>
        </w:rPr>
        <w:t>米。高效处置各类信息平台任务超3.1万条，办结率与处置率均保持高位。</w:t>
      </w:r>
      <w:r>
        <w:rPr>
          <w:rFonts w:hint="eastAsia" w:ascii="仿宋_GB2312" w:hAnsi="仿宋_GB2312" w:eastAsia="仿宋_GB2312" w:cs="仿宋_GB2312"/>
          <w:b w:val="0"/>
          <w:bCs w:val="0"/>
          <w:sz w:val="32"/>
          <w:szCs w:val="32"/>
        </w:rPr>
        <w:t>二是专项工程成效显著。</w:t>
      </w:r>
      <w:r>
        <w:rPr>
          <w:rFonts w:hint="eastAsia" w:ascii="仿宋_GB2312" w:hAnsi="仿宋_GB2312" w:eastAsia="仿宋_GB2312" w:cs="仿宋_GB2312"/>
          <w:sz w:val="32"/>
          <w:szCs w:val="32"/>
        </w:rPr>
        <w:t>圆满完成了服务湖南省第四届旅游发展大会的系列市容提质攻坚任务。高效优质完成了</w:t>
      </w:r>
      <w:r>
        <w:rPr>
          <w:rFonts w:hint="eastAsia" w:ascii="仿宋_GB2312" w:hAnsi="仿宋_GB2312" w:eastAsia="仿宋_GB2312" w:cs="仿宋_GB2312"/>
          <w:sz w:val="32"/>
          <w:szCs w:val="32"/>
          <w:lang w:val="en-US" w:eastAsia="zh-CN"/>
        </w:rPr>
        <w:t>东茅岭路、</w:t>
      </w:r>
      <w:r>
        <w:rPr>
          <w:rFonts w:hint="eastAsia" w:ascii="仿宋_GB2312" w:hAnsi="仿宋_GB2312" w:eastAsia="仿宋_GB2312" w:cs="仿宋_GB2312"/>
          <w:sz w:val="32"/>
          <w:szCs w:val="32"/>
        </w:rPr>
        <w:t>花板</w:t>
      </w:r>
      <w:r>
        <w:rPr>
          <w:rFonts w:hint="eastAsia" w:ascii="仿宋_GB2312" w:hAnsi="仿宋_GB2312" w:eastAsia="仿宋_GB2312" w:cs="仿宋_GB2312"/>
          <w:sz w:val="32"/>
          <w:szCs w:val="32"/>
          <w:lang w:val="en-US" w:eastAsia="zh-CN"/>
        </w:rPr>
        <w:t>桥</w:t>
      </w:r>
      <w:r>
        <w:rPr>
          <w:rFonts w:hint="eastAsia" w:ascii="仿宋_GB2312" w:hAnsi="仿宋_GB2312" w:eastAsia="仿宋_GB2312" w:cs="仿宋_GB2312"/>
          <w:sz w:val="32"/>
          <w:szCs w:val="32"/>
        </w:rPr>
        <w:t>路、滨湖路、赶山东路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望岳</w:t>
      </w:r>
      <w:r>
        <w:rPr>
          <w:rFonts w:hint="eastAsia" w:ascii="仿宋_GB2312" w:hAnsi="仿宋_GB2312" w:eastAsia="仿宋_GB2312" w:cs="仿宋_GB2312"/>
          <w:sz w:val="32"/>
          <w:szCs w:val="32"/>
        </w:rPr>
        <w:t>路、枫桥湖路、建湘北路、云梦路等重点道路</w:t>
      </w:r>
      <w:r>
        <w:rPr>
          <w:rFonts w:hint="eastAsia" w:ascii="仿宋_GB2312" w:hAnsi="仿宋_GB2312" w:eastAsia="仿宋_GB2312" w:cs="仿宋_GB2312"/>
          <w:sz w:val="32"/>
          <w:szCs w:val="32"/>
          <w:lang w:val="en-US" w:eastAsia="zh-CN"/>
        </w:rPr>
        <w:t>提质改造（</w:t>
      </w:r>
      <w:r>
        <w:rPr>
          <w:rFonts w:hint="eastAsia" w:ascii="仿宋_GB2312" w:hAnsi="仿宋_GB2312" w:eastAsia="仿宋_GB2312" w:cs="仿宋_GB2312"/>
          <w:sz w:val="32"/>
          <w:szCs w:val="32"/>
        </w:rPr>
        <w:t>累计改造道路总面积超过11万平方米</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以及邕园路人行道海绵化改造、系列桥梁涂装翻新（10座桥梁护栏40649㎡、4座天桥5146㎡）、南湖大道龙柱及文化墙翻新等工程，城市“颜值”与功能同步升级。以一流的设施面貌迎接八方来客，得到了上级和社会各界的充分肯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rPr>
        <w:t>三是管网泵站运行顺畅。</w:t>
      </w:r>
      <w:r>
        <w:rPr>
          <w:rFonts w:hint="eastAsia" w:ascii="仿宋_GB2312" w:hAnsi="仿宋_GB2312" w:eastAsia="仿宋_GB2312" w:cs="仿宋_GB2312"/>
          <w:sz w:val="32"/>
          <w:szCs w:val="32"/>
        </w:rPr>
        <w:t>排水系统清淤疏浚力度空前，全年累计完成中心城区及新港区排水管网清淤疏浚超</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万米，外运淤泥逾</w:t>
      </w:r>
      <w:r>
        <w:rPr>
          <w:rFonts w:hint="eastAsia" w:ascii="仿宋_GB2312" w:hAnsi="仿宋_GB2312" w:eastAsia="仿宋_GB2312" w:cs="仿宋_GB2312"/>
          <w:sz w:val="32"/>
          <w:szCs w:val="32"/>
          <w:lang w:val="en-US" w:eastAsia="zh-CN"/>
        </w:rPr>
        <w:t>3950</w:t>
      </w:r>
      <w:r>
        <w:rPr>
          <w:rFonts w:hint="eastAsia" w:ascii="仿宋_GB2312" w:hAnsi="仿宋_GB2312" w:eastAsia="仿宋_GB2312" w:cs="仿宋_GB2312"/>
          <w:sz w:val="32"/>
          <w:szCs w:val="32"/>
        </w:rPr>
        <w:t>立方米。泵站管理规范有序，完成各泵站设备检修维护210余次，及时对桐子岭、城东南路等泵站关键设备进行大修升级，保障了抽排系统高效运转。顺利完成多项新建排水设施及道路的检测、移交与接管工作。</w:t>
      </w:r>
    </w:p>
    <w:p w14:paraId="0E468008">
      <w:pPr>
        <w:keepNext w:val="0"/>
        <w:keepLines w:val="0"/>
        <w:pageBreakBefore w:val="0"/>
        <w:numPr>
          <w:ilvl w:val="0"/>
          <w:numId w:val="3"/>
        </w:numPr>
        <w:kinsoku/>
        <w:wordWrap/>
        <w:overflowPunct/>
        <w:topLinePunct w:val="0"/>
        <w:autoSpaceDE/>
        <w:autoSpaceDN/>
        <w:bidi w:val="0"/>
        <w:adjustRightInd/>
        <w:snapToGrid/>
        <w:spacing w:line="580" w:lineRule="exact"/>
        <w:ind w:left="0" w:leftChars="0" w:firstLine="643" w:firstLineChars="200"/>
        <w:jc w:val="both"/>
        <w:textAlignment w:val="auto"/>
        <w:rPr>
          <w:rStyle w:val="12"/>
          <w:rFonts w:hint="eastAsia" w:ascii="仿宋_GB2312" w:hAnsi="仿宋_GB2312" w:eastAsia="仿宋_GB2312" w:cs="仿宋_GB2312"/>
          <w:b/>
          <w:bCs/>
          <w:i w:val="0"/>
          <w:iCs w:val="0"/>
          <w:caps w:val="0"/>
          <w:color w:val="0F1115"/>
          <w:spacing w:val="0"/>
          <w:sz w:val="32"/>
          <w:szCs w:val="32"/>
          <w:shd w:val="clear" w:fill="FFFFFF"/>
        </w:rPr>
      </w:pPr>
      <w:r>
        <w:rPr>
          <w:rStyle w:val="12"/>
          <w:rFonts w:hint="eastAsia" w:ascii="仿宋_GB2312" w:hAnsi="仿宋_GB2312" w:eastAsia="仿宋_GB2312" w:cs="仿宋_GB2312"/>
          <w:b/>
          <w:bCs/>
          <w:i w:val="0"/>
          <w:iCs w:val="0"/>
          <w:caps w:val="0"/>
          <w:color w:val="0F1115"/>
          <w:spacing w:val="0"/>
          <w:sz w:val="32"/>
          <w:szCs w:val="32"/>
          <w:shd w:val="clear" w:fill="FFFFFF"/>
        </w:rPr>
        <w:t>强化应急处突，筑牢安全防线</w:t>
      </w:r>
    </w:p>
    <w:p w14:paraId="5F16C1BE">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面对极端天气和突发险情，反应迅速、处置有力，切实守护了城市运行安全底线。</w:t>
      </w:r>
      <w:r>
        <w:rPr>
          <w:rFonts w:hint="eastAsia" w:ascii="仿宋_GB2312" w:hAnsi="仿宋_GB2312" w:eastAsia="仿宋_GB2312" w:cs="仿宋_GB2312"/>
          <w:b w:val="0"/>
          <w:bCs w:val="0"/>
          <w:sz w:val="32"/>
          <w:szCs w:val="32"/>
        </w:rPr>
        <w:t>一是防汛排涝精准高效。</w:t>
      </w:r>
      <w:r>
        <w:rPr>
          <w:rFonts w:hint="eastAsia" w:ascii="仿宋_GB2312" w:hAnsi="仿宋_GB2312" w:eastAsia="仿宋_GB2312" w:cs="仿宋_GB2312"/>
          <w:sz w:val="32"/>
          <w:szCs w:val="32"/>
        </w:rPr>
        <w:t>成功应对多次强降雨过程，全年启动防汛应急响应30余班次，累计出动人员逾1100人次、车辆设备230余台次。创新落实积水点“一点一策”和“四重机制”，对重点易涝点实行专人值守、提前布防，确保了城区安全度汛。</w:t>
      </w:r>
      <w:r>
        <w:rPr>
          <w:rFonts w:hint="eastAsia" w:ascii="仿宋_GB2312" w:hAnsi="仿宋_GB2312" w:eastAsia="仿宋_GB2312" w:cs="仿宋_GB2312"/>
          <w:b w:val="0"/>
          <w:bCs w:val="0"/>
          <w:sz w:val="32"/>
          <w:szCs w:val="32"/>
        </w:rPr>
        <w:t>二是抢险修复及时到位。</w:t>
      </w:r>
      <w:r>
        <w:rPr>
          <w:rFonts w:hint="eastAsia" w:ascii="仿宋_GB2312" w:hAnsi="仿宋_GB2312" w:eastAsia="仿宋_GB2312" w:cs="仿宋_GB2312"/>
          <w:sz w:val="32"/>
          <w:szCs w:val="32"/>
        </w:rPr>
        <w:t>快速妥善处置了长山路泵站出水管塌陷、金东门明渠围墙倒塌、省三医院主涵盖板塌陷、洞庭北路水管塌陷非开挖修复等应急险情20余处，消除了重大安全隐患。</w:t>
      </w:r>
      <w:r>
        <w:rPr>
          <w:rFonts w:hint="eastAsia" w:ascii="仿宋_GB2312" w:hAnsi="仿宋_GB2312" w:eastAsia="仿宋_GB2312" w:cs="仿宋_GB2312"/>
          <w:b w:val="0"/>
          <w:bCs w:val="0"/>
          <w:sz w:val="32"/>
          <w:szCs w:val="32"/>
        </w:rPr>
        <w:t>三是重大活动保障有力。</w:t>
      </w:r>
      <w:r>
        <w:rPr>
          <w:rFonts w:hint="eastAsia" w:ascii="仿宋_GB2312" w:hAnsi="仿宋_GB2312" w:eastAsia="仿宋_GB2312" w:cs="仿宋_GB2312"/>
          <w:sz w:val="32"/>
          <w:szCs w:val="32"/>
        </w:rPr>
        <w:t>集中优势力量，昼夜奋战，高质量完成了旅发大会相关设施保障、湘超赛事周边环境维护等任务，展现了市政队伍的担当与战斗力。</w:t>
      </w:r>
    </w:p>
    <w:p w14:paraId="0A421A22">
      <w:pPr>
        <w:keepNext w:val="0"/>
        <w:keepLines w:val="0"/>
        <w:pageBreakBefore w:val="0"/>
        <w:numPr>
          <w:ilvl w:val="0"/>
          <w:numId w:val="3"/>
        </w:numPr>
        <w:kinsoku/>
        <w:wordWrap/>
        <w:overflowPunct/>
        <w:topLinePunct w:val="0"/>
        <w:autoSpaceDE/>
        <w:autoSpaceDN/>
        <w:bidi w:val="0"/>
        <w:adjustRightInd/>
        <w:snapToGrid/>
        <w:spacing w:line="580" w:lineRule="exact"/>
        <w:ind w:left="0" w:leftChars="0" w:firstLine="643" w:firstLineChars="200"/>
        <w:jc w:val="both"/>
        <w:textAlignment w:val="auto"/>
        <w:rPr>
          <w:rStyle w:val="12"/>
          <w:rFonts w:hint="eastAsia" w:ascii="仿宋_GB2312" w:hAnsi="仿宋_GB2312" w:eastAsia="仿宋_GB2312" w:cs="仿宋_GB2312"/>
          <w:b/>
          <w:bCs/>
          <w:i w:val="0"/>
          <w:iCs w:val="0"/>
          <w:caps w:val="0"/>
          <w:color w:val="0F1115"/>
          <w:spacing w:val="0"/>
          <w:sz w:val="32"/>
          <w:szCs w:val="32"/>
          <w:shd w:val="clear" w:fill="FFFFFF"/>
        </w:rPr>
      </w:pPr>
      <w:r>
        <w:rPr>
          <w:rStyle w:val="12"/>
          <w:rFonts w:hint="eastAsia" w:ascii="仿宋_GB2312" w:hAnsi="仿宋_GB2312" w:eastAsia="仿宋_GB2312" w:cs="仿宋_GB2312"/>
          <w:b/>
          <w:bCs/>
          <w:i w:val="0"/>
          <w:iCs w:val="0"/>
          <w:caps w:val="0"/>
          <w:color w:val="0F1115"/>
          <w:spacing w:val="0"/>
          <w:sz w:val="32"/>
          <w:szCs w:val="32"/>
          <w:shd w:val="clear" w:fill="FFFFFF"/>
        </w:rPr>
        <w:t>推动技术革新，促进管理升级</w:t>
      </w:r>
    </w:p>
    <w:p w14:paraId="69B7359A">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新”技术应用取得突破，推广“人工+机器人”清淤、非开挖修复等技术，完成精细化灌缝12.3万米。精细化管理持续深化，严把项目接管关，完善泵站考核等制度。智慧化辅助初见成效，试点探索无人机、管道机器人等技术应用。</w:t>
      </w:r>
    </w:p>
    <w:p w14:paraId="3BECC30A">
      <w:pPr>
        <w:keepNext w:val="0"/>
        <w:keepLines w:val="0"/>
        <w:pageBreakBefore w:val="0"/>
        <w:numPr>
          <w:ilvl w:val="0"/>
          <w:numId w:val="3"/>
        </w:numPr>
        <w:kinsoku/>
        <w:wordWrap/>
        <w:overflowPunct/>
        <w:topLinePunct w:val="0"/>
        <w:autoSpaceDE/>
        <w:autoSpaceDN/>
        <w:bidi w:val="0"/>
        <w:adjustRightInd/>
        <w:snapToGrid/>
        <w:spacing w:line="580" w:lineRule="exact"/>
        <w:ind w:left="0" w:leftChars="0" w:firstLine="643" w:firstLineChars="200"/>
        <w:jc w:val="both"/>
        <w:textAlignment w:val="auto"/>
        <w:rPr>
          <w:rStyle w:val="12"/>
          <w:rFonts w:hint="eastAsia" w:ascii="仿宋_GB2312" w:hAnsi="仿宋_GB2312" w:eastAsia="仿宋_GB2312" w:cs="仿宋_GB2312"/>
          <w:b/>
          <w:bCs/>
          <w:i w:val="0"/>
          <w:iCs w:val="0"/>
          <w:caps w:val="0"/>
          <w:color w:val="0F1115"/>
          <w:spacing w:val="0"/>
          <w:sz w:val="32"/>
          <w:szCs w:val="32"/>
          <w:shd w:val="clear" w:fill="FFFFFF"/>
          <w:lang w:val="en-US" w:eastAsia="zh-CN"/>
        </w:rPr>
      </w:pPr>
      <w:r>
        <w:rPr>
          <w:rStyle w:val="12"/>
          <w:rFonts w:hint="eastAsia" w:ascii="仿宋_GB2312" w:hAnsi="仿宋_GB2312" w:eastAsia="仿宋_GB2312" w:cs="仿宋_GB2312"/>
          <w:b/>
          <w:bCs/>
          <w:i w:val="0"/>
          <w:iCs w:val="0"/>
          <w:caps w:val="0"/>
          <w:color w:val="0F1115"/>
          <w:spacing w:val="0"/>
          <w:sz w:val="32"/>
          <w:szCs w:val="32"/>
          <w:shd w:val="clear" w:fill="FFFFFF"/>
        </w:rPr>
        <w:t>聚力党建引领，锻造过硬队伍</w:t>
      </w:r>
    </w:p>
    <w:p w14:paraId="775BD288">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sz w:val="32"/>
          <w:szCs w:val="32"/>
        </w:rPr>
        <w:t>始终坚持党建引领与安全生产同频共振，为事业发展提供坚强保障。</w:t>
      </w:r>
      <w:r>
        <w:rPr>
          <w:rFonts w:hint="eastAsia" w:ascii="仿宋_GB2312" w:hAnsi="仿宋_GB2312" w:eastAsia="仿宋_GB2312" w:cs="仿宋_GB2312"/>
          <w:b w:val="0"/>
          <w:bCs w:val="0"/>
          <w:sz w:val="32"/>
          <w:szCs w:val="32"/>
        </w:rPr>
        <w:t>一是政治建设持续深化。</w:t>
      </w:r>
      <w:r>
        <w:rPr>
          <w:rFonts w:hint="eastAsia" w:ascii="仿宋_GB2312" w:hAnsi="仿宋_GB2312" w:eastAsia="仿宋_GB2312" w:cs="仿宋_GB2312"/>
          <w:sz w:val="32"/>
          <w:szCs w:val="32"/>
        </w:rPr>
        <w:t>严格落实“第一议题”制度，深入开展党纪学习教育，筑牢思想防线。</w:t>
      </w:r>
      <w:r>
        <w:rPr>
          <w:rFonts w:hint="eastAsia" w:ascii="仿宋_GB2312" w:hAnsi="仿宋_GB2312" w:eastAsia="仿宋_GB2312" w:cs="仿宋_GB2312"/>
          <w:b w:val="0"/>
          <w:bCs w:val="0"/>
          <w:sz w:val="32"/>
          <w:szCs w:val="32"/>
        </w:rPr>
        <w:t>二是党建与业务深度融合。</w:t>
      </w:r>
      <w:r>
        <w:rPr>
          <w:rFonts w:hint="eastAsia" w:ascii="仿宋_GB2312" w:hAnsi="仿宋_GB2312" w:eastAsia="仿宋_GB2312" w:cs="仿宋_GB2312"/>
          <w:sz w:val="32"/>
          <w:szCs w:val="32"/>
        </w:rPr>
        <w:t>设立“党员先锋岗”，在防汛抢险、工程攻坚等急难险重任务中，党组织战斗堡垒和党员先锋模范作用充分彰显。将安全发展理念贯穿始终，常态化开展安全生产大检查，完成47座桥隧技术状况评定，重点加强有限空间、高空作业等环节监管。</w:t>
      </w:r>
      <w:r>
        <w:rPr>
          <w:rFonts w:hint="eastAsia" w:ascii="仿宋_GB2312" w:hAnsi="仿宋_GB2312" w:eastAsia="仿宋_GB2312" w:cs="仿宋_GB2312"/>
          <w:b w:val="0"/>
          <w:bCs w:val="0"/>
          <w:sz w:val="32"/>
          <w:szCs w:val="32"/>
        </w:rPr>
        <w:t>三是安全基础不断夯实。</w:t>
      </w:r>
      <w:r>
        <w:rPr>
          <w:rFonts w:hint="eastAsia" w:ascii="仿宋_GB2312" w:hAnsi="仿宋_GB2312" w:eastAsia="仿宋_GB2312" w:cs="仿宋_GB2312"/>
          <w:sz w:val="32"/>
          <w:szCs w:val="32"/>
        </w:rPr>
        <w:t>全年未发生安全生产责任事故，定期组织安全培训和应急演练，提升全员能力。加大巡查稽查力度，查处并整改各类问题百余条。</w:t>
      </w:r>
      <w:r>
        <w:rPr>
          <w:rFonts w:hint="eastAsia" w:ascii="仿宋_GB2312" w:hAnsi="仿宋_GB2312" w:eastAsia="仿宋_GB2312" w:cs="仿宋_GB2312"/>
          <w:b w:val="0"/>
          <w:bCs w:val="0"/>
          <w:sz w:val="32"/>
          <w:szCs w:val="32"/>
        </w:rPr>
        <w:t>四是廉政建设扎实推进。</w:t>
      </w:r>
      <w:r>
        <w:rPr>
          <w:rFonts w:hint="eastAsia" w:ascii="仿宋_GB2312" w:hAnsi="仿宋_GB2312" w:eastAsia="仿宋_GB2312" w:cs="仿宋_GB2312"/>
          <w:sz w:val="32"/>
          <w:szCs w:val="32"/>
        </w:rPr>
        <w:t>严格落实中央八项规定精神，排查廉政风险，在今年举办的市直机关“清风相伴・廉洁同行”主题廉政微党课比赛中，以城管局第一名的成绩选送市级比赛，荣获优胜奖，唱响了廉洁奉公，奋斗有我的主旋律态</w:t>
      </w:r>
      <w:r>
        <w:rPr>
          <w:rFonts w:hint="eastAsia" w:ascii="仿宋_GB2312" w:hAnsi="仿宋_GB2312" w:eastAsia="仿宋_GB2312" w:cs="仿宋_GB2312"/>
          <w:sz w:val="32"/>
          <w:szCs w:val="32"/>
          <w:lang w:val="en-US" w:eastAsia="zh-CN"/>
        </w:rPr>
        <w:t>。</w:t>
      </w:r>
    </w:p>
    <w:p w14:paraId="20DEBED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20" w:beforeLines="50" w:line="580" w:lineRule="exact"/>
        <w:ind w:right="11" w:rightChars="0" w:firstLine="667" w:firstLineChars="200"/>
        <w:jc w:val="both"/>
        <w:textAlignment w:val="baseline"/>
        <w:rPr>
          <w:rFonts w:hint="eastAsia" w:ascii="仿宋_GB2312" w:hAnsi="仿宋_GB2312" w:eastAsia="仿宋_GB2312" w:cs="仿宋_GB2312"/>
          <w:b/>
          <w:bCs/>
          <w:color w:val="auto"/>
          <w:spacing w:val="6"/>
          <w:kern w:val="0"/>
          <w:sz w:val="32"/>
          <w:szCs w:val="32"/>
          <w:lang w:val="en-US" w:eastAsia="zh-CN"/>
        </w:rPr>
      </w:pPr>
      <w:r>
        <w:rPr>
          <w:rFonts w:hint="eastAsia" w:ascii="仿宋_GB2312" w:hAnsi="仿宋_GB2312" w:eastAsia="仿宋_GB2312" w:cs="仿宋_GB2312"/>
          <w:b/>
          <w:bCs/>
          <w:color w:val="auto"/>
          <w:spacing w:val="6"/>
          <w:kern w:val="0"/>
          <w:sz w:val="32"/>
          <w:szCs w:val="32"/>
          <w:lang w:val="en-US" w:eastAsia="zh-CN"/>
        </w:rPr>
        <w:t>（三）资金支出绩效管理情况</w:t>
      </w:r>
    </w:p>
    <w:p w14:paraId="6A5F2EFF">
      <w:pPr>
        <w:pStyle w:val="2"/>
        <w:keepNext w:val="0"/>
        <w:keepLines w:val="0"/>
        <w:pageBreakBefore w:val="0"/>
        <w:numPr>
          <w:ilvl w:val="0"/>
          <w:numId w:val="0"/>
        </w:numPr>
        <w:wordWrap/>
        <w:overflowPunct/>
        <w:topLinePunct w:val="0"/>
        <w:bidi w:val="0"/>
        <w:spacing w:line="58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根据</w:t>
      </w:r>
      <w:r>
        <w:rPr>
          <w:rFonts w:hint="eastAsia" w:ascii="仿宋_GB2312" w:hAnsi="仿宋_GB2312" w:eastAsia="仿宋_GB2312" w:cs="仿宋_GB2312"/>
          <w:color w:val="auto"/>
          <w:sz w:val="32"/>
          <w:szCs w:val="32"/>
          <w:highlight w:val="none"/>
        </w:rPr>
        <w:t>《中华人民共和国预算法》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《政府会计制度》</w:t>
      </w:r>
      <w:r>
        <w:rPr>
          <w:rFonts w:hint="eastAsia" w:ascii="仿宋_GB2312" w:hAnsi="仿宋_GB2312" w:eastAsia="仿宋_GB2312" w:cs="仿宋_GB2312"/>
          <w:color w:val="auto"/>
          <w:sz w:val="32"/>
          <w:szCs w:val="32"/>
          <w:highlight w:val="none"/>
          <w:lang w:val="en-US" w:eastAsia="zh-CN"/>
        </w:rPr>
        <w:t>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中共岳阳市委办公室 岳阳市人民政府办公室关于印发&lt;岳阳市</w:t>
      </w:r>
      <w:r>
        <w:rPr>
          <w:rFonts w:hint="eastAsia" w:ascii="仿宋_GB2312" w:hAnsi="仿宋_GB2312" w:eastAsia="仿宋_GB2312" w:cs="仿宋_GB2312"/>
          <w:color w:val="auto"/>
          <w:sz w:val="32"/>
          <w:szCs w:val="32"/>
        </w:rPr>
        <w:t>预算绩效管理</w:t>
      </w:r>
      <w:r>
        <w:rPr>
          <w:rFonts w:hint="eastAsia" w:ascii="仿宋_GB2312" w:hAnsi="仿宋_GB2312" w:eastAsia="仿宋_GB2312" w:cs="仿宋_GB2312"/>
          <w:color w:val="auto"/>
          <w:sz w:val="32"/>
          <w:szCs w:val="32"/>
          <w:lang w:val="en-US" w:eastAsia="zh-CN"/>
        </w:rPr>
        <w:t>实施办法&gt;</w:t>
      </w:r>
      <w:r>
        <w:rPr>
          <w:rFonts w:hint="eastAsia" w:ascii="仿宋_GB2312" w:hAnsi="仿宋_GB2312" w:eastAsia="仿宋_GB2312" w:cs="仿宋_GB2312"/>
          <w:color w:val="auto"/>
          <w:sz w:val="32"/>
          <w:szCs w:val="32"/>
        </w:rPr>
        <w:t>的通知》（岳办</w:t>
      </w:r>
      <w:r>
        <w:rPr>
          <w:rFonts w:hint="eastAsia" w:ascii="仿宋_GB2312" w:hAnsi="仿宋_GB2312" w:eastAsia="仿宋_GB2312" w:cs="仿宋_GB2312"/>
          <w:color w:val="auto"/>
          <w:sz w:val="32"/>
          <w:szCs w:val="32"/>
          <w:lang w:val="en-US" w:eastAsia="zh-CN"/>
        </w:rPr>
        <w:t>发</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lang w:val="en-US" w:eastAsia="zh-CN"/>
        </w:rPr>
        <w:t>及其他相关文件精神，中心成立了绩效评价及监督小组，定期开展相关工作。</w:t>
      </w:r>
    </w:p>
    <w:p w14:paraId="03999FDD">
      <w:pPr>
        <w:pStyle w:val="3"/>
        <w:keepNext w:val="0"/>
        <w:keepLines w:val="0"/>
        <w:pageBreakBefore w:val="0"/>
        <w:wordWrap/>
        <w:overflowPunct/>
        <w:topLinePunct w:val="0"/>
        <w:bidi w:val="0"/>
        <w:spacing w:line="580" w:lineRule="exact"/>
        <w:ind w:left="0" w:leftChars="0" w:firstLine="643" w:firstLineChars="20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1、预算及绩效管理</w:t>
      </w:r>
    </w:p>
    <w:p w14:paraId="70C39448">
      <w:pPr>
        <w:pStyle w:val="2"/>
        <w:keepNext w:val="0"/>
        <w:keepLines w:val="0"/>
        <w:pageBreakBefore w:val="0"/>
        <w:wordWrap/>
        <w:overflowPunct/>
        <w:topLinePunct w:val="0"/>
        <w:bidi w:val="0"/>
        <w:spacing w:line="580" w:lineRule="exact"/>
        <w:ind w:firstLine="664" w:firstLineChars="200"/>
        <w:jc w:val="both"/>
        <w:rPr>
          <w:rFonts w:hint="eastAsia" w:ascii="仿宋_GB2312" w:hAnsi="仿宋_GB2312" w:eastAsia="仿宋_GB2312" w:cs="仿宋_GB2312"/>
          <w:spacing w:val="6"/>
          <w:kern w:val="0"/>
          <w:sz w:val="32"/>
          <w:szCs w:val="32"/>
          <w:lang w:val="en-US" w:eastAsia="zh-CN"/>
        </w:rPr>
      </w:pPr>
      <w:r>
        <w:rPr>
          <w:rFonts w:hint="eastAsia" w:ascii="仿宋_GB2312" w:hAnsi="仿宋_GB2312" w:eastAsia="仿宋_GB2312" w:cs="仿宋_GB2312"/>
          <w:spacing w:val="6"/>
          <w:kern w:val="0"/>
          <w:sz w:val="32"/>
          <w:szCs w:val="32"/>
          <w:lang w:val="en-US" w:eastAsia="zh-CN"/>
        </w:rPr>
        <w:t>为加强</w:t>
      </w:r>
      <w:r>
        <w:rPr>
          <w:rFonts w:hint="eastAsia" w:ascii="仿宋_GB2312" w:hAnsi="仿宋_GB2312" w:eastAsia="仿宋_GB2312" w:cs="仿宋_GB2312"/>
          <w:spacing w:val="6"/>
          <w:kern w:val="0"/>
          <w:sz w:val="32"/>
          <w:szCs w:val="32"/>
        </w:rPr>
        <w:t>预算管理</w:t>
      </w:r>
      <w:r>
        <w:rPr>
          <w:rFonts w:hint="eastAsia" w:ascii="仿宋_GB2312" w:hAnsi="仿宋_GB2312" w:eastAsia="仿宋_GB2312" w:cs="仿宋_GB2312"/>
          <w:spacing w:val="6"/>
          <w:kern w:val="0"/>
          <w:sz w:val="32"/>
          <w:szCs w:val="32"/>
          <w:lang w:val="en-US" w:eastAsia="zh-CN"/>
        </w:rPr>
        <w:t>，中心从预算编制环节入手，编制</w:t>
      </w:r>
      <w:r>
        <w:rPr>
          <w:rFonts w:hint="eastAsia" w:ascii="仿宋_GB2312" w:hAnsi="仿宋_GB2312" w:eastAsia="仿宋_GB2312" w:cs="仿宋_GB2312"/>
          <w:spacing w:val="6"/>
          <w:kern w:val="0"/>
          <w:sz w:val="32"/>
          <w:szCs w:val="32"/>
        </w:rPr>
        <w:t>资金预算</w:t>
      </w:r>
      <w:r>
        <w:rPr>
          <w:rFonts w:hint="eastAsia" w:ascii="仿宋_GB2312" w:hAnsi="仿宋_GB2312" w:eastAsia="仿宋_GB2312" w:cs="仿宋_GB2312"/>
          <w:spacing w:val="6"/>
          <w:kern w:val="0"/>
          <w:sz w:val="32"/>
          <w:szCs w:val="32"/>
          <w:lang w:val="en-US" w:eastAsia="zh-CN"/>
        </w:rPr>
        <w:t>必须先</w:t>
      </w:r>
      <w:r>
        <w:rPr>
          <w:rFonts w:hint="eastAsia" w:ascii="仿宋_GB2312" w:hAnsi="仿宋_GB2312" w:eastAsia="仿宋_GB2312" w:cs="仿宋_GB2312"/>
          <w:spacing w:val="6"/>
          <w:kern w:val="0"/>
          <w:sz w:val="32"/>
          <w:szCs w:val="32"/>
        </w:rPr>
        <w:t>编制</w:t>
      </w:r>
      <w:r>
        <w:rPr>
          <w:rFonts w:hint="eastAsia" w:ascii="仿宋_GB2312" w:hAnsi="仿宋_GB2312" w:eastAsia="仿宋_GB2312" w:cs="仿宋_GB2312"/>
          <w:spacing w:val="6"/>
          <w:kern w:val="0"/>
          <w:sz w:val="32"/>
          <w:szCs w:val="32"/>
          <w:lang w:val="en-US" w:eastAsia="zh-CN"/>
        </w:rPr>
        <w:t>预算绩效</w:t>
      </w:r>
      <w:r>
        <w:rPr>
          <w:rFonts w:hint="eastAsia" w:ascii="仿宋_GB2312" w:hAnsi="仿宋_GB2312" w:eastAsia="仿宋_GB2312" w:cs="仿宋_GB2312"/>
          <w:spacing w:val="6"/>
          <w:kern w:val="0"/>
          <w:sz w:val="32"/>
          <w:szCs w:val="32"/>
        </w:rPr>
        <w:t>目标</w:t>
      </w:r>
      <w:r>
        <w:rPr>
          <w:rFonts w:hint="eastAsia" w:ascii="仿宋_GB2312" w:hAnsi="仿宋_GB2312" w:eastAsia="仿宋_GB2312" w:cs="仿宋_GB2312"/>
          <w:spacing w:val="6"/>
          <w:kern w:val="0"/>
          <w:sz w:val="32"/>
          <w:szCs w:val="32"/>
          <w:lang w:eastAsia="zh-CN"/>
        </w:rPr>
        <w:t>，</w:t>
      </w:r>
      <w:r>
        <w:rPr>
          <w:rFonts w:hint="eastAsia" w:ascii="仿宋_GB2312" w:hAnsi="仿宋_GB2312" w:eastAsia="仿宋_GB2312" w:cs="仿宋_GB2312"/>
          <w:spacing w:val="6"/>
          <w:kern w:val="0"/>
          <w:sz w:val="32"/>
          <w:szCs w:val="32"/>
          <w:lang w:val="en-US" w:eastAsia="zh-CN"/>
        </w:rPr>
        <w:t>各科室根据中心年度工作计划分别制订所负责项目绩效目标，财务汇总审核后提交中心办公会研究，做到了费用支出预算有目标，确保资金支出效益。</w:t>
      </w:r>
    </w:p>
    <w:p w14:paraId="605BC74B">
      <w:pPr>
        <w:pStyle w:val="2"/>
        <w:keepNext w:val="0"/>
        <w:keepLines w:val="0"/>
        <w:pageBreakBefore w:val="0"/>
        <w:wordWrap/>
        <w:overflowPunct/>
        <w:topLinePunct w:val="0"/>
        <w:bidi w:val="0"/>
        <w:spacing w:line="580" w:lineRule="exact"/>
        <w:ind w:firstLine="664"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6"/>
          <w:kern w:val="0"/>
          <w:sz w:val="32"/>
          <w:szCs w:val="32"/>
          <w:lang w:val="en-US" w:eastAsia="zh-CN"/>
        </w:rPr>
        <w:t>依据</w:t>
      </w:r>
      <w:r>
        <w:rPr>
          <w:rFonts w:hint="eastAsia" w:ascii="仿宋_GB2312" w:hAnsi="仿宋_GB2312" w:eastAsia="仿宋_GB2312" w:cs="仿宋_GB2312"/>
          <w:sz w:val="32"/>
          <w:szCs w:val="32"/>
          <w:lang w:eastAsia="zh-CN"/>
        </w:rPr>
        <w:t>岳阳市财政局</w:t>
      </w:r>
      <w:r>
        <w:rPr>
          <w:rFonts w:hint="eastAsia" w:ascii="仿宋_GB2312" w:hAnsi="仿宋_GB2312" w:eastAsia="仿宋_GB2312" w:cs="仿宋_GB2312"/>
          <w:sz w:val="32"/>
          <w:szCs w:val="32"/>
          <w:lang w:val="en-US" w:eastAsia="zh-CN"/>
        </w:rPr>
        <w:t>《岳阳市财政局关于开展2025年度市级预算支出绩效自评工作的通知》（岳财函〔2026〕25号）</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lang w:eastAsia="zh-CN"/>
        </w:rPr>
        <w:t>岳阳市财政局</w:t>
      </w:r>
      <w:r>
        <w:rPr>
          <w:rFonts w:hint="eastAsia" w:ascii="仿宋_GB2312" w:hAnsi="仿宋_GB2312" w:eastAsia="仿宋_GB2312" w:cs="仿宋_GB2312"/>
          <w:color w:val="auto"/>
          <w:sz w:val="32"/>
          <w:szCs w:val="32"/>
          <w:lang w:val="en-US" w:eastAsia="zh-CN"/>
        </w:rPr>
        <w:t>关于印发&lt;岳阳市市级预算部门绩效自评操作规程&gt;的通知》（岳财函〔2022〕209号）文件精神，</w:t>
      </w:r>
      <w:r>
        <w:rPr>
          <w:rFonts w:hint="eastAsia" w:ascii="仿宋_GB2312" w:hAnsi="仿宋_GB2312" w:eastAsia="仿宋_GB2312" w:cs="仿宋_GB2312"/>
          <w:sz w:val="32"/>
          <w:szCs w:val="32"/>
          <w:lang w:val="en-US" w:eastAsia="zh-CN"/>
        </w:rPr>
        <w:t>结合岳阳市2025年市本级财政预算批复和2025年度预算绩效目标，中心</w:t>
      </w:r>
      <w:r>
        <w:rPr>
          <w:rFonts w:hint="eastAsia" w:ascii="仿宋_GB2312" w:hAnsi="仿宋_GB2312" w:eastAsia="仿宋_GB2312" w:cs="仿宋_GB2312"/>
          <w:spacing w:val="6"/>
          <w:kern w:val="0"/>
          <w:sz w:val="32"/>
          <w:szCs w:val="32"/>
          <w:lang w:val="en-US" w:eastAsia="zh-CN"/>
        </w:rPr>
        <w:t>于2025年10月底，组织开展了</w:t>
      </w:r>
      <w:r>
        <w:rPr>
          <w:rFonts w:hint="eastAsia" w:ascii="仿宋_GB2312" w:hAnsi="仿宋_GB2312" w:eastAsia="仿宋_GB2312" w:cs="仿宋_GB2312"/>
          <w:spacing w:val="6"/>
          <w:kern w:val="0"/>
          <w:sz w:val="32"/>
          <w:szCs w:val="32"/>
        </w:rPr>
        <w:t>预算执行</w:t>
      </w:r>
      <w:r>
        <w:rPr>
          <w:rFonts w:hint="eastAsia" w:ascii="仿宋_GB2312" w:hAnsi="仿宋_GB2312" w:eastAsia="仿宋_GB2312" w:cs="仿宋_GB2312"/>
          <w:spacing w:val="6"/>
          <w:kern w:val="0"/>
          <w:sz w:val="32"/>
          <w:szCs w:val="32"/>
          <w:lang w:val="en-US" w:eastAsia="zh-CN"/>
        </w:rPr>
        <w:t>情况分析，分析预算执行过程中存在的</w:t>
      </w:r>
      <w:r>
        <w:rPr>
          <w:rFonts w:hint="eastAsia" w:ascii="仿宋_GB2312" w:hAnsi="仿宋_GB2312" w:eastAsia="仿宋_GB2312" w:cs="仿宋_GB2312"/>
          <w:color w:val="000000"/>
          <w:sz w:val="32"/>
          <w:szCs w:val="32"/>
        </w:rPr>
        <w:t>偏差</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并制定相应的整</w:t>
      </w:r>
      <w:r>
        <w:rPr>
          <w:rFonts w:hint="eastAsia" w:ascii="仿宋_GB2312" w:hAnsi="仿宋_GB2312" w:eastAsia="仿宋_GB2312" w:cs="仿宋_GB2312"/>
          <w:color w:val="000000"/>
          <w:sz w:val="32"/>
          <w:szCs w:val="32"/>
        </w:rPr>
        <w:t>改措施</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spacing w:val="6"/>
          <w:kern w:val="0"/>
          <w:sz w:val="32"/>
          <w:szCs w:val="32"/>
          <w:lang w:val="en-US" w:eastAsia="zh-CN"/>
        </w:rPr>
        <w:t>2026年5月上旬开始组织对上年经费支出进行绩效自评工作，总结分析资金支出绩效情况，真正做到了</w:t>
      </w:r>
      <w:r>
        <w:rPr>
          <w:rFonts w:hint="eastAsia" w:ascii="仿宋_GB2312" w:hAnsi="仿宋_GB2312" w:eastAsia="仿宋_GB2312" w:cs="仿宋_GB2312"/>
          <w:spacing w:val="6"/>
          <w:kern w:val="0"/>
          <w:sz w:val="32"/>
          <w:szCs w:val="32"/>
        </w:rPr>
        <w:t>预算</w:t>
      </w:r>
      <w:r>
        <w:rPr>
          <w:rFonts w:hint="eastAsia" w:ascii="仿宋_GB2312" w:hAnsi="仿宋_GB2312" w:eastAsia="仿宋_GB2312" w:cs="仿宋_GB2312"/>
          <w:spacing w:val="6"/>
          <w:kern w:val="0"/>
          <w:sz w:val="32"/>
          <w:szCs w:val="32"/>
          <w:lang w:val="en-US" w:eastAsia="zh-CN"/>
        </w:rPr>
        <w:t>执行</w:t>
      </w:r>
      <w:r>
        <w:rPr>
          <w:rFonts w:hint="eastAsia" w:ascii="仿宋_GB2312" w:hAnsi="仿宋_GB2312" w:eastAsia="仿宋_GB2312" w:cs="仿宋_GB2312"/>
          <w:spacing w:val="6"/>
          <w:kern w:val="0"/>
          <w:sz w:val="32"/>
          <w:szCs w:val="32"/>
        </w:rPr>
        <w:t>完成有评价</w:t>
      </w:r>
      <w:r>
        <w:rPr>
          <w:rFonts w:hint="eastAsia" w:ascii="仿宋_GB2312" w:hAnsi="仿宋_GB2312" w:eastAsia="仿宋_GB2312" w:cs="仿宋_GB2312"/>
          <w:spacing w:val="6"/>
          <w:kern w:val="0"/>
          <w:sz w:val="32"/>
          <w:szCs w:val="32"/>
          <w:lang w:eastAsia="zh-CN"/>
        </w:rPr>
        <w:t>，</w:t>
      </w:r>
      <w:r>
        <w:rPr>
          <w:rFonts w:hint="eastAsia" w:ascii="仿宋_GB2312" w:hAnsi="仿宋_GB2312" w:eastAsia="仿宋_GB2312" w:cs="仿宋_GB2312"/>
          <w:spacing w:val="6"/>
          <w:kern w:val="0"/>
          <w:sz w:val="32"/>
          <w:szCs w:val="32"/>
        </w:rPr>
        <w:t>使单位经济业务从事前、事中、事后得到</w:t>
      </w:r>
      <w:r>
        <w:rPr>
          <w:rFonts w:hint="eastAsia" w:ascii="仿宋_GB2312" w:hAnsi="仿宋_GB2312" w:eastAsia="仿宋_GB2312" w:cs="仿宋_GB2312"/>
          <w:spacing w:val="6"/>
          <w:kern w:val="0"/>
          <w:sz w:val="32"/>
          <w:szCs w:val="32"/>
          <w:lang w:val="en-US" w:eastAsia="zh-CN"/>
        </w:rPr>
        <w:t>了</w:t>
      </w:r>
      <w:r>
        <w:rPr>
          <w:rFonts w:hint="eastAsia" w:ascii="仿宋_GB2312" w:hAnsi="仿宋_GB2312" w:eastAsia="仿宋_GB2312" w:cs="仿宋_GB2312"/>
          <w:spacing w:val="6"/>
          <w:kern w:val="0"/>
          <w:sz w:val="32"/>
          <w:szCs w:val="32"/>
        </w:rPr>
        <w:t>有效管控</w:t>
      </w:r>
      <w:r>
        <w:rPr>
          <w:rFonts w:hint="eastAsia" w:ascii="仿宋_GB2312" w:hAnsi="仿宋_GB2312" w:eastAsia="仿宋_GB2312" w:cs="仿宋_GB2312"/>
          <w:spacing w:val="6"/>
          <w:kern w:val="0"/>
          <w:sz w:val="32"/>
          <w:szCs w:val="32"/>
          <w:lang w:eastAsia="zh-CN"/>
        </w:rPr>
        <w:t>。</w:t>
      </w:r>
    </w:p>
    <w:p w14:paraId="74B394A8">
      <w:pPr>
        <w:keepNext w:val="0"/>
        <w:keepLines w:val="0"/>
        <w:pageBreakBefore w:val="0"/>
        <w:kinsoku/>
        <w:wordWrap/>
        <w:overflowPunct/>
        <w:topLinePunct w:val="0"/>
        <w:autoSpaceDE/>
        <w:autoSpaceDN/>
        <w:bidi w:val="0"/>
        <w:adjustRightInd/>
        <w:snapToGrid/>
        <w:spacing w:line="580" w:lineRule="exact"/>
        <w:ind w:firstLine="643" w:firstLineChars="200"/>
        <w:jc w:val="both"/>
        <w:outlineLvl w:val="2"/>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zh-CN"/>
        </w:rPr>
        <w:t>2、</w:t>
      </w:r>
      <w:r>
        <w:rPr>
          <w:rFonts w:hint="eastAsia" w:ascii="仿宋_GB2312" w:hAnsi="仿宋_GB2312" w:eastAsia="仿宋_GB2312" w:cs="仿宋_GB2312"/>
          <w:b/>
          <w:bCs w:val="0"/>
          <w:sz w:val="32"/>
          <w:szCs w:val="32"/>
        </w:rPr>
        <w:t>资金管理情况</w:t>
      </w:r>
    </w:p>
    <w:p w14:paraId="5E66E9B9">
      <w:pPr>
        <w:keepNext w:val="0"/>
        <w:keepLines w:val="0"/>
        <w:pageBreakBefore w:val="0"/>
        <w:wordWrap/>
        <w:overflowPunct/>
        <w:topLinePunct w:val="0"/>
        <w:bidi w:val="0"/>
        <w:spacing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SA"/>
        </w:rPr>
        <w:t>根据岳阳市财政局《关于进一步规范专项资金使用流程的通知》（岳财发〔2024〕8号）文件精神，</w:t>
      </w:r>
      <w:r>
        <w:rPr>
          <w:rFonts w:hint="eastAsia" w:ascii="仿宋_GB2312" w:hAnsi="仿宋_GB2312" w:eastAsia="仿宋_GB2312" w:cs="仿宋_GB2312"/>
          <w:sz w:val="32"/>
          <w:szCs w:val="32"/>
        </w:rPr>
        <w:t>结合</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实际情况</w:t>
      </w:r>
      <w:r>
        <w:rPr>
          <w:rFonts w:hint="eastAsia" w:ascii="仿宋_GB2312" w:hAnsi="仿宋_GB2312" w:eastAsia="仿宋_GB2312" w:cs="仿宋_GB2312"/>
          <w:sz w:val="32"/>
          <w:szCs w:val="32"/>
          <w:lang w:eastAsia="zh-CN"/>
        </w:rPr>
        <w:t>修订了</w:t>
      </w:r>
      <w:r>
        <w:rPr>
          <w:rFonts w:hint="eastAsia" w:ascii="仿宋_GB2312" w:hAnsi="仿宋_GB2312" w:eastAsia="仿宋_GB2312" w:cs="仿宋_GB2312"/>
          <w:sz w:val="32"/>
          <w:szCs w:val="32"/>
        </w:rPr>
        <w:t>《专项资金管理办法》、《项目实施管理办法》、《项目实施细则》、《岗位责任制度》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《市政维护</w:t>
      </w:r>
      <w:r>
        <w:rPr>
          <w:rFonts w:hint="eastAsia" w:ascii="仿宋_GB2312" w:hAnsi="仿宋_GB2312" w:eastAsia="仿宋_GB2312" w:cs="仿宋_GB2312"/>
          <w:sz w:val="32"/>
          <w:szCs w:val="32"/>
          <w:lang w:val="en-US" w:eastAsia="zh-CN"/>
        </w:rPr>
        <w:t>管理中心</w:t>
      </w:r>
      <w:r>
        <w:rPr>
          <w:rFonts w:hint="eastAsia" w:ascii="仿宋_GB2312" w:hAnsi="仿宋_GB2312" w:eastAsia="仿宋_GB2312" w:cs="仿宋_GB2312"/>
          <w:sz w:val="32"/>
          <w:szCs w:val="32"/>
        </w:rPr>
        <w:t>维护质量管理办法》、《市政维护</w:t>
      </w:r>
      <w:r>
        <w:rPr>
          <w:rFonts w:hint="eastAsia" w:ascii="仿宋_GB2312" w:hAnsi="仿宋_GB2312" w:eastAsia="仿宋_GB2312" w:cs="仿宋_GB2312"/>
          <w:sz w:val="32"/>
          <w:szCs w:val="32"/>
          <w:lang w:val="en-US" w:eastAsia="zh-CN"/>
        </w:rPr>
        <w:t>管理中心</w:t>
      </w:r>
      <w:r>
        <w:rPr>
          <w:rFonts w:hint="eastAsia" w:ascii="仿宋_GB2312" w:hAnsi="仿宋_GB2312" w:eastAsia="仿宋_GB2312" w:cs="仿宋_GB2312"/>
          <w:sz w:val="32"/>
          <w:szCs w:val="32"/>
        </w:rPr>
        <w:t>成本控制办法》</w:t>
      </w:r>
      <w:r>
        <w:rPr>
          <w:rFonts w:hint="eastAsia" w:ascii="仿宋_GB2312" w:hAnsi="仿宋_GB2312" w:eastAsia="仿宋_GB2312" w:cs="仿宋_GB2312"/>
          <w:sz w:val="32"/>
          <w:szCs w:val="32"/>
          <w:lang w:val="en-US" w:eastAsia="zh-CN"/>
        </w:rPr>
        <w:t>等制度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进一步优化了单位内部控制管理和财务管理制度，并严格遵照执行。</w:t>
      </w:r>
      <w:r>
        <w:rPr>
          <w:rFonts w:hint="eastAsia" w:ascii="仿宋_GB2312" w:hAnsi="仿宋_GB2312" w:eastAsia="仿宋_GB2312" w:cs="仿宋_GB2312"/>
          <w:bCs/>
          <w:sz w:val="32"/>
          <w:szCs w:val="32"/>
          <w:lang w:val="en-US" w:eastAsia="zh-CN"/>
        </w:rPr>
        <w:t>专项资金按经依法批准的预算执行，按照专款专用的原则，进行日常财务管理和会计核算，配合市财政、监察和审计等部门对项目专项资金的使用和管理情况进行监督检查，并开展绩效评价工作。</w:t>
      </w:r>
      <w:r>
        <w:rPr>
          <w:rFonts w:hint="eastAsia" w:ascii="仿宋_GB2312" w:hAnsi="仿宋_GB2312" w:eastAsia="仿宋_GB2312" w:cs="仿宋_GB2312"/>
          <w:sz w:val="32"/>
          <w:szCs w:val="32"/>
        </w:rPr>
        <w:t>做到对专项资金预算编制有目标、预算执行有监控、预算完成有评价、评价结果有反馈、反馈结果有应用。</w:t>
      </w:r>
    </w:p>
    <w:p w14:paraId="4CE17F3D">
      <w:pPr>
        <w:pStyle w:val="2"/>
        <w:keepNext w:val="0"/>
        <w:keepLines w:val="0"/>
        <w:pageBreakBefore w:val="0"/>
        <w:wordWrap/>
        <w:overflowPunct/>
        <w:topLinePunct w:val="0"/>
        <w:bidi w:val="0"/>
        <w:spacing w:line="580" w:lineRule="exact"/>
        <w:ind w:firstLine="643" w:firstLineChars="200"/>
        <w:jc w:val="both"/>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highlight w:val="none"/>
          <w:lang w:val="en-US" w:eastAsia="zh-CN"/>
        </w:rPr>
        <w:t>3、资产管理情况</w:t>
      </w:r>
    </w:p>
    <w:p w14:paraId="1441C348">
      <w:pPr>
        <w:pStyle w:val="3"/>
        <w:keepNext w:val="0"/>
        <w:keepLines w:val="0"/>
        <w:pageBreakBefore w:val="0"/>
        <w:wordWrap/>
        <w:overflowPunct/>
        <w:topLinePunct w:val="0"/>
        <w:bidi w:val="0"/>
        <w:spacing w:line="580" w:lineRule="exact"/>
        <w:ind w:left="0" w:leftChars="0" w:firstLine="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highlight w:val="none"/>
          <w:lang w:val="en-US" w:eastAsia="zh-CN"/>
        </w:rPr>
        <w:t xml:space="preserve">    固定资产管理坚持厉行节约、物尽其用的原则。日常管理采取统一建帐、统筹调配，对每件固定资产使用明确保管责任，定期开展资产清查和盘点工作，闲置资产由办公室统筹调配，部门间调剂使用，提高资产资源利用效率，以最精简的资产保障单位履职和事业发展的需要。根据中心工作特点，适时修订了实物管理制度，加强实物管理。固定资产配置和处置，均按规定程序办理，并严格按固定资产管理办法进行核算及管理。</w:t>
      </w:r>
    </w:p>
    <w:p w14:paraId="4606AA80">
      <w:pPr>
        <w:keepNext w:val="0"/>
        <w:keepLines w:val="0"/>
        <w:pageBreakBefore w:val="0"/>
        <w:wordWrap/>
        <w:overflowPunct/>
        <w:topLinePunct w:val="0"/>
        <w:bidi w:val="0"/>
        <w:spacing w:line="580" w:lineRule="exact"/>
        <w:ind w:firstLine="643" w:firstLineChars="20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4、政府采购管理情况</w:t>
      </w:r>
    </w:p>
    <w:p w14:paraId="703C50D3">
      <w:pPr>
        <w:pStyle w:val="2"/>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2025年，我单位政府采购项目均严格按照</w:t>
      </w:r>
      <w:r>
        <w:rPr>
          <w:rFonts w:hint="eastAsia" w:ascii="仿宋_GB2312" w:hAnsi="仿宋_GB2312" w:eastAsia="仿宋_GB2312" w:cs="仿宋_GB2312"/>
          <w:color w:val="auto"/>
          <w:sz w:val="32"/>
          <w:szCs w:val="32"/>
        </w:rPr>
        <w:t>《中华人民共和国政府采购法》</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岳阳市财政局关于印发《岳阳市预算单位政府集中采购目录及标准指引（2022版）》的通知（岳财发〔2022〕2号和</w:t>
      </w:r>
      <w:r>
        <w:rPr>
          <w:rFonts w:hint="eastAsia" w:ascii="仿宋_GB2312" w:hAnsi="仿宋_GB2312" w:eastAsia="仿宋_GB2312" w:cs="仿宋_GB2312"/>
          <w:color w:val="000000" w:themeColor="text1"/>
          <w:sz w:val="32"/>
          <w:szCs w:val="32"/>
          <w14:textFill>
            <w14:solidFill>
              <w14:schemeClr w14:val="tx1"/>
            </w14:solidFill>
          </w14:textFill>
        </w:rPr>
        <w:t>湖南省财政厅印</w:t>
      </w:r>
      <w:r>
        <w:rPr>
          <w:rFonts w:hint="eastAsia" w:ascii="仿宋_GB2312" w:hAnsi="仿宋_GB2312" w:eastAsia="仿宋_GB2312" w:cs="仿宋_GB2312"/>
          <w:sz w:val="32"/>
          <w:szCs w:val="32"/>
        </w:rPr>
        <w:t>发的《湖南省政府采购电子卖场管理办法》（湘财购［2019]27号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等文件规定的标准和程序执行，全年累计政府采购交易额为158.32万元。</w:t>
      </w:r>
    </w:p>
    <w:p w14:paraId="18FD59C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b/>
          <w:bCs w:val="0"/>
          <w:color w:val="auto"/>
          <w:sz w:val="32"/>
          <w:szCs w:val="32"/>
          <w:highlight w:val="none"/>
          <w:lang w:val="en-US" w:eastAsia="zh-CN"/>
        </w:rPr>
      </w:pPr>
      <w:r>
        <w:rPr>
          <w:rFonts w:hint="eastAsia" w:ascii="仿宋_GB2312" w:hAnsi="仿宋_GB2312" w:eastAsia="仿宋_GB2312" w:cs="仿宋_GB2312"/>
          <w:b/>
          <w:bCs w:val="0"/>
          <w:color w:val="auto"/>
          <w:sz w:val="32"/>
          <w:szCs w:val="32"/>
          <w:highlight w:val="none"/>
          <w:lang w:val="en-US" w:eastAsia="zh-CN"/>
        </w:rPr>
        <w:t>5、单位履职运行成本和管理效率</w:t>
      </w:r>
    </w:p>
    <w:p w14:paraId="38177BFB">
      <w:pPr>
        <w:pStyle w:val="2"/>
        <w:keepNext w:val="0"/>
        <w:keepLines w:val="0"/>
        <w:pageBreakBefore w:val="0"/>
        <w:numPr>
          <w:ilvl w:val="0"/>
          <w:numId w:val="0"/>
        </w:numPr>
        <w:wordWrap/>
        <w:overflowPunct/>
        <w:topLinePunct w:val="0"/>
        <w:bidi w:val="0"/>
        <w:spacing w:line="58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2025年，中心全年预算金额为6611.64万元（其中一般公共预算金额为5165.42万元、</w:t>
      </w:r>
      <w:r>
        <w:rPr>
          <w:rFonts w:hint="eastAsia" w:ascii="仿宋_GB2312" w:hAnsi="仿宋_GB2312" w:eastAsia="仿宋_GB2312" w:cs="仿宋_GB2312"/>
          <w:color w:val="auto"/>
          <w:sz w:val="32"/>
          <w:szCs w:val="32"/>
        </w:rPr>
        <w:t>政府性基金预算</w:t>
      </w:r>
      <w:r>
        <w:rPr>
          <w:rFonts w:hint="eastAsia" w:ascii="仿宋_GB2312" w:hAnsi="仿宋_GB2312" w:eastAsia="仿宋_GB2312" w:cs="仿宋_GB2312"/>
          <w:color w:val="auto"/>
          <w:sz w:val="32"/>
          <w:szCs w:val="32"/>
          <w:lang w:val="en-US" w:eastAsia="zh-CN"/>
        </w:rPr>
        <w:t>754.64万元、</w:t>
      </w:r>
      <w:r>
        <w:rPr>
          <w:rFonts w:hint="eastAsia" w:ascii="仿宋_GB2312" w:hAnsi="仿宋_GB2312" w:eastAsia="仿宋_GB2312" w:cs="仿宋_GB2312"/>
          <w:sz w:val="32"/>
          <w:szCs w:val="32"/>
          <w:lang w:val="en-US" w:eastAsia="zh-CN"/>
        </w:rPr>
        <w:t>其他资金预算金额为691.58万元），实际支出金额为6591.21万元，其中基本支出808.31万元（含其他资金支出63.64万元），项目支出5782.90万元（含其他资金安排的项目支出 627.94万元和政府基金预算支出754.64万元），年度预算执行率为99.69%，单位运行成本控制在年度预算金额内，资金使用效益高。</w:t>
      </w:r>
    </w:p>
    <w:p w14:paraId="3A0B63E3">
      <w:pPr>
        <w:pStyle w:val="2"/>
        <w:keepNext w:val="0"/>
        <w:keepLines w:val="0"/>
        <w:pageBreakBefore w:val="0"/>
        <w:numPr>
          <w:ilvl w:val="0"/>
          <w:numId w:val="0"/>
        </w:numPr>
        <w:wordWrap/>
        <w:overflowPunct/>
        <w:topLinePunct w:val="0"/>
        <w:bidi w:val="0"/>
        <w:spacing w:line="580" w:lineRule="exact"/>
        <w:ind w:firstLine="643" w:firstLineChars="200"/>
        <w:jc w:val="both"/>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highlight w:val="none"/>
          <w:lang w:val="en-US" w:eastAsia="zh-CN"/>
        </w:rPr>
        <w:t>（四）履职效能、社会效应、可持续发展能力和服务对象满意度等方面情况</w:t>
      </w:r>
    </w:p>
    <w:p w14:paraId="324BAFDE">
      <w:pPr>
        <w:keepNext w:val="0"/>
        <w:keepLines w:val="0"/>
        <w:pageBreakBefore w:val="0"/>
        <w:widowControl w:val="0"/>
        <w:kinsoku/>
        <w:wordWrap/>
        <w:overflowPunct/>
        <w:topLinePunct w:val="0"/>
        <w:autoSpaceDE/>
        <w:autoSpaceDN/>
        <w:bidi w:val="0"/>
        <w:adjustRightInd/>
        <w:snapToGrid/>
        <w:spacing w:after="0" w:line="580" w:lineRule="exact"/>
        <w:ind w:firstLine="800" w:firstLineChars="25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val="0"/>
          <w:bCs w:val="0"/>
          <w:sz w:val="32"/>
          <w:szCs w:val="32"/>
          <w:lang w:val="en-US" w:eastAsia="zh-CN"/>
        </w:rPr>
        <w:t>城市道路、桥梁、</w:t>
      </w:r>
      <w:r>
        <w:rPr>
          <w:rFonts w:hint="eastAsia" w:ascii="仿宋_GB2312" w:hAnsi="仿宋_GB2312" w:eastAsia="仿宋_GB2312" w:cs="仿宋_GB2312"/>
          <w:b w:val="0"/>
          <w:bCs w:val="0"/>
          <w:i w:val="0"/>
          <w:iCs w:val="0"/>
          <w:caps w:val="0"/>
          <w:spacing w:val="0"/>
          <w:kern w:val="2"/>
          <w:sz w:val="32"/>
          <w:szCs w:val="32"/>
          <w:lang w:val="en-US" w:eastAsia="zh-CN" w:bidi="ar-SA"/>
        </w:rPr>
        <w:t>隧道</w:t>
      </w:r>
      <w:r>
        <w:rPr>
          <w:rFonts w:hint="eastAsia" w:ascii="仿宋_GB2312" w:hAnsi="仿宋_GB2312" w:eastAsia="仿宋_GB2312" w:cs="仿宋_GB2312"/>
          <w:b w:val="0"/>
          <w:bCs w:val="0"/>
          <w:sz w:val="32"/>
          <w:szCs w:val="32"/>
          <w:lang w:val="en-US" w:eastAsia="zh-CN"/>
        </w:rPr>
        <w:t>和人行道</w:t>
      </w:r>
      <w:r>
        <w:rPr>
          <w:rFonts w:hint="eastAsia" w:ascii="仿宋_GB2312" w:hAnsi="仿宋_GB2312" w:eastAsia="仿宋_GB2312" w:cs="仿宋_GB2312"/>
          <w:b w:val="0"/>
          <w:bCs w:val="0"/>
          <w:i w:val="0"/>
          <w:iCs w:val="0"/>
          <w:caps w:val="0"/>
          <w:spacing w:val="0"/>
          <w:kern w:val="2"/>
          <w:sz w:val="32"/>
          <w:szCs w:val="32"/>
          <w:lang w:val="en-US" w:eastAsia="zh-CN" w:bidi="ar-SA"/>
        </w:rPr>
        <w:t>等市政</w:t>
      </w:r>
      <w:r>
        <w:rPr>
          <w:rFonts w:hint="eastAsia" w:ascii="仿宋_GB2312" w:hAnsi="仿宋_GB2312" w:eastAsia="仿宋_GB2312" w:cs="仿宋_GB2312"/>
          <w:b w:val="0"/>
          <w:bCs w:val="0"/>
          <w:sz w:val="32"/>
          <w:szCs w:val="32"/>
          <w:lang w:val="en-US" w:eastAsia="zh-CN"/>
        </w:rPr>
        <w:t>设施的精细化维护，保障了市政设施的完好率，延长了市政设施的使用寿命，次生维护成本得到有效控制。对</w:t>
      </w:r>
      <w:r>
        <w:rPr>
          <w:rFonts w:hint="eastAsia" w:ascii="仿宋_GB2312" w:hAnsi="仿宋_GB2312" w:eastAsia="仿宋_GB2312" w:cs="仿宋_GB2312"/>
          <w:i w:val="0"/>
          <w:iCs w:val="0"/>
          <w:caps w:val="0"/>
          <w:spacing w:val="0"/>
          <w:sz w:val="32"/>
          <w:szCs w:val="32"/>
          <w:lang w:val="en-US" w:eastAsia="zh-CN"/>
        </w:rPr>
        <w:t>中心城区排水管网及周边设施的全面“体检”和清淤，破损、老旧等问题排水设施更换维修，确保了市中心城区排水安全畅通，提升了城市防</w:t>
      </w:r>
      <w:r>
        <w:rPr>
          <w:rFonts w:hint="eastAsia" w:ascii="仿宋_GB2312" w:hAnsi="仿宋_GB2312" w:eastAsia="仿宋_GB2312" w:cs="仿宋_GB2312"/>
          <w:b w:val="0"/>
          <w:bCs w:val="0"/>
          <w:sz w:val="32"/>
          <w:szCs w:val="32"/>
          <w:lang w:val="en-US" w:eastAsia="zh-CN"/>
        </w:rPr>
        <w:t>汛排</w:t>
      </w:r>
      <w:r>
        <w:rPr>
          <w:rFonts w:hint="eastAsia" w:ascii="仿宋_GB2312" w:hAnsi="仿宋_GB2312" w:eastAsia="仿宋_GB2312" w:cs="仿宋_GB2312"/>
          <w:i w:val="0"/>
          <w:iCs w:val="0"/>
          <w:caps w:val="0"/>
          <w:spacing w:val="0"/>
          <w:sz w:val="32"/>
          <w:szCs w:val="32"/>
          <w:lang w:val="en-US" w:eastAsia="zh-CN"/>
        </w:rPr>
        <w:t>涝应对能力。各泵站的正常运行，使中心城区雨水得到及时抽排，生活污水顺利输送至污水处理厂，为“守护一江碧水”贡献了市政力量。市政机械设备的</w:t>
      </w:r>
      <w:r>
        <w:rPr>
          <w:rFonts w:hint="eastAsia" w:ascii="仿宋_GB2312" w:hAnsi="仿宋_GB2312" w:eastAsia="仿宋_GB2312" w:cs="仿宋_GB2312"/>
          <w:b w:val="0"/>
          <w:bCs w:val="0"/>
          <w:sz w:val="32"/>
          <w:szCs w:val="32"/>
          <w:lang w:val="en-US" w:eastAsia="zh-CN"/>
        </w:rPr>
        <w:t>标准化维护保养，设备处于良好的使用状态，</w:t>
      </w:r>
      <w:r>
        <w:rPr>
          <w:rFonts w:hint="eastAsia" w:ascii="仿宋_GB2312" w:hAnsi="仿宋_GB2312" w:eastAsia="仿宋_GB2312" w:cs="仿宋_GB2312"/>
          <w:i w:val="0"/>
          <w:iCs w:val="0"/>
          <w:caps w:val="0"/>
          <w:spacing w:val="0"/>
          <w:sz w:val="32"/>
          <w:szCs w:val="32"/>
          <w:lang w:val="en-US" w:eastAsia="zh-CN"/>
        </w:rPr>
        <w:t>各类功能得到充分应用，为市政设施维护作业提供了良好的设备保障，同时，大大提升了雨雪冰冻灾害、防汛排涝等突发事件的应对能力。各类市政设施的标准化、精细化管理，</w:t>
      </w:r>
      <w:r>
        <w:rPr>
          <w:rFonts w:hint="eastAsia" w:ascii="仿宋_GB2312" w:hAnsi="仿宋_GB2312" w:eastAsia="仿宋_GB2312" w:cs="仿宋_GB2312"/>
          <w:b w:val="0"/>
          <w:bCs w:val="0"/>
          <w:sz w:val="32"/>
          <w:szCs w:val="32"/>
          <w:lang w:val="en-US" w:eastAsia="zh-CN"/>
        </w:rPr>
        <w:t>城市市政公共服务质量和服务水平不断提升，改善了城市环境，</w:t>
      </w:r>
      <w:r>
        <w:rPr>
          <w:rFonts w:hint="eastAsia" w:ascii="仿宋_GB2312" w:hAnsi="仿宋_GB2312" w:eastAsia="仿宋_GB2312" w:cs="仿宋_GB2312"/>
          <w:color w:val="auto"/>
          <w:sz w:val="32"/>
          <w:szCs w:val="32"/>
        </w:rPr>
        <w:t>城市</w:t>
      </w:r>
      <w:r>
        <w:rPr>
          <w:rFonts w:hint="eastAsia" w:ascii="仿宋_GB2312" w:hAnsi="仿宋_GB2312" w:eastAsia="仿宋_GB2312" w:cs="仿宋_GB2312"/>
          <w:color w:val="auto"/>
          <w:sz w:val="32"/>
          <w:szCs w:val="32"/>
          <w:lang w:val="en-US" w:eastAsia="zh-CN"/>
        </w:rPr>
        <w:t>整体</w:t>
      </w:r>
      <w:r>
        <w:rPr>
          <w:rFonts w:hint="eastAsia" w:ascii="仿宋_GB2312" w:hAnsi="仿宋_GB2312" w:eastAsia="仿宋_GB2312" w:cs="仿宋_GB2312"/>
          <w:color w:val="auto"/>
          <w:sz w:val="32"/>
          <w:szCs w:val="32"/>
        </w:rPr>
        <w:t>形象</w:t>
      </w:r>
      <w:r>
        <w:rPr>
          <w:rFonts w:hint="eastAsia" w:ascii="仿宋_GB2312" w:hAnsi="仿宋_GB2312" w:eastAsia="仿宋_GB2312" w:cs="仿宋_GB2312"/>
          <w:color w:val="auto"/>
          <w:sz w:val="32"/>
          <w:szCs w:val="32"/>
          <w:lang w:eastAsia="zh-CN"/>
        </w:rPr>
        <w:t>不断提升，增强了市民的幸福感和获得感，</w:t>
      </w:r>
      <w:r>
        <w:rPr>
          <w:rFonts w:hint="eastAsia" w:ascii="仿宋_GB2312" w:hAnsi="仿宋_GB2312" w:eastAsia="仿宋_GB2312" w:cs="仿宋_GB2312"/>
          <w:color w:val="auto"/>
          <w:sz w:val="32"/>
          <w:szCs w:val="32"/>
          <w:lang w:val="en-US" w:eastAsia="zh-CN"/>
        </w:rPr>
        <w:t>得到了上级领导和社会各界的普遍赞誉。</w:t>
      </w:r>
    </w:p>
    <w:p w14:paraId="063238F9">
      <w:pPr>
        <w:pStyle w:val="2"/>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评价结果：</w:t>
      </w:r>
    </w:p>
    <w:p w14:paraId="5C0D66E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，岳阳市</w:t>
      </w:r>
      <w:r>
        <w:rPr>
          <w:rFonts w:hint="eastAsia" w:ascii="仿宋_GB2312" w:hAnsi="仿宋_GB2312" w:eastAsia="仿宋_GB2312" w:cs="仿宋_GB2312"/>
          <w:sz w:val="32"/>
          <w:szCs w:val="32"/>
          <w:lang w:val="en-US" w:eastAsia="zh-CN"/>
        </w:rPr>
        <w:t>市政维护</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认真履行本部门职能职责，各部门年初目标任务</w:t>
      </w:r>
      <w:r>
        <w:rPr>
          <w:rFonts w:hint="eastAsia" w:ascii="仿宋_GB2312" w:hAnsi="仿宋_GB2312" w:eastAsia="仿宋_GB2312" w:cs="仿宋_GB2312"/>
          <w:sz w:val="32"/>
          <w:szCs w:val="32"/>
          <w:lang w:eastAsia="zh-CN"/>
        </w:rPr>
        <w:t>完成较好</w:t>
      </w:r>
      <w:r>
        <w:rPr>
          <w:rFonts w:hint="eastAsia" w:ascii="仿宋_GB2312" w:hAnsi="仿宋_GB2312" w:eastAsia="仿宋_GB2312" w:cs="仿宋_GB2312"/>
          <w:sz w:val="32"/>
          <w:szCs w:val="32"/>
        </w:rPr>
        <w:t>，预算成本控制较好，整体支出绩效良好，达到</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既定的目标要求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评价小组依</w:t>
      </w:r>
      <w:r>
        <w:rPr>
          <w:rFonts w:hint="eastAsia" w:ascii="仿宋_GB2312" w:hAnsi="仿宋_GB2312" w:eastAsia="仿宋_GB2312" w:cs="仿宋_GB2312"/>
          <w:sz w:val="32"/>
          <w:szCs w:val="32"/>
        </w:rPr>
        <w:t>据</w:t>
      </w:r>
      <w:r>
        <w:rPr>
          <w:rFonts w:hint="eastAsia" w:ascii="仿宋_GB2312" w:hAnsi="仿宋_GB2312" w:eastAsia="仿宋_GB2312" w:cs="仿宋_GB2312"/>
          <w:sz w:val="32"/>
          <w:szCs w:val="32"/>
          <w:lang w:val="en-US" w:eastAsia="zh-CN"/>
        </w:rPr>
        <w:t>岳阳市财政局《关于印发&lt;岳阳市市级预算部门绩效自评操作规程&gt;的通知》岳财函〔2022〕209号文件规定相关</w:t>
      </w:r>
      <w:r>
        <w:rPr>
          <w:rFonts w:hint="eastAsia" w:ascii="仿宋_GB2312" w:hAnsi="仿宋_GB2312" w:eastAsia="仿宋_GB2312" w:cs="仿宋_GB2312"/>
          <w:sz w:val="32"/>
          <w:szCs w:val="32"/>
        </w:rPr>
        <w:t>评价指标</w:t>
      </w:r>
      <w:r>
        <w:rPr>
          <w:rFonts w:hint="eastAsia" w:ascii="仿宋_GB2312" w:hAnsi="仿宋_GB2312" w:eastAsia="仿宋_GB2312" w:cs="仿宋_GB2312"/>
          <w:sz w:val="32"/>
          <w:szCs w:val="32"/>
          <w:lang w:val="en-US" w:eastAsia="zh-CN"/>
        </w:rPr>
        <w:t>和标准进行了</w:t>
      </w:r>
      <w:r>
        <w:rPr>
          <w:rFonts w:hint="eastAsia" w:ascii="仿宋_GB2312" w:hAnsi="仿宋_GB2312" w:eastAsia="仿宋_GB2312" w:cs="仿宋_GB2312"/>
          <w:sz w:val="32"/>
          <w:szCs w:val="32"/>
        </w:rPr>
        <w:t>评分，20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年单位整体支出绩效自评得分为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rPr>
        <w:t>9</w:t>
      </w:r>
      <w:r>
        <w:rPr>
          <w:rFonts w:hint="eastAsia" w:ascii="仿宋_GB2312" w:hAnsi="仿宋_GB2312" w:eastAsia="仿宋_GB2312" w:cs="仿宋_GB2312"/>
          <w:color w:val="auto"/>
          <w:sz w:val="32"/>
          <w:szCs w:val="32"/>
          <w:lang w:val="en-US" w:eastAsia="zh-CN"/>
        </w:rPr>
        <w:t>7.97”</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具体评分明细见附件二）</w:t>
      </w:r>
      <w:r>
        <w:rPr>
          <w:rFonts w:hint="eastAsia" w:ascii="仿宋_GB2312" w:hAnsi="仿宋_GB2312" w:eastAsia="仿宋_GB2312" w:cs="仿宋_GB2312"/>
          <w:sz w:val="32"/>
          <w:szCs w:val="32"/>
          <w:lang w:eastAsia="zh-CN"/>
        </w:rPr>
        <w:t>。</w:t>
      </w:r>
    </w:p>
    <w:p w14:paraId="71D6E716">
      <w:pPr>
        <w:pStyle w:val="15"/>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黑体" w:cs="Times New Roman"/>
          <w:color w:val="auto"/>
          <w:sz w:val="32"/>
          <w:szCs w:val="32"/>
        </w:rPr>
      </w:pPr>
      <w:r>
        <w:rPr>
          <w:rFonts w:hint="eastAsia" w:ascii="楷体_GB2312" w:hAnsi="楷体_GB2312" w:eastAsia="楷体_GB2312" w:cs="楷体_GB2312"/>
          <w:b/>
          <w:bCs/>
          <w:color w:val="auto"/>
          <w:sz w:val="32"/>
          <w:szCs w:val="32"/>
          <w:lang w:eastAsia="zh-CN"/>
        </w:rPr>
        <w:t>六、</w:t>
      </w:r>
      <w:r>
        <w:rPr>
          <w:rFonts w:hint="eastAsia" w:ascii="楷体_GB2312" w:hAnsi="楷体_GB2312" w:eastAsia="楷体_GB2312" w:cs="楷体_GB2312"/>
          <w:b/>
          <w:bCs/>
          <w:color w:val="auto"/>
          <w:sz w:val="32"/>
          <w:szCs w:val="32"/>
        </w:rPr>
        <w:t>存在的问题及原因分析</w:t>
      </w:r>
    </w:p>
    <w:p w14:paraId="514B4A4F">
      <w:pPr>
        <w:keepNext w:val="0"/>
        <w:keepLines w:val="0"/>
        <w:pageBreakBefore w:val="0"/>
        <w:widowControl w:val="0"/>
        <w:numPr>
          <w:ilvl w:val="0"/>
          <w:numId w:val="4"/>
        </w:numPr>
        <w:kinsoku/>
        <w:wordWrap/>
        <w:overflowPunct/>
        <w:topLinePunct w:val="0"/>
        <w:autoSpaceDE/>
        <w:bidi w:val="0"/>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val="0"/>
          <w:bCs w:val="0"/>
          <w:kern w:val="2"/>
          <w:sz w:val="32"/>
          <w:szCs w:val="32"/>
          <w:lang w:val="en-US" w:eastAsia="zh-CN" w:bidi="ar-SA"/>
        </w:rPr>
        <w:t>专业技术人才存在短板。</w:t>
      </w:r>
      <w:r>
        <w:rPr>
          <w:rFonts w:hint="eastAsia" w:ascii="仿宋_GB2312" w:hAnsi="仿宋_GB2312" w:eastAsia="仿宋_GB2312" w:cs="仿宋_GB2312"/>
          <w:kern w:val="2"/>
          <w:sz w:val="32"/>
          <w:szCs w:val="32"/>
          <w:lang w:val="en-US" w:eastAsia="zh-CN" w:bidi="ar-SA"/>
        </w:rPr>
        <w:t>桥梁隧道深度整治、管网非开挖修复等高端技术力量相对薄弱，施工队伍年龄结构老化，熟练掌握“四新”技术和现代化智能设备的复合型人才缺乏。</w:t>
      </w:r>
    </w:p>
    <w:p w14:paraId="73A56828">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（二）资金保障压力持续加大。</w:t>
      </w:r>
      <w:r>
        <w:rPr>
          <w:rFonts w:hint="eastAsia" w:ascii="仿宋_GB2312" w:hAnsi="仿宋_GB2312" w:eastAsia="仿宋_GB2312" w:cs="仿宋_GB2312"/>
          <w:kern w:val="2"/>
          <w:sz w:val="32"/>
          <w:szCs w:val="32"/>
          <w:lang w:val="en-US" w:eastAsia="zh-CN" w:bidi="ar-SA"/>
        </w:rPr>
        <w:t>设施大规模更新改造、重大安全隐患治理、新技术推广应用等方面资金缺口较大，制约了事业发展。</w:t>
      </w:r>
    </w:p>
    <w:p w14:paraId="09D50746">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七、</w:t>
      </w:r>
      <w:r>
        <w:rPr>
          <w:rFonts w:hint="eastAsia" w:ascii="楷体_GB2312" w:hAnsi="楷体_GB2312" w:eastAsia="楷体_GB2312" w:cs="楷体_GB2312"/>
          <w:b/>
          <w:bCs/>
          <w:sz w:val="32"/>
          <w:szCs w:val="32"/>
        </w:rPr>
        <w:t>下一步改进措施</w:t>
      </w:r>
    </w:p>
    <w:p w14:paraId="67DB27A0">
      <w:pPr>
        <w:keepNext w:val="0"/>
        <w:keepLines w:val="0"/>
        <w:pageBreakBefore w:val="0"/>
        <w:widowControl w:val="0"/>
        <w:kinsoku/>
        <w:wordWrap/>
        <w:overflowPunct/>
        <w:topLinePunct w:val="0"/>
        <w:autoSpaceDE/>
        <w:bidi w:val="0"/>
        <w:spacing w:line="58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i w:val="0"/>
          <w:iCs w:val="0"/>
          <w:caps w:val="0"/>
          <w:spacing w:val="0"/>
          <w:kern w:val="2"/>
          <w:sz w:val="32"/>
          <w:szCs w:val="32"/>
          <w:lang w:val="en-US" w:eastAsia="zh-CN" w:bidi="ar-SA"/>
        </w:rPr>
        <w:t>（一）</w:t>
      </w:r>
      <w:r>
        <w:rPr>
          <w:rFonts w:hint="eastAsia" w:ascii="仿宋_GB2312" w:hAnsi="仿宋_GB2312" w:eastAsia="仿宋_GB2312" w:cs="仿宋_GB2312"/>
          <w:color w:val="000000"/>
          <w:sz w:val="32"/>
          <w:szCs w:val="32"/>
          <w:shd w:val="clear" w:color="auto" w:fill="FFFFFF"/>
          <w:lang w:eastAsia="zh-CN"/>
        </w:rPr>
        <w:t>根据单位专业技术队伍建设实际情况，</w:t>
      </w:r>
      <w:r>
        <w:rPr>
          <w:rFonts w:hint="default" w:ascii="仿宋_GB2312" w:hAnsi="仿宋_GB2312" w:eastAsia="仿宋_GB2312" w:cs="仿宋_GB2312"/>
          <w:kern w:val="2"/>
          <w:sz w:val="32"/>
          <w:szCs w:val="32"/>
          <w:lang w:val="en-US" w:eastAsia="zh-CN" w:bidi="ar-SA"/>
        </w:rPr>
        <w:t>制定系统培训计划，加强专业技能与“四新”知识培训，优化引才激励机制，培养一专多能技术骨干。</w:t>
      </w:r>
    </w:p>
    <w:p w14:paraId="474CAFBE">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val="0"/>
          <w:i w:val="0"/>
          <w:iCs w:val="0"/>
          <w:caps w:val="0"/>
          <w:spacing w:val="0"/>
          <w:kern w:val="2"/>
          <w:sz w:val="32"/>
          <w:szCs w:val="32"/>
          <w:lang w:val="en-US" w:eastAsia="zh-CN" w:bidi="ar-SA"/>
        </w:rPr>
        <w:t>（二）深化项目事前绩效评估，重点关注重要性与必要性，按照轻重缓急合理调配资金，</w:t>
      </w:r>
      <w:r>
        <w:rPr>
          <w:rFonts w:hint="default" w:ascii="仿宋_GB2312" w:hAnsi="仿宋_GB2312" w:eastAsia="仿宋_GB2312" w:cs="仿宋_GB2312"/>
          <w:kern w:val="2"/>
          <w:sz w:val="32"/>
          <w:szCs w:val="32"/>
          <w:lang w:val="en-US" w:eastAsia="zh-CN" w:bidi="ar-SA"/>
        </w:rPr>
        <w:t>强化排水管网系统养护与泵站标准化运维，</w:t>
      </w:r>
      <w:r>
        <w:rPr>
          <w:rFonts w:hint="eastAsia" w:ascii="仿宋_GB2312" w:hAnsi="仿宋_GB2312" w:eastAsia="仿宋_GB2312" w:cs="仿宋_GB2312"/>
          <w:kern w:val="2"/>
          <w:sz w:val="32"/>
          <w:szCs w:val="32"/>
          <w:lang w:val="en-US" w:eastAsia="zh-CN" w:bidi="ar-SA"/>
        </w:rPr>
        <w:t>同时</w:t>
      </w:r>
      <w:r>
        <w:rPr>
          <w:rFonts w:hint="default" w:ascii="仿宋_GB2312" w:hAnsi="仿宋_GB2312" w:eastAsia="仿宋_GB2312" w:cs="仿宋_GB2312"/>
          <w:kern w:val="2"/>
          <w:sz w:val="32"/>
          <w:szCs w:val="32"/>
          <w:lang w:val="en-US" w:eastAsia="zh-CN" w:bidi="ar-SA"/>
        </w:rPr>
        <w:t>有序实施一批超期服役道路、老旧排水设施的改造</w:t>
      </w:r>
      <w:r>
        <w:rPr>
          <w:rFonts w:hint="eastAsia" w:ascii="仿宋_GB2312" w:hAnsi="仿宋_GB2312" w:eastAsia="仿宋_GB2312" w:cs="仿宋_GB2312"/>
          <w:kern w:val="2"/>
          <w:sz w:val="32"/>
          <w:szCs w:val="32"/>
          <w:lang w:val="en-US" w:eastAsia="zh-CN" w:bidi="ar-SA"/>
        </w:rPr>
        <w:t>。在</w:t>
      </w:r>
      <w:r>
        <w:rPr>
          <w:rFonts w:hint="eastAsia" w:ascii="CESI仿宋-GB2312" w:hAnsi="CESI仿宋-GB2312" w:eastAsia="CESI仿宋-GB2312" w:cs="CESI仿宋-GB2312"/>
          <w:b w:val="0"/>
          <w:bCs w:val="0"/>
          <w:kern w:val="2"/>
          <w:sz w:val="32"/>
          <w:szCs w:val="32"/>
          <w:lang w:val="en-US" w:eastAsia="zh-CN" w:bidi="ar-SA"/>
        </w:rPr>
        <w:t>资金保障压力持续加大的情况下，进一步优化资源配置，</w:t>
      </w:r>
      <w:r>
        <w:rPr>
          <w:rFonts w:hint="eastAsia" w:ascii="仿宋_GB2312" w:hAnsi="仿宋_GB2312" w:eastAsia="仿宋_GB2312" w:cs="仿宋_GB2312"/>
          <w:kern w:val="2"/>
          <w:sz w:val="32"/>
          <w:szCs w:val="32"/>
          <w:lang w:val="en-US" w:eastAsia="zh-CN" w:bidi="ar-SA"/>
        </w:rPr>
        <w:t>提升预算资金使用效益。</w:t>
      </w:r>
    </w:p>
    <w:p w14:paraId="2B329E0C">
      <w:pPr>
        <w:keepNext w:val="0"/>
        <w:keepLines w:val="0"/>
        <w:pageBreakBefore w:val="0"/>
        <w:widowControl/>
        <w:kinsoku/>
        <w:wordWrap/>
        <w:overflowPunct/>
        <w:topLinePunct w:val="0"/>
        <w:autoSpaceDE/>
        <w:autoSpaceDN/>
        <w:bidi w:val="0"/>
        <w:adjustRightInd/>
        <w:snapToGrid/>
        <w:spacing w:line="580" w:lineRule="exact"/>
        <w:ind w:firstLine="643" w:firstLineChars="20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八、</w:t>
      </w:r>
      <w:r>
        <w:rPr>
          <w:rFonts w:hint="eastAsia" w:ascii="楷体_GB2312" w:hAnsi="楷体_GB2312" w:eastAsia="楷体_GB2312" w:cs="楷体_GB2312"/>
          <w:b/>
          <w:bCs/>
          <w:sz w:val="32"/>
          <w:szCs w:val="32"/>
        </w:rPr>
        <w:t>部门整体支出绩效自评结果拟应用</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公开</w:t>
      </w:r>
      <w:r>
        <w:rPr>
          <w:rFonts w:hint="eastAsia" w:ascii="楷体_GB2312" w:hAnsi="楷体_GB2312" w:eastAsia="楷体_GB2312" w:cs="楷体_GB2312"/>
          <w:b/>
          <w:bCs/>
          <w:sz w:val="32"/>
          <w:szCs w:val="32"/>
          <w:lang w:eastAsia="zh-CN"/>
        </w:rPr>
        <w:t>和</w:t>
      </w:r>
      <w:r>
        <w:rPr>
          <w:rFonts w:hint="eastAsia" w:ascii="楷体_GB2312" w:hAnsi="楷体_GB2312" w:eastAsia="楷体_GB2312" w:cs="楷体_GB2312"/>
          <w:b/>
          <w:bCs/>
          <w:sz w:val="32"/>
          <w:szCs w:val="32"/>
        </w:rPr>
        <w:t>其他需要说明的情况</w:t>
      </w:r>
    </w:p>
    <w:p w14:paraId="2B419E53">
      <w:pPr>
        <w:pStyle w:val="3"/>
        <w:keepNext w:val="0"/>
        <w:keepLines w:val="0"/>
        <w:pageBreakBefore w:val="0"/>
        <w:wordWrap/>
        <w:overflowPunct/>
        <w:topLinePunct w:val="0"/>
        <w:bidi w:val="0"/>
        <w:spacing w:line="580" w:lineRule="exact"/>
        <w:ind w:left="0"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部门整体支出绩效自评结果</w:t>
      </w:r>
      <w:r>
        <w:rPr>
          <w:rFonts w:hint="eastAsia" w:ascii="仿宋_GB2312" w:hAnsi="仿宋_GB2312" w:eastAsia="仿宋_GB2312" w:cs="仿宋_GB2312"/>
          <w:b w:val="0"/>
          <w:bCs w:val="0"/>
          <w:sz w:val="32"/>
          <w:szCs w:val="32"/>
          <w:lang w:val="en-US" w:eastAsia="zh-CN"/>
        </w:rPr>
        <w:t>将作为完善单位相关制度，改进资金管理的重要依据，同时，也将作为单位内部工作总结的参考依据。我单位的预算绩效目标、预算、决算及绩效评价等信息均按相关规定及时在市城管局门户网站进行了公开，</w:t>
      </w:r>
      <w:r>
        <w:rPr>
          <w:rFonts w:hint="eastAsia" w:ascii="仿宋_GB2312" w:hAnsi="仿宋_GB2312" w:eastAsia="仿宋_GB2312" w:cs="仿宋_GB2312"/>
          <w:kern w:val="0"/>
          <w:sz w:val="32"/>
          <w:szCs w:val="32"/>
        </w:rPr>
        <w:t>公开信息基础数据和会计信息资料准确、真实、完整</w:t>
      </w:r>
      <w:r>
        <w:rPr>
          <w:rFonts w:hint="eastAsia" w:ascii="仿宋_GB2312" w:hAnsi="仿宋_GB2312" w:eastAsia="仿宋_GB2312" w:cs="仿宋_GB2312"/>
          <w:kern w:val="0"/>
          <w:sz w:val="32"/>
          <w:szCs w:val="32"/>
          <w:lang w:eastAsia="zh-CN"/>
        </w:rPr>
        <w:t>，无</w:t>
      </w:r>
      <w:r>
        <w:rPr>
          <w:rFonts w:hint="eastAsia" w:ascii="仿宋_GB2312" w:hAnsi="仿宋_GB2312" w:eastAsia="仿宋_GB2312" w:cs="仿宋_GB2312"/>
          <w:sz w:val="32"/>
          <w:szCs w:val="32"/>
        </w:rPr>
        <w:t>其他需要说明的情况</w:t>
      </w:r>
      <w:r>
        <w:rPr>
          <w:rFonts w:hint="eastAsia" w:ascii="仿宋_GB2312" w:hAnsi="仿宋_GB2312" w:eastAsia="仿宋_GB2312" w:cs="仿宋_GB2312"/>
          <w:kern w:val="0"/>
          <w:sz w:val="32"/>
          <w:szCs w:val="32"/>
        </w:rPr>
        <w:t>。</w:t>
      </w:r>
    </w:p>
    <w:p w14:paraId="61983F78">
      <w:pPr>
        <w:keepNext w:val="0"/>
        <w:keepLines w:val="0"/>
        <w:pageBreakBefore w:val="0"/>
        <w:wordWrap/>
        <w:overflowPunct/>
        <w:topLinePunct w:val="0"/>
        <w:bidi w:val="0"/>
        <w:spacing w:after="120" w:afterLines="50" w:line="580" w:lineRule="exact"/>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 xml:space="preserve">  </w:t>
      </w:r>
    </w:p>
    <w:p w14:paraId="0C756704">
      <w:pPr>
        <w:keepNext w:val="0"/>
        <w:keepLines w:val="0"/>
        <w:pageBreakBefore w:val="0"/>
        <w:widowControl/>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部门整体支出绩效评价基础数据表</w:t>
      </w:r>
    </w:p>
    <w:p w14:paraId="6E8745FB">
      <w:pPr>
        <w:keepNext w:val="0"/>
        <w:keepLines w:val="0"/>
        <w:pageBreakBefore w:val="0"/>
        <w:widowControl/>
        <w:kinsoku/>
        <w:wordWrap/>
        <w:overflowPunct/>
        <w:topLinePunct w:val="0"/>
        <w:autoSpaceDE/>
        <w:autoSpaceDN/>
        <w:bidi w:val="0"/>
        <w:adjustRightInd/>
        <w:snapToGrid/>
        <w:spacing w:line="580" w:lineRule="exact"/>
        <w:ind w:firstLine="960" w:firstLineChars="3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部门整体支出绩效自评表</w:t>
      </w:r>
    </w:p>
    <w:p w14:paraId="1DD51F3F">
      <w:pPr>
        <w:pStyle w:val="2"/>
        <w:keepNext w:val="0"/>
        <w:keepLines w:val="0"/>
        <w:pageBreakBefore w:val="0"/>
        <w:wordWrap/>
        <w:overflowPunct/>
        <w:topLinePunct w:val="0"/>
        <w:bidi w:val="0"/>
        <w:spacing w:line="580" w:lineRule="exact"/>
        <w:rPr>
          <w:rFonts w:hint="eastAsia" w:ascii="仿宋_GB2312" w:hAnsi="仿宋_GB2312" w:eastAsia="仿宋_GB2312" w:cs="仿宋_GB2312"/>
          <w:sz w:val="32"/>
          <w:szCs w:val="32"/>
          <w:lang w:eastAsia="zh-CN"/>
        </w:rPr>
      </w:pPr>
    </w:p>
    <w:p w14:paraId="106C88DD">
      <w:pPr>
        <w:keepNext w:val="0"/>
        <w:keepLines w:val="0"/>
        <w:pageBreakBefore w:val="0"/>
        <w:wordWrap/>
        <w:overflowPunct/>
        <w:topLinePunct w:val="0"/>
        <w:bidi w:val="0"/>
        <w:spacing w:line="580" w:lineRule="exact"/>
        <w:rPr>
          <w:rFonts w:hint="eastAsia" w:ascii="仿宋_GB2312" w:hAnsi="仿宋_GB2312" w:eastAsia="仿宋_GB2312" w:cs="仿宋_GB2312"/>
          <w:sz w:val="32"/>
          <w:szCs w:val="32"/>
          <w:lang w:eastAsia="zh-CN"/>
        </w:rPr>
      </w:pPr>
    </w:p>
    <w:p w14:paraId="396039F4">
      <w:pPr>
        <w:pStyle w:val="2"/>
        <w:keepNext w:val="0"/>
        <w:keepLines w:val="0"/>
        <w:pageBreakBefore w:val="0"/>
        <w:wordWrap/>
        <w:overflowPunct/>
        <w:topLinePunct w:val="0"/>
        <w:bidi w:val="0"/>
        <w:spacing w:line="580" w:lineRule="exact"/>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 xml:space="preserve">                             岳阳市市政维护管理中心</w:t>
      </w:r>
    </w:p>
    <w:p w14:paraId="6167152C">
      <w:pPr>
        <w:keepNext w:val="0"/>
        <w:keepLines w:val="0"/>
        <w:pageBreakBefore w:val="0"/>
        <w:wordWrap/>
        <w:overflowPunct/>
        <w:topLinePunct w:val="0"/>
        <w:bidi w:val="0"/>
        <w:spacing w:after="120" w:afterLines="50" w:line="580" w:lineRule="exact"/>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2026年6月23日</w:t>
      </w:r>
    </w:p>
    <w:p w14:paraId="4160A91F">
      <w:pPr>
        <w:keepNext w:val="0"/>
        <w:keepLines w:val="0"/>
        <w:pageBreakBefore w:val="0"/>
        <w:wordWrap/>
        <w:overflowPunct/>
        <w:topLinePunct w:val="0"/>
        <w:bidi w:val="0"/>
        <w:spacing w:after="120" w:afterLines="50" w:line="560" w:lineRule="exact"/>
        <w:jc w:val="both"/>
        <w:rPr>
          <w:rFonts w:hint="eastAsia" w:ascii="黑体" w:hAnsi="黑体" w:eastAsia="黑体" w:cs="黑体"/>
          <w:sz w:val="32"/>
          <w:szCs w:val="32"/>
          <w:highlight w:val="none"/>
          <w:lang w:eastAsia="zh-CN"/>
        </w:rPr>
      </w:pPr>
    </w:p>
    <w:p w14:paraId="2BB74436">
      <w:pPr>
        <w:keepNext w:val="0"/>
        <w:keepLines w:val="0"/>
        <w:pageBreakBefore w:val="0"/>
        <w:wordWrap/>
        <w:overflowPunct/>
        <w:topLinePunct w:val="0"/>
        <w:bidi w:val="0"/>
        <w:spacing w:after="120" w:afterLines="50" w:line="560" w:lineRule="exact"/>
        <w:jc w:val="both"/>
        <w:rPr>
          <w:rFonts w:hint="eastAsia" w:ascii="黑体" w:hAnsi="黑体" w:eastAsia="黑体" w:cs="黑体"/>
          <w:sz w:val="32"/>
          <w:szCs w:val="32"/>
          <w:highlight w:val="none"/>
          <w:lang w:eastAsia="zh-CN"/>
        </w:rPr>
      </w:pPr>
    </w:p>
    <w:p w14:paraId="23A00D9F">
      <w:pPr>
        <w:pStyle w:val="2"/>
        <w:rPr>
          <w:rFonts w:hint="eastAsia"/>
          <w:lang w:eastAsia="zh-CN"/>
        </w:rPr>
      </w:pPr>
    </w:p>
    <w:p w14:paraId="0ECBA6C4">
      <w:pPr>
        <w:keepNext w:val="0"/>
        <w:keepLines w:val="0"/>
        <w:pageBreakBefore w:val="0"/>
        <w:wordWrap/>
        <w:overflowPunct/>
        <w:topLinePunct w:val="0"/>
        <w:bidi w:val="0"/>
        <w:spacing w:after="120" w:afterLines="50" w:line="560" w:lineRule="exact"/>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31BC0B5A">
      <w:pPr>
        <w:spacing w:after="120" w:afterLines="50" w:line="600" w:lineRule="exact"/>
        <w:jc w:val="center"/>
        <w:rPr>
          <w:rFonts w:hint="eastAsia" w:ascii="方正小标宋简体" w:hAnsi="方正小标宋简体" w:eastAsia="方正小标宋简体" w:cs="方正小标宋简体"/>
          <w:sz w:val="36"/>
          <w:szCs w:val="36"/>
          <w:highlight w:val="none"/>
        </w:rPr>
      </w:pPr>
      <w:r>
        <w:rPr>
          <w:rFonts w:hint="eastAsia" w:ascii="方正小标宋简体" w:hAnsi="方正小标宋简体" w:eastAsia="方正小标宋简体" w:cs="方正小标宋简体"/>
          <w:sz w:val="36"/>
          <w:szCs w:val="36"/>
          <w:highlight w:val="none"/>
        </w:rPr>
        <w:t>202</w:t>
      </w:r>
      <w:r>
        <w:rPr>
          <w:rFonts w:hint="eastAsia" w:ascii="方正小标宋简体" w:hAnsi="方正小标宋简体" w:eastAsia="方正小标宋简体" w:cs="方正小标宋简体"/>
          <w:sz w:val="36"/>
          <w:szCs w:val="36"/>
          <w:highlight w:val="none"/>
          <w:lang w:val="en-US" w:eastAsia="zh-CN"/>
        </w:rPr>
        <w:t>5</w:t>
      </w:r>
      <w:r>
        <w:rPr>
          <w:rFonts w:hint="eastAsia" w:ascii="方正小标宋简体" w:hAnsi="方正小标宋简体" w:eastAsia="方正小标宋简体" w:cs="方正小标宋简体"/>
          <w:sz w:val="36"/>
          <w:szCs w:val="36"/>
          <w:highlight w:val="none"/>
        </w:rPr>
        <w:t>年度部门整体支出绩效评价基础数据表</w:t>
      </w:r>
    </w:p>
    <w:p w14:paraId="30A98AC8">
      <w:pPr>
        <w:pStyle w:val="2"/>
        <w:rPr>
          <w:rFonts w:hint="eastAsia"/>
        </w:rPr>
      </w:pPr>
    </w:p>
    <w:tbl>
      <w:tblPr>
        <w:tblStyle w:val="10"/>
        <w:tblW w:w="96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1081"/>
        <w:gridCol w:w="960"/>
      </w:tblGrid>
      <w:tr w14:paraId="34AF0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354" w:type="dxa"/>
            <w:vMerge w:val="restart"/>
            <w:noWrap w:val="0"/>
            <w:vAlign w:val="center"/>
          </w:tcPr>
          <w:p w14:paraId="0358FFA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财政供养人员情况（人）</w:t>
            </w:r>
          </w:p>
        </w:tc>
        <w:tc>
          <w:tcPr>
            <w:tcW w:w="2038" w:type="dxa"/>
            <w:gridSpan w:val="2"/>
            <w:noWrap w:val="0"/>
            <w:vAlign w:val="center"/>
          </w:tcPr>
          <w:p w14:paraId="7DFF59D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编制数</w:t>
            </w:r>
          </w:p>
        </w:tc>
        <w:tc>
          <w:tcPr>
            <w:tcW w:w="2240" w:type="dxa"/>
            <w:gridSpan w:val="2"/>
            <w:noWrap w:val="0"/>
            <w:vAlign w:val="center"/>
          </w:tcPr>
          <w:p w14:paraId="76D3007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年实际在职人数</w:t>
            </w:r>
          </w:p>
        </w:tc>
        <w:tc>
          <w:tcPr>
            <w:tcW w:w="2041" w:type="dxa"/>
            <w:gridSpan w:val="2"/>
            <w:noWrap w:val="0"/>
            <w:vAlign w:val="center"/>
          </w:tcPr>
          <w:p w14:paraId="27DD942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控制率</w:t>
            </w:r>
          </w:p>
        </w:tc>
      </w:tr>
      <w:tr w14:paraId="64A44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3354" w:type="dxa"/>
            <w:vMerge w:val="continue"/>
            <w:noWrap w:val="0"/>
            <w:vAlign w:val="center"/>
          </w:tcPr>
          <w:p w14:paraId="249BA78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p>
        </w:tc>
        <w:tc>
          <w:tcPr>
            <w:tcW w:w="2038" w:type="dxa"/>
            <w:gridSpan w:val="2"/>
            <w:noWrap w:val="0"/>
            <w:vAlign w:val="center"/>
          </w:tcPr>
          <w:p w14:paraId="3086E5B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35</w:t>
            </w:r>
          </w:p>
        </w:tc>
        <w:tc>
          <w:tcPr>
            <w:tcW w:w="2240" w:type="dxa"/>
            <w:gridSpan w:val="2"/>
            <w:noWrap w:val="0"/>
            <w:vAlign w:val="center"/>
          </w:tcPr>
          <w:p w14:paraId="1BCAC7C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35</w:t>
            </w:r>
            <w:r>
              <w:rPr>
                <w:rFonts w:hint="eastAsia" w:ascii="仿宋_GB2312" w:hAnsi="仿宋_GB2312" w:eastAsia="仿宋_GB2312" w:cs="仿宋_GB2312"/>
                <w:sz w:val="20"/>
                <w:szCs w:val="20"/>
                <w:highlight w:val="none"/>
              </w:rPr>
              <w:t>　</w:t>
            </w:r>
          </w:p>
        </w:tc>
        <w:tc>
          <w:tcPr>
            <w:tcW w:w="2041" w:type="dxa"/>
            <w:gridSpan w:val="2"/>
            <w:noWrap w:val="0"/>
            <w:vAlign w:val="center"/>
          </w:tcPr>
          <w:p w14:paraId="35C3C33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100%</w:t>
            </w:r>
            <w:r>
              <w:rPr>
                <w:rFonts w:hint="eastAsia" w:ascii="仿宋_GB2312" w:hAnsi="仿宋_GB2312" w:eastAsia="仿宋_GB2312" w:cs="仿宋_GB2312"/>
                <w:sz w:val="20"/>
                <w:szCs w:val="20"/>
                <w:highlight w:val="none"/>
              </w:rPr>
              <w:t>　</w:t>
            </w:r>
          </w:p>
        </w:tc>
      </w:tr>
      <w:tr w14:paraId="012EC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3354" w:type="dxa"/>
            <w:noWrap w:val="0"/>
            <w:vAlign w:val="center"/>
          </w:tcPr>
          <w:p w14:paraId="501D3B4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经费控制情况（万元）</w:t>
            </w:r>
          </w:p>
        </w:tc>
        <w:tc>
          <w:tcPr>
            <w:tcW w:w="2038" w:type="dxa"/>
            <w:gridSpan w:val="2"/>
            <w:noWrap w:val="0"/>
            <w:vAlign w:val="center"/>
          </w:tcPr>
          <w:p w14:paraId="1EF9CB9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4</w:t>
            </w:r>
            <w:r>
              <w:rPr>
                <w:rFonts w:hint="eastAsia" w:ascii="仿宋_GB2312" w:hAnsi="仿宋_GB2312" w:eastAsia="仿宋_GB2312" w:cs="仿宋_GB2312"/>
                <w:b/>
                <w:bCs/>
                <w:sz w:val="20"/>
                <w:szCs w:val="20"/>
                <w:highlight w:val="none"/>
              </w:rPr>
              <w:t>年决算数</w:t>
            </w:r>
          </w:p>
        </w:tc>
        <w:tc>
          <w:tcPr>
            <w:tcW w:w="2240" w:type="dxa"/>
            <w:gridSpan w:val="2"/>
            <w:noWrap w:val="0"/>
            <w:vAlign w:val="center"/>
          </w:tcPr>
          <w:p w14:paraId="1B4B16B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年预算数</w:t>
            </w:r>
          </w:p>
        </w:tc>
        <w:tc>
          <w:tcPr>
            <w:tcW w:w="2041" w:type="dxa"/>
            <w:gridSpan w:val="2"/>
            <w:noWrap w:val="0"/>
            <w:vAlign w:val="center"/>
          </w:tcPr>
          <w:p w14:paraId="0ED0AF6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年决算数</w:t>
            </w:r>
          </w:p>
        </w:tc>
      </w:tr>
      <w:tr w14:paraId="20176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3354" w:type="dxa"/>
            <w:noWrap w:val="0"/>
            <w:vAlign w:val="center"/>
          </w:tcPr>
          <w:p w14:paraId="6248A93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三公经费</w:t>
            </w:r>
          </w:p>
        </w:tc>
        <w:tc>
          <w:tcPr>
            <w:tcW w:w="2038" w:type="dxa"/>
            <w:gridSpan w:val="2"/>
            <w:noWrap w:val="0"/>
            <w:vAlign w:val="center"/>
          </w:tcPr>
          <w:p w14:paraId="7BCB8B9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default" w:ascii="仿宋_GB2312" w:hAnsi="仿宋_GB2312" w:eastAsia="仿宋_GB2312" w:cs="仿宋_GB2312"/>
                <w:sz w:val="20"/>
                <w:szCs w:val="20"/>
                <w:highlight w:val="none"/>
                <w:lang w:val="en" w:eastAsia="zh-CN"/>
              </w:rPr>
              <w:t>74.07</w:t>
            </w:r>
          </w:p>
        </w:tc>
        <w:tc>
          <w:tcPr>
            <w:tcW w:w="2240" w:type="dxa"/>
            <w:gridSpan w:val="2"/>
            <w:noWrap w:val="0"/>
            <w:vAlign w:val="center"/>
          </w:tcPr>
          <w:p w14:paraId="304D33C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75.00</w:t>
            </w:r>
          </w:p>
        </w:tc>
        <w:tc>
          <w:tcPr>
            <w:tcW w:w="2041" w:type="dxa"/>
            <w:gridSpan w:val="2"/>
            <w:noWrap w:val="0"/>
            <w:vAlign w:val="center"/>
          </w:tcPr>
          <w:p w14:paraId="2945D65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74.06</w:t>
            </w:r>
          </w:p>
        </w:tc>
      </w:tr>
      <w:tr w14:paraId="712A7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3354" w:type="dxa"/>
            <w:noWrap w:val="0"/>
            <w:vAlign w:val="center"/>
          </w:tcPr>
          <w:p w14:paraId="06B3108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1、公务用车购置和维护经费</w:t>
            </w:r>
          </w:p>
        </w:tc>
        <w:tc>
          <w:tcPr>
            <w:tcW w:w="2038" w:type="dxa"/>
            <w:gridSpan w:val="2"/>
            <w:noWrap w:val="0"/>
            <w:vAlign w:val="center"/>
          </w:tcPr>
          <w:p w14:paraId="03BAC27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
              </w:rPr>
              <w:t>74.07</w:t>
            </w:r>
          </w:p>
        </w:tc>
        <w:tc>
          <w:tcPr>
            <w:tcW w:w="2240" w:type="dxa"/>
            <w:gridSpan w:val="2"/>
            <w:noWrap w:val="0"/>
            <w:vAlign w:val="center"/>
          </w:tcPr>
          <w:p w14:paraId="552BE22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75.00</w:t>
            </w:r>
          </w:p>
        </w:tc>
        <w:tc>
          <w:tcPr>
            <w:tcW w:w="2041" w:type="dxa"/>
            <w:gridSpan w:val="2"/>
            <w:noWrap w:val="0"/>
            <w:vAlign w:val="center"/>
          </w:tcPr>
          <w:p w14:paraId="018203A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74.06</w:t>
            </w:r>
          </w:p>
        </w:tc>
      </w:tr>
      <w:tr w14:paraId="21BF0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354" w:type="dxa"/>
            <w:noWrap w:val="0"/>
            <w:vAlign w:val="center"/>
          </w:tcPr>
          <w:p w14:paraId="0D43DA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其中：公车购置</w:t>
            </w:r>
          </w:p>
        </w:tc>
        <w:tc>
          <w:tcPr>
            <w:tcW w:w="2038" w:type="dxa"/>
            <w:gridSpan w:val="2"/>
            <w:noWrap w:val="0"/>
            <w:vAlign w:val="center"/>
          </w:tcPr>
          <w:p w14:paraId="418C82C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
              </w:rPr>
              <w:t>0</w:t>
            </w:r>
          </w:p>
        </w:tc>
        <w:tc>
          <w:tcPr>
            <w:tcW w:w="2240" w:type="dxa"/>
            <w:gridSpan w:val="2"/>
            <w:noWrap w:val="0"/>
            <w:vAlign w:val="center"/>
          </w:tcPr>
          <w:p w14:paraId="4E34B50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041" w:type="dxa"/>
            <w:gridSpan w:val="2"/>
            <w:noWrap w:val="0"/>
            <w:vAlign w:val="center"/>
          </w:tcPr>
          <w:p w14:paraId="69EB172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1A4F3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354" w:type="dxa"/>
            <w:noWrap w:val="0"/>
            <w:vAlign w:val="center"/>
          </w:tcPr>
          <w:p w14:paraId="5C19A99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公车运行维护</w:t>
            </w:r>
          </w:p>
        </w:tc>
        <w:tc>
          <w:tcPr>
            <w:tcW w:w="2038" w:type="dxa"/>
            <w:gridSpan w:val="2"/>
            <w:noWrap w:val="0"/>
            <w:vAlign w:val="center"/>
          </w:tcPr>
          <w:p w14:paraId="2F8764B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
              </w:rPr>
              <w:t>74.07</w:t>
            </w:r>
          </w:p>
        </w:tc>
        <w:tc>
          <w:tcPr>
            <w:tcW w:w="2240" w:type="dxa"/>
            <w:gridSpan w:val="2"/>
            <w:noWrap w:val="0"/>
            <w:vAlign w:val="center"/>
          </w:tcPr>
          <w:p w14:paraId="7B932DD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75.00</w:t>
            </w:r>
          </w:p>
        </w:tc>
        <w:tc>
          <w:tcPr>
            <w:tcW w:w="2041" w:type="dxa"/>
            <w:gridSpan w:val="2"/>
            <w:noWrap w:val="0"/>
            <w:vAlign w:val="center"/>
          </w:tcPr>
          <w:p w14:paraId="06EB6B4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74.06</w:t>
            </w:r>
          </w:p>
        </w:tc>
      </w:tr>
      <w:tr w14:paraId="33DA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3354" w:type="dxa"/>
            <w:noWrap w:val="0"/>
            <w:vAlign w:val="center"/>
          </w:tcPr>
          <w:p w14:paraId="7D00AB0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2、出国经费</w:t>
            </w:r>
          </w:p>
        </w:tc>
        <w:tc>
          <w:tcPr>
            <w:tcW w:w="2038" w:type="dxa"/>
            <w:gridSpan w:val="2"/>
            <w:noWrap w:val="0"/>
            <w:vAlign w:val="center"/>
          </w:tcPr>
          <w:p w14:paraId="2E671AD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default" w:ascii="仿宋_GB2312" w:hAnsi="仿宋_GB2312" w:eastAsia="仿宋_GB2312" w:cs="仿宋_GB2312"/>
                <w:sz w:val="20"/>
                <w:szCs w:val="20"/>
                <w:highlight w:val="none"/>
                <w:lang w:val="en"/>
              </w:rPr>
              <w:t>0</w:t>
            </w:r>
          </w:p>
        </w:tc>
        <w:tc>
          <w:tcPr>
            <w:tcW w:w="2240" w:type="dxa"/>
            <w:gridSpan w:val="2"/>
            <w:noWrap w:val="0"/>
            <w:vAlign w:val="center"/>
          </w:tcPr>
          <w:p w14:paraId="1B18392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041" w:type="dxa"/>
            <w:gridSpan w:val="2"/>
            <w:noWrap w:val="0"/>
            <w:vAlign w:val="center"/>
          </w:tcPr>
          <w:p w14:paraId="22B3017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78F68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354" w:type="dxa"/>
            <w:noWrap w:val="0"/>
            <w:vAlign w:val="center"/>
          </w:tcPr>
          <w:p w14:paraId="2D62139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3、公务接待</w:t>
            </w:r>
          </w:p>
        </w:tc>
        <w:tc>
          <w:tcPr>
            <w:tcW w:w="2038" w:type="dxa"/>
            <w:gridSpan w:val="2"/>
            <w:noWrap w:val="0"/>
            <w:vAlign w:val="center"/>
          </w:tcPr>
          <w:p w14:paraId="3BF3C54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default" w:ascii="仿宋_GB2312" w:hAnsi="仿宋_GB2312" w:eastAsia="仿宋_GB2312" w:cs="仿宋_GB2312"/>
                <w:sz w:val="20"/>
                <w:szCs w:val="20"/>
                <w:highlight w:val="none"/>
                <w:lang w:val="en" w:eastAsia="zh-CN"/>
              </w:rPr>
              <w:t>0</w:t>
            </w:r>
          </w:p>
        </w:tc>
        <w:tc>
          <w:tcPr>
            <w:tcW w:w="2240" w:type="dxa"/>
            <w:gridSpan w:val="2"/>
            <w:noWrap w:val="0"/>
            <w:vAlign w:val="center"/>
          </w:tcPr>
          <w:p w14:paraId="63C7097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041" w:type="dxa"/>
            <w:gridSpan w:val="2"/>
            <w:noWrap w:val="0"/>
            <w:vAlign w:val="center"/>
          </w:tcPr>
          <w:p w14:paraId="561E866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049BC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354" w:type="dxa"/>
            <w:noWrap w:val="0"/>
            <w:vAlign w:val="center"/>
          </w:tcPr>
          <w:p w14:paraId="277705C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项目支出：</w:t>
            </w:r>
          </w:p>
        </w:tc>
        <w:tc>
          <w:tcPr>
            <w:tcW w:w="2038" w:type="dxa"/>
            <w:gridSpan w:val="2"/>
            <w:noWrap w:val="0"/>
            <w:vAlign w:val="center"/>
          </w:tcPr>
          <w:p w14:paraId="10307DD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color w:val="auto"/>
                <w:sz w:val="20"/>
                <w:szCs w:val="20"/>
                <w:highlight w:val="none"/>
                <w:lang w:val="en"/>
              </w:rPr>
              <w:t>5014.14</w:t>
            </w:r>
          </w:p>
        </w:tc>
        <w:tc>
          <w:tcPr>
            <w:tcW w:w="2240" w:type="dxa"/>
            <w:gridSpan w:val="2"/>
            <w:noWrap w:val="0"/>
            <w:vAlign w:val="center"/>
          </w:tcPr>
          <w:p w14:paraId="3EEBB52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5793.58</w:t>
            </w:r>
          </w:p>
        </w:tc>
        <w:tc>
          <w:tcPr>
            <w:tcW w:w="2041" w:type="dxa"/>
            <w:gridSpan w:val="2"/>
            <w:noWrap w:val="0"/>
            <w:vAlign w:val="center"/>
          </w:tcPr>
          <w:p w14:paraId="513B29C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5782.90</w:t>
            </w:r>
          </w:p>
        </w:tc>
      </w:tr>
      <w:tr w14:paraId="08F5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4" w:type="dxa"/>
            <w:noWrap w:val="0"/>
            <w:vAlign w:val="center"/>
          </w:tcPr>
          <w:p w14:paraId="4D3F08F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1、业务工作经费</w:t>
            </w:r>
          </w:p>
        </w:tc>
        <w:tc>
          <w:tcPr>
            <w:tcW w:w="2038" w:type="dxa"/>
            <w:gridSpan w:val="2"/>
            <w:noWrap w:val="0"/>
            <w:vAlign w:val="center"/>
          </w:tcPr>
          <w:p w14:paraId="5135372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866.53</w:t>
            </w:r>
          </w:p>
        </w:tc>
        <w:tc>
          <w:tcPr>
            <w:tcW w:w="2240" w:type="dxa"/>
            <w:gridSpan w:val="2"/>
            <w:noWrap w:val="0"/>
            <w:vAlign w:val="center"/>
          </w:tcPr>
          <w:p w14:paraId="7B7A7CA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627.94</w:t>
            </w:r>
          </w:p>
        </w:tc>
        <w:tc>
          <w:tcPr>
            <w:tcW w:w="2041" w:type="dxa"/>
            <w:gridSpan w:val="2"/>
            <w:noWrap w:val="0"/>
            <w:vAlign w:val="center"/>
          </w:tcPr>
          <w:p w14:paraId="50B203E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627.94</w:t>
            </w:r>
          </w:p>
        </w:tc>
      </w:tr>
      <w:tr w14:paraId="4D77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4" w:type="dxa"/>
            <w:noWrap w:val="0"/>
            <w:vAlign w:val="center"/>
          </w:tcPr>
          <w:p w14:paraId="1614DF0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2、运行维护经费</w:t>
            </w:r>
          </w:p>
        </w:tc>
        <w:tc>
          <w:tcPr>
            <w:tcW w:w="2038" w:type="dxa"/>
            <w:gridSpan w:val="2"/>
            <w:noWrap w:val="0"/>
            <w:vAlign w:val="center"/>
          </w:tcPr>
          <w:p w14:paraId="67010B1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
              </w:rPr>
              <w:t>65.80</w:t>
            </w:r>
          </w:p>
        </w:tc>
        <w:tc>
          <w:tcPr>
            <w:tcW w:w="2240" w:type="dxa"/>
            <w:gridSpan w:val="2"/>
            <w:noWrap w:val="0"/>
            <w:vAlign w:val="center"/>
          </w:tcPr>
          <w:p w14:paraId="54BEA62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041" w:type="dxa"/>
            <w:gridSpan w:val="2"/>
            <w:noWrap w:val="0"/>
            <w:vAlign w:val="center"/>
          </w:tcPr>
          <w:p w14:paraId="6076683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71D6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354" w:type="dxa"/>
            <w:noWrap w:val="0"/>
            <w:vAlign w:val="center"/>
          </w:tcPr>
          <w:p w14:paraId="7657D32B">
            <w:pPr>
              <w:keepNext w:val="0"/>
              <w:keepLines w:val="0"/>
              <w:pageBreakBefore w:val="0"/>
              <w:widowControl/>
              <w:kinsoku/>
              <w:wordWrap/>
              <w:overflowPunct/>
              <w:topLinePunct w:val="0"/>
              <w:autoSpaceDE/>
              <w:autoSpaceDN/>
              <w:bidi w:val="0"/>
              <w:adjustRightInd/>
              <w:snapToGrid/>
              <w:spacing w:line="400" w:lineRule="exact"/>
              <w:ind w:firstLine="400" w:firstLineChars="200"/>
              <w:jc w:val="both"/>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市政机械设备维护维修费</w:t>
            </w:r>
          </w:p>
        </w:tc>
        <w:tc>
          <w:tcPr>
            <w:tcW w:w="2038" w:type="dxa"/>
            <w:gridSpan w:val="2"/>
            <w:noWrap w:val="0"/>
            <w:vAlign w:val="center"/>
          </w:tcPr>
          <w:p w14:paraId="1D86CC4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 w:eastAsia="zh-CN"/>
              </w:rPr>
              <w:t>65.80</w:t>
            </w:r>
          </w:p>
        </w:tc>
        <w:tc>
          <w:tcPr>
            <w:tcW w:w="2240" w:type="dxa"/>
            <w:gridSpan w:val="2"/>
            <w:noWrap w:val="0"/>
            <w:vAlign w:val="center"/>
          </w:tcPr>
          <w:p w14:paraId="597CB83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0</w:t>
            </w:r>
          </w:p>
        </w:tc>
        <w:tc>
          <w:tcPr>
            <w:tcW w:w="2041" w:type="dxa"/>
            <w:gridSpan w:val="2"/>
            <w:noWrap w:val="0"/>
            <w:vAlign w:val="center"/>
          </w:tcPr>
          <w:p w14:paraId="5DF6CBA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0</w:t>
            </w:r>
          </w:p>
        </w:tc>
      </w:tr>
      <w:tr w14:paraId="6B385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354" w:type="dxa"/>
            <w:noWrap w:val="0"/>
            <w:vAlign w:val="center"/>
          </w:tcPr>
          <w:p w14:paraId="06A7B917">
            <w:pPr>
              <w:keepNext w:val="0"/>
              <w:keepLines w:val="0"/>
              <w:pageBreakBefore w:val="0"/>
              <w:widowControl/>
              <w:kinsoku/>
              <w:wordWrap/>
              <w:overflowPunct/>
              <w:topLinePunct w:val="0"/>
              <w:autoSpaceDE/>
              <w:autoSpaceDN/>
              <w:bidi w:val="0"/>
              <w:adjustRightInd/>
              <w:snapToGrid/>
              <w:spacing w:line="40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3、</w:t>
            </w:r>
            <w:r>
              <w:rPr>
                <w:rFonts w:hint="eastAsia" w:ascii="仿宋_GB2312" w:hAnsi="仿宋_GB2312" w:eastAsia="仿宋_GB2312" w:cs="仿宋_GB2312"/>
                <w:sz w:val="20"/>
                <w:szCs w:val="20"/>
                <w:highlight w:val="none"/>
                <w:lang w:eastAsia="zh-CN"/>
              </w:rPr>
              <w:t>市级</w:t>
            </w:r>
            <w:r>
              <w:rPr>
                <w:rFonts w:hint="eastAsia" w:ascii="仿宋_GB2312" w:hAnsi="仿宋_GB2312" w:eastAsia="仿宋_GB2312" w:cs="仿宋_GB2312"/>
                <w:sz w:val="20"/>
                <w:szCs w:val="20"/>
                <w:highlight w:val="none"/>
              </w:rPr>
              <w:t>专项资金</w:t>
            </w:r>
          </w:p>
        </w:tc>
        <w:tc>
          <w:tcPr>
            <w:tcW w:w="2038" w:type="dxa"/>
            <w:gridSpan w:val="2"/>
            <w:noWrap w:val="0"/>
            <w:vAlign w:val="center"/>
          </w:tcPr>
          <w:p w14:paraId="4D22019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0"/>
                <w:szCs w:val="20"/>
                <w:highlight w:val="none"/>
              </w:rPr>
            </w:pPr>
            <w:r>
              <w:rPr>
                <w:rFonts w:hint="default" w:ascii="仿宋_GB2312" w:hAnsi="仿宋_GB2312" w:eastAsia="仿宋_GB2312" w:cs="仿宋_GB2312"/>
                <w:color w:val="auto"/>
                <w:sz w:val="20"/>
                <w:szCs w:val="20"/>
                <w:highlight w:val="none"/>
                <w:lang w:val="en"/>
              </w:rPr>
              <w:t>40</w:t>
            </w:r>
            <w:r>
              <w:rPr>
                <w:rFonts w:hint="eastAsia" w:ascii="仿宋_GB2312" w:hAnsi="仿宋_GB2312" w:eastAsia="仿宋_GB2312" w:cs="仿宋_GB2312"/>
                <w:color w:val="auto"/>
                <w:sz w:val="20"/>
                <w:szCs w:val="20"/>
                <w:highlight w:val="none"/>
                <w:lang w:val="en-US" w:eastAsia="zh-CN"/>
              </w:rPr>
              <w:t>81.81</w:t>
            </w:r>
          </w:p>
        </w:tc>
        <w:tc>
          <w:tcPr>
            <w:tcW w:w="2240" w:type="dxa"/>
            <w:gridSpan w:val="2"/>
            <w:noWrap w:val="0"/>
            <w:vAlign w:val="center"/>
          </w:tcPr>
          <w:p w14:paraId="3D80ADC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5165.64</w:t>
            </w:r>
          </w:p>
        </w:tc>
        <w:tc>
          <w:tcPr>
            <w:tcW w:w="2041" w:type="dxa"/>
            <w:gridSpan w:val="2"/>
            <w:noWrap w:val="0"/>
            <w:vAlign w:val="center"/>
          </w:tcPr>
          <w:p w14:paraId="439B24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5154.96</w:t>
            </w:r>
          </w:p>
        </w:tc>
      </w:tr>
      <w:tr w14:paraId="1009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61A61D47">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（1）</w:t>
            </w:r>
            <w:r>
              <w:rPr>
                <w:rFonts w:hint="eastAsia" w:ascii="仿宋_GB2312" w:hAnsi="仿宋_GB2312" w:eastAsia="仿宋_GB2312" w:cs="仿宋_GB2312"/>
                <w:sz w:val="20"/>
                <w:szCs w:val="20"/>
                <w:highlight w:val="none"/>
              </w:rPr>
              <w:t>市</w:t>
            </w:r>
            <w:r>
              <w:rPr>
                <w:rFonts w:hint="eastAsia" w:ascii="仿宋_GB2312" w:hAnsi="仿宋_GB2312" w:eastAsia="仿宋_GB2312" w:cs="仿宋_GB2312"/>
                <w:sz w:val="20"/>
                <w:szCs w:val="20"/>
                <w:highlight w:val="none"/>
                <w:lang w:eastAsia="zh-CN"/>
              </w:rPr>
              <w:t>政维护专项</w:t>
            </w:r>
            <w:r>
              <w:rPr>
                <w:rFonts w:hint="eastAsia" w:ascii="仿宋_GB2312" w:hAnsi="仿宋_GB2312" w:eastAsia="仿宋_GB2312" w:cs="仿宋_GB2312"/>
                <w:sz w:val="20"/>
                <w:szCs w:val="20"/>
                <w:highlight w:val="none"/>
              </w:rPr>
              <w:t>经费</w:t>
            </w:r>
            <w:r>
              <w:rPr>
                <w:rFonts w:hint="eastAsia" w:ascii="仿宋_GB2312" w:hAnsi="仿宋_GB2312" w:eastAsia="仿宋_GB2312" w:cs="仿宋_GB2312"/>
                <w:sz w:val="20"/>
                <w:szCs w:val="20"/>
                <w:highlight w:val="none"/>
                <w:lang w:eastAsia="zh-CN"/>
              </w:rPr>
              <w:t>（含日常工作经费）</w:t>
            </w:r>
          </w:p>
        </w:tc>
        <w:tc>
          <w:tcPr>
            <w:tcW w:w="2038" w:type="dxa"/>
            <w:gridSpan w:val="2"/>
            <w:noWrap w:val="0"/>
            <w:vAlign w:val="center"/>
          </w:tcPr>
          <w:p w14:paraId="5B505C7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 w:eastAsia="zh-CN"/>
              </w:rPr>
              <w:t>1890.46</w:t>
            </w:r>
          </w:p>
        </w:tc>
        <w:tc>
          <w:tcPr>
            <w:tcW w:w="2240" w:type="dxa"/>
            <w:gridSpan w:val="2"/>
            <w:noWrap w:val="0"/>
            <w:vAlign w:val="center"/>
          </w:tcPr>
          <w:p w14:paraId="42E7333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2631.50</w:t>
            </w:r>
          </w:p>
        </w:tc>
        <w:tc>
          <w:tcPr>
            <w:tcW w:w="2041" w:type="dxa"/>
            <w:gridSpan w:val="2"/>
            <w:noWrap w:val="0"/>
            <w:vAlign w:val="center"/>
          </w:tcPr>
          <w:p w14:paraId="4377C52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2631.50</w:t>
            </w:r>
          </w:p>
        </w:tc>
      </w:tr>
      <w:tr w14:paraId="05217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354" w:type="dxa"/>
            <w:noWrap w:val="0"/>
            <w:vAlign w:val="center"/>
          </w:tcPr>
          <w:p w14:paraId="136191F1">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（2）</w:t>
            </w:r>
            <w:r>
              <w:rPr>
                <w:rFonts w:hint="eastAsia" w:ascii="仿宋_GB2312" w:hAnsi="仿宋_GB2312" w:eastAsia="仿宋_GB2312" w:cs="仿宋_GB2312"/>
                <w:sz w:val="20"/>
                <w:szCs w:val="20"/>
                <w:highlight w:val="none"/>
              </w:rPr>
              <w:t>泵站运行</w:t>
            </w:r>
            <w:r>
              <w:rPr>
                <w:rFonts w:hint="eastAsia" w:ascii="仿宋_GB2312" w:hAnsi="仿宋_GB2312" w:eastAsia="仿宋_GB2312" w:cs="仿宋_GB2312"/>
                <w:sz w:val="20"/>
                <w:szCs w:val="20"/>
                <w:highlight w:val="none"/>
                <w:lang w:eastAsia="zh-CN"/>
              </w:rPr>
              <w:t>费</w:t>
            </w:r>
            <w:r>
              <w:rPr>
                <w:rFonts w:hint="eastAsia" w:ascii="仿宋_GB2312" w:hAnsi="仿宋_GB2312" w:eastAsia="仿宋_GB2312" w:cs="仿宋_GB2312"/>
                <w:sz w:val="20"/>
                <w:szCs w:val="20"/>
                <w:highlight w:val="none"/>
              </w:rPr>
              <w:t>及电费</w:t>
            </w:r>
            <w:r>
              <w:rPr>
                <w:rFonts w:hint="eastAsia" w:ascii="仿宋_GB2312" w:hAnsi="仿宋_GB2312" w:eastAsia="仿宋_GB2312" w:cs="仿宋_GB2312"/>
                <w:sz w:val="20"/>
                <w:szCs w:val="20"/>
                <w:highlight w:val="none"/>
                <w:lang w:eastAsia="zh-CN"/>
              </w:rPr>
              <w:t>（</w:t>
            </w:r>
            <w:r>
              <w:rPr>
                <w:rFonts w:hint="eastAsia" w:ascii="仿宋_GB2312" w:hAnsi="仿宋_GB2312" w:eastAsia="仿宋_GB2312" w:cs="仿宋_GB2312"/>
                <w:sz w:val="20"/>
                <w:szCs w:val="20"/>
                <w:highlight w:val="none"/>
                <w:lang w:val="en-US" w:eastAsia="zh-CN"/>
              </w:rPr>
              <w:t>含</w:t>
            </w:r>
            <w:r>
              <w:rPr>
                <w:rFonts w:hint="eastAsia" w:ascii="仿宋_GB2312" w:hAnsi="仿宋_GB2312" w:eastAsia="仿宋_GB2312" w:cs="仿宋_GB2312"/>
                <w:sz w:val="20"/>
                <w:szCs w:val="20"/>
                <w:highlight w:val="none"/>
              </w:rPr>
              <w:t>城东南路泵站</w:t>
            </w:r>
            <w:r>
              <w:rPr>
                <w:rFonts w:hint="eastAsia" w:ascii="仿宋_GB2312" w:hAnsi="仿宋_GB2312" w:eastAsia="仿宋_GB2312" w:cs="仿宋_GB2312"/>
                <w:sz w:val="20"/>
                <w:szCs w:val="20"/>
                <w:highlight w:val="none"/>
                <w:lang w:eastAsia="zh-CN"/>
              </w:rPr>
              <w:t>）</w:t>
            </w:r>
          </w:p>
        </w:tc>
        <w:tc>
          <w:tcPr>
            <w:tcW w:w="2038" w:type="dxa"/>
            <w:gridSpan w:val="2"/>
            <w:noWrap w:val="0"/>
            <w:vAlign w:val="center"/>
          </w:tcPr>
          <w:p w14:paraId="4AE1CDA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1111.07</w:t>
            </w:r>
          </w:p>
        </w:tc>
        <w:tc>
          <w:tcPr>
            <w:tcW w:w="2240" w:type="dxa"/>
            <w:gridSpan w:val="2"/>
            <w:noWrap w:val="0"/>
            <w:vAlign w:val="center"/>
          </w:tcPr>
          <w:p w14:paraId="4A1DDC7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1240.00</w:t>
            </w:r>
          </w:p>
        </w:tc>
        <w:tc>
          <w:tcPr>
            <w:tcW w:w="2041" w:type="dxa"/>
            <w:gridSpan w:val="2"/>
            <w:noWrap w:val="0"/>
            <w:vAlign w:val="center"/>
          </w:tcPr>
          <w:p w14:paraId="5DC9DDD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1240.00</w:t>
            </w:r>
          </w:p>
        </w:tc>
      </w:tr>
      <w:tr w14:paraId="3FC8D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3354" w:type="dxa"/>
            <w:shd w:val="clear" w:color="auto" w:fill="auto"/>
            <w:noWrap w:val="0"/>
            <w:vAlign w:val="center"/>
          </w:tcPr>
          <w:p w14:paraId="175824F6">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（3）</w:t>
            </w:r>
            <w:r>
              <w:rPr>
                <w:rFonts w:hint="eastAsia" w:ascii="仿宋_GB2312" w:hAnsi="仿宋_GB2312" w:eastAsia="仿宋_GB2312" w:cs="仿宋_GB2312"/>
                <w:sz w:val="20"/>
                <w:szCs w:val="20"/>
                <w:highlight w:val="none"/>
              </w:rPr>
              <w:t>原市政建设总公司改制经费</w:t>
            </w:r>
          </w:p>
        </w:tc>
        <w:tc>
          <w:tcPr>
            <w:tcW w:w="2038" w:type="dxa"/>
            <w:gridSpan w:val="2"/>
            <w:shd w:val="clear" w:color="auto" w:fill="auto"/>
            <w:noWrap w:val="0"/>
            <w:vAlign w:val="center"/>
          </w:tcPr>
          <w:p w14:paraId="799220A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0"/>
                <w:sz w:val="20"/>
                <w:szCs w:val="20"/>
                <w:highlight w:val="none"/>
                <w:lang w:val="en" w:eastAsia="zh-CN" w:bidi="ar-SA"/>
              </w:rPr>
            </w:pPr>
            <w:r>
              <w:rPr>
                <w:rFonts w:hint="default" w:ascii="仿宋_GB2312" w:hAnsi="仿宋_GB2312" w:eastAsia="仿宋_GB2312" w:cs="仿宋_GB2312"/>
                <w:color w:val="auto"/>
                <w:sz w:val="20"/>
                <w:szCs w:val="20"/>
                <w:highlight w:val="none"/>
                <w:lang w:val="en" w:eastAsia="zh-CN"/>
              </w:rPr>
              <w:t>118.83</w:t>
            </w:r>
          </w:p>
        </w:tc>
        <w:tc>
          <w:tcPr>
            <w:tcW w:w="2240" w:type="dxa"/>
            <w:gridSpan w:val="2"/>
            <w:shd w:val="clear" w:color="auto" w:fill="auto"/>
            <w:noWrap w:val="0"/>
            <w:vAlign w:val="center"/>
          </w:tcPr>
          <w:p w14:paraId="7FAF6A5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260.07</w:t>
            </w:r>
          </w:p>
        </w:tc>
        <w:tc>
          <w:tcPr>
            <w:tcW w:w="2041" w:type="dxa"/>
            <w:gridSpan w:val="2"/>
            <w:shd w:val="clear" w:color="auto" w:fill="auto"/>
            <w:noWrap w:val="0"/>
            <w:vAlign w:val="center"/>
          </w:tcPr>
          <w:p w14:paraId="3522B0E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sz w:val="20"/>
                <w:szCs w:val="20"/>
                <w:highlight w:val="none"/>
                <w:lang w:val="en-US" w:eastAsia="zh-CN"/>
              </w:rPr>
              <w:t>259.90</w:t>
            </w:r>
          </w:p>
        </w:tc>
      </w:tr>
      <w:tr w14:paraId="031C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3354" w:type="dxa"/>
            <w:shd w:val="clear" w:color="auto" w:fill="auto"/>
            <w:noWrap w:val="0"/>
            <w:vAlign w:val="center"/>
          </w:tcPr>
          <w:p w14:paraId="22AF3B7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eastAsia="zh-CN"/>
              </w:rPr>
              <w:t>（</w:t>
            </w:r>
            <w:r>
              <w:rPr>
                <w:rFonts w:hint="eastAsia" w:ascii="仿宋_GB2312" w:hAnsi="仿宋_GB2312" w:eastAsia="仿宋_GB2312" w:cs="仿宋_GB2312"/>
                <w:sz w:val="20"/>
                <w:szCs w:val="20"/>
                <w:highlight w:val="none"/>
                <w:lang w:val="en-US" w:eastAsia="zh-CN"/>
              </w:rPr>
              <w:t>4</w:t>
            </w:r>
            <w:r>
              <w:rPr>
                <w:rFonts w:hint="eastAsia" w:ascii="仿宋_GB2312" w:hAnsi="仿宋_GB2312" w:eastAsia="仿宋_GB2312" w:cs="仿宋_GB2312"/>
                <w:sz w:val="20"/>
                <w:szCs w:val="20"/>
                <w:highlight w:val="none"/>
                <w:lang w:eastAsia="zh-CN"/>
              </w:rPr>
              <w:t>）</w:t>
            </w:r>
            <w:r>
              <w:rPr>
                <w:rFonts w:hint="eastAsia" w:ascii="仿宋_GB2312" w:hAnsi="仿宋_GB2312" w:eastAsia="仿宋_GB2312" w:cs="仿宋_GB2312"/>
                <w:sz w:val="20"/>
                <w:szCs w:val="20"/>
                <w:highlight w:val="none"/>
                <w:lang w:val="en-US" w:eastAsia="zh-CN"/>
              </w:rPr>
              <w:t>旅发大会桥梁隧道涂装翻新项目</w:t>
            </w:r>
          </w:p>
        </w:tc>
        <w:tc>
          <w:tcPr>
            <w:tcW w:w="2038" w:type="dxa"/>
            <w:gridSpan w:val="2"/>
            <w:shd w:val="clear" w:color="auto" w:fill="auto"/>
            <w:noWrap w:val="0"/>
            <w:vAlign w:val="center"/>
          </w:tcPr>
          <w:p w14:paraId="16CC8E7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0"/>
                <w:sz w:val="20"/>
                <w:szCs w:val="20"/>
                <w:highlight w:val="none"/>
                <w:lang w:val="en" w:eastAsia="zh-CN" w:bidi="ar-SA"/>
              </w:rPr>
            </w:pPr>
            <w:r>
              <w:rPr>
                <w:rFonts w:hint="eastAsia" w:ascii="仿宋_GB2312" w:hAnsi="仿宋_GB2312" w:eastAsia="仿宋_GB2312" w:cs="仿宋_GB2312"/>
                <w:color w:val="auto"/>
                <w:sz w:val="20"/>
                <w:szCs w:val="20"/>
                <w:highlight w:val="none"/>
                <w:lang w:val="en-US" w:eastAsia="zh-CN"/>
              </w:rPr>
              <w:t>0</w:t>
            </w:r>
          </w:p>
        </w:tc>
        <w:tc>
          <w:tcPr>
            <w:tcW w:w="2240" w:type="dxa"/>
            <w:gridSpan w:val="2"/>
            <w:shd w:val="clear" w:color="auto" w:fill="auto"/>
            <w:noWrap w:val="0"/>
            <w:vAlign w:val="center"/>
          </w:tcPr>
          <w:p w14:paraId="27162A7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267.45</w:t>
            </w:r>
          </w:p>
        </w:tc>
        <w:tc>
          <w:tcPr>
            <w:tcW w:w="2041" w:type="dxa"/>
            <w:gridSpan w:val="2"/>
            <w:shd w:val="clear" w:color="auto" w:fill="auto"/>
            <w:noWrap w:val="0"/>
            <w:vAlign w:val="center"/>
          </w:tcPr>
          <w:p w14:paraId="329B0AE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sz w:val="20"/>
                <w:szCs w:val="20"/>
                <w:highlight w:val="none"/>
                <w:lang w:val="en-US" w:eastAsia="zh-CN"/>
              </w:rPr>
              <w:t>256.94</w:t>
            </w:r>
          </w:p>
        </w:tc>
      </w:tr>
      <w:tr w14:paraId="61A2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3354" w:type="dxa"/>
            <w:shd w:val="clear" w:color="auto" w:fill="auto"/>
            <w:noWrap w:val="0"/>
            <w:vAlign w:val="center"/>
          </w:tcPr>
          <w:p w14:paraId="36A3373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（5）巴陵石化公司老厂区原泵站维修改造项目</w:t>
            </w:r>
          </w:p>
        </w:tc>
        <w:tc>
          <w:tcPr>
            <w:tcW w:w="2038" w:type="dxa"/>
            <w:gridSpan w:val="2"/>
            <w:shd w:val="clear" w:color="auto" w:fill="auto"/>
            <w:noWrap w:val="0"/>
            <w:vAlign w:val="center"/>
          </w:tcPr>
          <w:p w14:paraId="495B008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0"/>
                <w:sz w:val="20"/>
                <w:szCs w:val="20"/>
                <w:highlight w:val="none"/>
                <w:lang w:val="en" w:eastAsia="zh-CN" w:bidi="ar-SA"/>
              </w:rPr>
            </w:pPr>
            <w:r>
              <w:rPr>
                <w:rFonts w:hint="eastAsia" w:ascii="仿宋_GB2312" w:hAnsi="仿宋_GB2312" w:eastAsia="仿宋_GB2312" w:cs="仿宋_GB2312"/>
                <w:color w:val="auto"/>
                <w:sz w:val="20"/>
                <w:szCs w:val="20"/>
                <w:highlight w:val="none"/>
                <w:lang w:val="en-US" w:eastAsia="zh-CN"/>
              </w:rPr>
              <w:t>0</w:t>
            </w:r>
          </w:p>
        </w:tc>
        <w:tc>
          <w:tcPr>
            <w:tcW w:w="2240" w:type="dxa"/>
            <w:gridSpan w:val="2"/>
            <w:shd w:val="clear" w:color="auto" w:fill="auto"/>
            <w:noWrap w:val="0"/>
            <w:vAlign w:val="center"/>
          </w:tcPr>
          <w:p w14:paraId="300884A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455.31</w:t>
            </w:r>
          </w:p>
        </w:tc>
        <w:tc>
          <w:tcPr>
            <w:tcW w:w="2041" w:type="dxa"/>
            <w:gridSpan w:val="2"/>
            <w:shd w:val="clear" w:color="auto" w:fill="auto"/>
            <w:noWrap w:val="0"/>
            <w:vAlign w:val="center"/>
          </w:tcPr>
          <w:p w14:paraId="4170D35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sz w:val="20"/>
                <w:szCs w:val="20"/>
                <w:highlight w:val="none"/>
                <w:lang w:val="en-US" w:eastAsia="zh-CN"/>
              </w:rPr>
              <w:t>455.31</w:t>
            </w:r>
          </w:p>
        </w:tc>
      </w:tr>
      <w:tr w14:paraId="44CD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3354" w:type="dxa"/>
            <w:shd w:val="clear" w:color="auto" w:fill="auto"/>
            <w:noWrap w:val="0"/>
            <w:vAlign w:val="center"/>
          </w:tcPr>
          <w:p w14:paraId="345B0E1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（6）青年堤等四条城市排水主涵清淤项目</w:t>
            </w:r>
          </w:p>
        </w:tc>
        <w:tc>
          <w:tcPr>
            <w:tcW w:w="2038" w:type="dxa"/>
            <w:gridSpan w:val="2"/>
            <w:shd w:val="clear" w:color="auto" w:fill="auto"/>
            <w:noWrap w:val="0"/>
            <w:vAlign w:val="center"/>
          </w:tcPr>
          <w:p w14:paraId="2A9FB96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0"/>
                <w:sz w:val="20"/>
                <w:szCs w:val="20"/>
                <w:highlight w:val="none"/>
                <w:lang w:val="en" w:eastAsia="zh-CN" w:bidi="ar-SA"/>
              </w:rPr>
            </w:pPr>
            <w:r>
              <w:rPr>
                <w:rFonts w:hint="eastAsia" w:ascii="仿宋_GB2312" w:hAnsi="仿宋_GB2312" w:eastAsia="仿宋_GB2312" w:cs="仿宋_GB2312"/>
                <w:color w:val="auto"/>
                <w:sz w:val="20"/>
                <w:szCs w:val="20"/>
                <w:highlight w:val="none"/>
                <w:lang w:val="en-US" w:eastAsia="zh-CN"/>
              </w:rPr>
              <w:t>0</w:t>
            </w:r>
          </w:p>
        </w:tc>
        <w:tc>
          <w:tcPr>
            <w:tcW w:w="2240" w:type="dxa"/>
            <w:gridSpan w:val="2"/>
            <w:shd w:val="clear" w:color="auto" w:fill="auto"/>
            <w:noWrap w:val="0"/>
            <w:vAlign w:val="center"/>
          </w:tcPr>
          <w:p w14:paraId="34272E0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299.33</w:t>
            </w:r>
          </w:p>
        </w:tc>
        <w:tc>
          <w:tcPr>
            <w:tcW w:w="2041" w:type="dxa"/>
            <w:gridSpan w:val="2"/>
            <w:shd w:val="clear" w:color="auto" w:fill="auto"/>
            <w:noWrap w:val="0"/>
            <w:vAlign w:val="center"/>
          </w:tcPr>
          <w:p w14:paraId="3A0686B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sz w:val="20"/>
                <w:szCs w:val="20"/>
                <w:highlight w:val="none"/>
                <w:lang w:val="en-US" w:eastAsia="zh-CN"/>
              </w:rPr>
              <w:t>299.33</w:t>
            </w:r>
          </w:p>
        </w:tc>
      </w:tr>
      <w:tr w14:paraId="30A8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3354" w:type="dxa"/>
            <w:noWrap w:val="0"/>
            <w:vAlign w:val="center"/>
          </w:tcPr>
          <w:p w14:paraId="0AC57089">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（7）非税执收经费</w:t>
            </w:r>
          </w:p>
        </w:tc>
        <w:tc>
          <w:tcPr>
            <w:tcW w:w="2038" w:type="dxa"/>
            <w:gridSpan w:val="2"/>
            <w:noWrap w:val="0"/>
            <w:vAlign w:val="center"/>
          </w:tcPr>
          <w:p w14:paraId="57BDDC5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0</w:t>
            </w:r>
          </w:p>
        </w:tc>
        <w:tc>
          <w:tcPr>
            <w:tcW w:w="2240" w:type="dxa"/>
            <w:gridSpan w:val="2"/>
            <w:noWrap w:val="0"/>
            <w:vAlign w:val="center"/>
          </w:tcPr>
          <w:p w14:paraId="5B743C3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11.98</w:t>
            </w:r>
          </w:p>
        </w:tc>
        <w:tc>
          <w:tcPr>
            <w:tcW w:w="2041" w:type="dxa"/>
            <w:gridSpan w:val="2"/>
            <w:noWrap w:val="0"/>
            <w:vAlign w:val="center"/>
          </w:tcPr>
          <w:p w14:paraId="0E55EF8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11.98</w:t>
            </w:r>
          </w:p>
        </w:tc>
      </w:tr>
      <w:tr w14:paraId="4961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3354" w:type="dxa"/>
            <w:noWrap w:val="0"/>
            <w:vAlign w:val="center"/>
          </w:tcPr>
          <w:p w14:paraId="4BBFA7B8">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（8）</w:t>
            </w:r>
            <w:r>
              <w:rPr>
                <w:rFonts w:hint="eastAsia" w:ascii="仿宋_GB2312" w:hAnsi="仿宋_GB2312" w:eastAsia="仿宋_GB2312" w:cs="仿宋_GB2312"/>
                <w:sz w:val="20"/>
                <w:szCs w:val="20"/>
                <w:highlight w:val="none"/>
              </w:rPr>
              <w:t>城市管理应急机动经费</w:t>
            </w:r>
          </w:p>
        </w:tc>
        <w:tc>
          <w:tcPr>
            <w:tcW w:w="2038" w:type="dxa"/>
            <w:gridSpan w:val="2"/>
            <w:noWrap w:val="0"/>
            <w:vAlign w:val="center"/>
          </w:tcPr>
          <w:p w14:paraId="2B0C0C3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0"/>
                <w:szCs w:val="20"/>
                <w:highlight w:val="none"/>
                <w:lang w:val="en-US" w:eastAsia="zh-CN" w:bidi="ar-SA"/>
              </w:rPr>
            </w:pPr>
            <w:r>
              <w:rPr>
                <w:rFonts w:hint="default" w:ascii="仿宋_GB2312" w:hAnsi="仿宋_GB2312" w:eastAsia="仿宋_GB2312" w:cs="仿宋_GB2312"/>
                <w:color w:val="auto"/>
                <w:kern w:val="0"/>
                <w:sz w:val="20"/>
                <w:szCs w:val="20"/>
                <w:highlight w:val="none"/>
                <w:lang w:val="en" w:eastAsia="zh-CN" w:bidi="ar-SA"/>
              </w:rPr>
              <w:t>3</w:t>
            </w:r>
            <w:r>
              <w:rPr>
                <w:rFonts w:hint="eastAsia" w:ascii="仿宋_GB2312" w:hAnsi="仿宋_GB2312" w:eastAsia="仿宋_GB2312" w:cs="仿宋_GB2312"/>
                <w:color w:val="auto"/>
                <w:kern w:val="0"/>
                <w:sz w:val="20"/>
                <w:szCs w:val="20"/>
                <w:highlight w:val="none"/>
                <w:lang w:val="en-US" w:eastAsia="zh-CN" w:bidi="ar-SA"/>
              </w:rPr>
              <w:t>36.61</w:t>
            </w:r>
          </w:p>
        </w:tc>
        <w:tc>
          <w:tcPr>
            <w:tcW w:w="2240" w:type="dxa"/>
            <w:gridSpan w:val="2"/>
            <w:noWrap w:val="0"/>
            <w:vAlign w:val="center"/>
          </w:tcPr>
          <w:p w14:paraId="2BA900B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0</w:t>
            </w:r>
          </w:p>
        </w:tc>
        <w:tc>
          <w:tcPr>
            <w:tcW w:w="2041" w:type="dxa"/>
            <w:gridSpan w:val="2"/>
            <w:noWrap w:val="0"/>
            <w:vAlign w:val="center"/>
          </w:tcPr>
          <w:p w14:paraId="14ADA7C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0</w:t>
            </w:r>
          </w:p>
        </w:tc>
      </w:tr>
      <w:tr w14:paraId="30EB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4" w:type="dxa"/>
            <w:noWrap w:val="0"/>
            <w:vAlign w:val="center"/>
          </w:tcPr>
          <w:p w14:paraId="32E37F17">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0"/>
                <w:szCs w:val="20"/>
                <w:highlight w:val="none"/>
                <w:lang w:val="en"/>
              </w:rPr>
            </w:pPr>
            <w:r>
              <w:rPr>
                <w:rFonts w:hint="eastAsia" w:ascii="仿宋_GB2312" w:hAnsi="仿宋_GB2312" w:eastAsia="仿宋_GB2312" w:cs="仿宋_GB2312"/>
                <w:sz w:val="20"/>
                <w:szCs w:val="20"/>
                <w:highlight w:val="none"/>
                <w:lang w:val="en-US" w:eastAsia="zh-CN"/>
              </w:rPr>
              <w:t>（9）</w:t>
            </w:r>
            <w:r>
              <w:rPr>
                <w:rFonts w:hint="eastAsia" w:ascii="仿宋_GB2312" w:hAnsi="仿宋_GB2312" w:eastAsia="仿宋_GB2312" w:cs="仿宋_GB2312"/>
                <w:sz w:val="20"/>
                <w:szCs w:val="20"/>
                <w:highlight w:val="none"/>
              </w:rPr>
              <w:t>城建项目经费</w:t>
            </w:r>
          </w:p>
        </w:tc>
        <w:tc>
          <w:tcPr>
            <w:tcW w:w="2038" w:type="dxa"/>
            <w:gridSpan w:val="2"/>
            <w:noWrap w:val="0"/>
            <w:vAlign w:val="center"/>
          </w:tcPr>
          <w:p w14:paraId="68F2E5F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 w:eastAsia="zh-CN"/>
              </w:rPr>
              <w:t>624.84</w:t>
            </w:r>
          </w:p>
        </w:tc>
        <w:tc>
          <w:tcPr>
            <w:tcW w:w="2240" w:type="dxa"/>
            <w:gridSpan w:val="2"/>
            <w:noWrap w:val="0"/>
            <w:vAlign w:val="center"/>
          </w:tcPr>
          <w:p w14:paraId="1A9C115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0</w:t>
            </w:r>
          </w:p>
        </w:tc>
        <w:tc>
          <w:tcPr>
            <w:tcW w:w="2041" w:type="dxa"/>
            <w:gridSpan w:val="2"/>
            <w:noWrap w:val="0"/>
            <w:vAlign w:val="center"/>
          </w:tcPr>
          <w:p w14:paraId="04D7AAE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0</w:t>
            </w:r>
          </w:p>
        </w:tc>
      </w:tr>
      <w:tr w14:paraId="2644B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3354" w:type="dxa"/>
            <w:noWrap w:val="0"/>
            <w:vAlign w:val="center"/>
          </w:tcPr>
          <w:p w14:paraId="0086FDC4">
            <w:pPr>
              <w:keepNext w:val="0"/>
              <w:keepLines w:val="0"/>
              <w:pageBreakBefore w:val="0"/>
              <w:widowControl/>
              <w:kinsoku/>
              <w:wordWrap/>
              <w:overflowPunct/>
              <w:topLinePunct w:val="0"/>
              <w:autoSpaceDE/>
              <w:autoSpaceDN/>
              <w:bidi w:val="0"/>
              <w:adjustRightInd/>
              <w:snapToGrid/>
              <w:spacing w:line="40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公用经费</w:t>
            </w:r>
          </w:p>
        </w:tc>
        <w:tc>
          <w:tcPr>
            <w:tcW w:w="2038" w:type="dxa"/>
            <w:gridSpan w:val="2"/>
            <w:noWrap w:val="0"/>
            <w:vAlign w:val="center"/>
          </w:tcPr>
          <w:p w14:paraId="045B6A5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0"/>
                <w:szCs w:val="20"/>
                <w:highlight w:val="none"/>
              </w:rPr>
            </w:pPr>
            <w:r>
              <w:rPr>
                <w:rFonts w:hint="default" w:ascii="仿宋_GB2312" w:hAnsi="仿宋_GB2312" w:eastAsia="仿宋_GB2312" w:cs="仿宋_GB2312"/>
                <w:color w:val="auto"/>
                <w:sz w:val="20"/>
                <w:szCs w:val="20"/>
                <w:highlight w:val="none"/>
                <w:lang w:val="en"/>
              </w:rPr>
              <w:t>116.90</w:t>
            </w:r>
          </w:p>
        </w:tc>
        <w:tc>
          <w:tcPr>
            <w:tcW w:w="2240" w:type="dxa"/>
            <w:gridSpan w:val="2"/>
            <w:noWrap w:val="0"/>
            <w:vAlign w:val="center"/>
          </w:tcPr>
          <w:p w14:paraId="3C4E3CF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178.94</w:t>
            </w:r>
          </w:p>
        </w:tc>
        <w:tc>
          <w:tcPr>
            <w:tcW w:w="2041" w:type="dxa"/>
            <w:gridSpan w:val="2"/>
            <w:noWrap w:val="0"/>
            <w:vAlign w:val="center"/>
          </w:tcPr>
          <w:p w14:paraId="6740996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178.00</w:t>
            </w:r>
          </w:p>
        </w:tc>
      </w:tr>
      <w:tr w14:paraId="648E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354" w:type="dxa"/>
            <w:noWrap w:val="0"/>
            <w:vAlign w:val="center"/>
          </w:tcPr>
          <w:p w14:paraId="3011610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其中：办公经费</w:t>
            </w:r>
          </w:p>
        </w:tc>
        <w:tc>
          <w:tcPr>
            <w:tcW w:w="2038" w:type="dxa"/>
            <w:gridSpan w:val="2"/>
            <w:noWrap w:val="0"/>
            <w:vAlign w:val="center"/>
          </w:tcPr>
          <w:p w14:paraId="30E41F4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0"/>
                <w:szCs w:val="20"/>
                <w:highlight w:val="none"/>
              </w:rPr>
            </w:pPr>
            <w:r>
              <w:rPr>
                <w:rFonts w:hint="default" w:ascii="仿宋_GB2312" w:hAnsi="仿宋_GB2312" w:eastAsia="仿宋_GB2312" w:cs="仿宋_GB2312"/>
                <w:color w:val="auto"/>
                <w:sz w:val="20"/>
                <w:szCs w:val="20"/>
                <w:highlight w:val="none"/>
                <w:lang w:val="en"/>
              </w:rPr>
              <w:t>3.00</w:t>
            </w:r>
          </w:p>
        </w:tc>
        <w:tc>
          <w:tcPr>
            <w:tcW w:w="2240" w:type="dxa"/>
            <w:gridSpan w:val="2"/>
            <w:noWrap w:val="0"/>
            <w:vAlign w:val="center"/>
          </w:tcPr>
          <w:p w14:paraId="2718242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3.00</w:t>
            </w:r>
          </w:p>
        </w:tc>
        <w:tc>
          <w:tcPr>
            <w:tcW w:w="2041" w:type="dxa"/>
            <w:gridSpan w:val="2"/>
            <w:noWrap w:val="0"/>
            <w:vAlign w:val="center"/>
          </w:tcPr>
          <w:p w14:paraId="0876A32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3.00</w:t>
            </w:r>
          </w:p>
        </w:tc>
      </w:tr>
      <w:tr w14:paraId="16A0D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354" w:type="dxa"/>
            <w:noWrap w:val="0"/>
            <w:vAlign w:val="center"/>
          </w:tcPr>
          <w:p w14:paraId="5807FCC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水费、电费、差旅费</w:t>
            </w:r>
          </w:p>
        </w:tc>
        <w:tc>
          <w:tcPr>
            <w:tcW w:w="2038" w:type="dxa"/>
            <w:gridSpan w:val="2"/>
            <w:noWrap w:val="0"/>
            <w:vAlign w:val="center"/>
          </w:tcPr>
          <w:p w14:paraId="016E6A5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0"/>
                <w:szCs w:val="20"/>
                <w:highlight w:val="none"/>
              </w:rPr>
            </w:pPr>
            <w:r>
              <w:rPr>
                <w:rFonts w:hint="default" w:ascii="仿宋_GB2312" w:hAnsi="仿宋_GB2312" w:eastAsia="仿宋_GB2312" w:cs="仿宋_GB2312"/>
                <w:color w:val="auto"/>
                <w:sz w:val="20"/>
                <w:szCs w:val="20"/>
                <w:highlight w:val="none"/>
                <w:lang w:val="en"/>
              </w:rPr>
              <w:t>5.40</w:t>
            </w:r>
          </w:p>
        </w:tc>
        <w:tc>
          <w:tcPr>
            <w:tcW w:w="2240" w:type="dxa"/>
            <w:gridSpan w:val="2"/>
            <w:noWrap w:val="0"/>
            <w:vAlign w:val="center"/>
          </w:tcPr>
          <w:p w14:paraId="4911951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4.30</w:t>
            </w:r>
          </w:p>
        </w:tc>
        <w:tc>
          <w:tcPr>
            <w:tcW w:w="2041" w:type="dxa"/>
            <w:gridSpan w:val="2"/>
            <w:noWrap w:val="0"/>
            <w:vAlign w:val="center"/>
          </w:tcPr>
          <w:p w14:paraId="3C5C744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3.50</w:t>
            </w:r>
          </w:p>
        </w:tc>
      </w:tr>
      <w:tr w14:paraId="105D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3354" w:type="dxa"/>
            <w:noWrap w:val="0"/>
            <w:vAlign w:val="center"/>
          </w:tcPr>
          <w:p w14:paraId="160431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会议费、培训费</w:t>
            </w:r>
          </w:p>
        </w:tc>
        <w:tc>
          <w:tcPr>
            <w:tcW w:w="2038" w:type="dxa"/>
            <w:gridSpan w:val="2"/>
            <w:noWrap w:val="0"/>
            <w:vAlign w:val="center"/>
          </w:tcPr>
          <w:p w14:paraId="63F82B0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
              </w:rPr>
              <w:t>0</w:t>
            </w:r>
          </w:p>
        </w:tc>
        <w:tc>
          <w:tcPr>
            <w:tcW w:w="2240" w:type="dxa"/>
            <w:gridSpan w:val="2"/>
            <w:noWrap w:val="0"/>
            <w:vAlign w:val="center"/>
          </w:tcPr>
          <w:p w14:paraId="2536A9D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0</w:t>
            </w:r>
          </w:p>
        </w:tc>
        <w:tc>
          <w:tcPr>
            <w:tcW w:w="2041" w:type="dxa"/>
            <w:gridSpan w:val="2"/>
            <w:noWrap w:val="0"/>
            <w:vAlign w:val="center"/>
          </w:tcPr>
          <w:p w14:paraId="2030A73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0</w:t>
            </w:r>
          </w:p>
        </w:tc>
      </w:tr>
      <w:tr w14:paraId="6768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354" w:type="dxa"/>
            <w:noWrap w:val="0"/>
            <w:vAlign w:val="center"/>
          </w:tcPr>
          <w:p w14:paraId="36367BD6">
            <w:pPr>
              <w:keepNext w:val="0"/>
              <w:keepLines w:val="0"/>
              <w:pageBreakBefore w:val="0"/>
              <w:widowControl/>
              <w:kinsoku/>
              <w:wordWrap/>
              <w:overflowPunct/>
              <w:topLinePunct w:val="0"/>
              <w:autoSpaceDE/>
              <w:autoSpaceDN/>
              <w:bidi w:val="0"/>
              <w:adjustRightInd/>
              <w:snapToGrid/>
              <w:spacing w:line="40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政府采购金额</w:t>
            </w:r>
          </w:p>
        </w:tc>
        <w:tc>
          <w:tcPr>
            <w:tcW w:w="2038" w:type="dxa"/>
            <w:gridSpan w:val="2"/>
            <w:noWrap w:val="0"/>
            <w:vAlign w:val="center"/>
          </w:tcPr>
          <w:p w14:paraId="6F71DF7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3508.78</w:t>
            </w:r>
          </w:p>
        </w:tc>
        <w:tc>
          <w:tcPr>
            <w:tcW w:w="2240" w:type="dxa"/>
            <w:gridSpan w:val="2"/>
            <w:noWrap w:val="0"/>
            <w:vAlign w:val="center"/>
          </w:tcPr>
          <w:p w14:paraId="0F6D2097">
            <w:pPr>
              <w:keepNext w:val="0"/>
              <w:keepLines w:val="0"/>
              <w:pageBreakBefore w:val="0"/>
              <w:widowControl/>
              <w:kinsoku/>
              <w:wordWrap/>
              <w:overflowPunct/>
              <w:topLinePunct w:val="0"/>
              <w:autoSpaceDE/>
              <w:autoSpaceDN/>
              <w:bidi w:val="0"/>
              <w:adjustRightInd/>
              <w:snapToGrid/>
              <w:spacing w:line="400" w:lineRule="exact"/>
              <w:ind w:firstLine="600" w:firstLineChars="300"/>
              <w:jc w:val="both"/>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3916.54</w:t>
            </w:r>
          </w:p>
        </w:tc>
        <w:tc>
          <w:tcPr>
            <w:tcW w:w="2041" w:type="dxa"/>
            <w:gridSpan w:val="2"/>
            <w:noWrap w:val="0"/>
            <w:vAlign w:val="center"/>
          </w:tcPr>
          <w:p w14:paraId="18BD995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158.32</w:t>
            </w:r>
          </w:p>
        </w:tc>
      </w:tr>
      <w:tr w14:paraId="7D93E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354" w:type="dxa"/>
            <w:noWrap w:val="0"/>
            <w:vAlign w:val="center"/>
          </w:tcPr>
          <w:p w14:paraId="021173BE">
            <w:pPr>
              <w:keepNext w:val="0"/>
              <w:keepLines w:val="0"/>
              <w:pageBreakBefore w:val="0"/>
              <w:widowControl/>
              <w:kinsoku/>
              <w:wordWrap/>
              <w:overflowPunct/>
              <w:topLinePunct w:val="0"/>
              <w:autoSpaceDE/>
              <w:autoSpaceDN/>
              <w:bidi w:val="0"/>
              <w:adjustRightInd/>
              <w:snapToGrid/>
              <w:spacing w:line="40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部门基本支出预算调整 </w:t>
            </w:r>
          </w:p>
        </w:tc>
        <w:tc>
          <w:tcPr>
            <w:tcW w:w="2038" w:type="dxa"/>
            <w:gridSpan w:val="2"/>
            <w:noWrap w:val="0"/>
            <w:vAlign w:val="center"/>
          </w:tcPr>
          <w:p w14:paraId="5ABB7F7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default" w:ascii="仿宋_GB2312" w:hAnsi="仿宋_GB2312" w:eastAsia="仿宋_GB2312" w:cs="仿宋_GB2312"/>
                <w:color w:val="auto"/>
                <w:sz w:val="20"/>
                <w:szCs w:val="20"/>
                <w:highlight w:val="none"/>
                <w:lang w:val="en"/>
              </w:rPr>
              <w:t>748.89</w:t>
            </w:r>
          </w:p>
        </w:tc>
        <w:tc>
          <w:tcPr>
            <w:tcW w:w="2240" w:type="dxa"/>
            <w:gridSpan w:val="2"/>
            <w:noWrap w:val="0"/>
            <w:vAlign w:val="center"/>
          </w:tcPr>
          <w:p w14:paraId="4CA86E9A">
            <w:pPr>
              <w:keepNext w:val="0"/>
              <w:keepLines w:val="0"/>
              <w:pageBreakBefore w:val="0"/>
              <w:widowControl/>
              <w:kinsoku/>
              <w:wordWrap/>
              <w:overflowPunct/>
              <w:topLinePunct w:val="0"/>
              <w:autoSpaceDE/>
              <w:autoSpaceDN/>
              <w:bidi w:val="0"/>
              <w:adjustRightInd/>
              <w:snapToGrid/>
              <w:spacing w:line="400" w:lineRule="exact"/>
              <w:ind w:firstLine="600" w:firstLineChars="300"/>
              <w:jc w:val="both"/>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818.06</w:t>
            </w:r>
          </w:p>
        </w:tc>
        <w:tc>
          <w:tcPr>
            <w:tcW w:w="2041" w:type="dxa"/>
            <w:gridSpan w:val="2"/>
            <w:noWrap w:val="0"/>
            <w:vAlign w:val="center"/>
          </w:tcPr>
          <w:p w14:paraId="21A9C6E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808.31</w:t>
            </w:r>
          </w:p>
        </w:tc>
      </w:tr>
      <w:tr w14:paraId="1801E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vMerge w:val="restart"/>
            <w:noWrap w:val="0"/>
            <w:vAlign w:val="center"/>
          </w:tcPr>
          <w:p w14:paraId="4F1BFF7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楼堂馆所控制情况</w:t>
            </w:r>
            <w:r>
              <w:rPr>
                <w:rFonts w:hint="eastAsia" w:ascii="仿宋_GB2312" w:hAnsi="仿宋_GB2312" w:eastAsia="仿宋_GB2312" w:cs="仿宋_GB2312"/>
                <w:sz w:val="20"/>
                <w:szCs w:val="20"/>
                <w:highlight w:val="none"/>
              </w:rPr>
              <w:br w:type="textWrapping"/>
            </w:r>
            <w:r>
              <w:rPr>
                <w:rFonts w:hint="eastAsia" w:ascii="仿宋_GB2312" w:hAnsi="仿宋_GB2312" w:eastAsia="仿宋_GB2312" w:cs="仿宋_GB2312"/>
                <w:sz w:val="20"/>
                <w:szCs w:val="20"/>
                <w:highlight w:val="none"/>
              </w:rPr>
              <w:t>（202</w:t>
            </w:r>
            <w:r>
              <w:rPr>
                <w:rFonts w:hint="eastAsia" w:ascii="仿宋_GB2312" w:hAnsi="仿宋_GB2312" w:eastAsia="仿宋_GB2312" w:cs="仿宋_GB2312"/>
                <w:sz w:val="20"/>
                <w:szCs w:val="20"/>
                <w:highlight w:val="none"/>
                <w:lang w:val="en-US" w:eastAsia="zh-CN"/>
              </w:rPr>
              <w:t>5</w:t>
            </w:r>
            <w:r>
              <w:rPr>
                <w:rFonts w:hint="eastAsia" w:ascii="仿宋_GB2312" w:hAnsi="仿宋_GB2312" w:eastAsia="仿宋_GB2312" w:cs="仿宋_GB2312"/>
                <w:sz w:val="20"/>
                <w:szCs w:val="20"/>
                <w:highlight w:val="none"/>
              </w:rPr>
              <w:t>年完工项目）</w:t>
            </w:r>
          </w:p>
        </w:tc>
        <w:tc>
          <w:tcPr>
            <w:tcW w:w="1189" w:type="dxa"/>
            <w:noWrap w:val="0"/>
            <w:vAlign w:val="center"/>
          </w:tcPr>
          <w:p w14:paraId="7D6F3D1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批复规模</w:t>
            </w:r>
            <w:r>
              <w:rPr>
                <w:rFonts w:hint="eastAsia" w:ascii="仿宋_GB2312" w:hAnsi="仿宋_GB2312" w:eastAsia="仿宋_GB2312" w:cs="仿宋_GB2312"/>
                <w:bCs/>
                <w:sz w:val="20"/>
                <w:szCs w:val="20"/>
                <w:highlight w:val="none"/>
              </w:rPr>
              <w:br w:type="textWrapping"/>
            </w:r>
            <w:r>
              <w:rPr>
                <w:rFonts w:hint="eastAsia" w:ascii="仿宋_GB2312" w:hAnsi="仿宋_GB2312" w:eastAsia="仿宋_GB2312" w:cs="仿宋_GB2312"/>
                <w:bCs/>
                <w:sz w:val="20"/>
                <w:szCs w:val="20"/>
                <w:highlight w:val="none"/>
              </w:rPr>
              <w:t>（㎡）</w:t>
            </w:r>
          </w:p>
        </w:tc>
        <w:tc>
          <w:tcPr>
            <w:tcW w:w="849" w:type="dxa"/>
            <w:noWrap w:val="0"/>
            <w:vAlign w:val="center"/>
          </w:tcPr>
          <w:p w14:paraId="0A79959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实际规模（㎡）</w:t>
            </w:r>
          </w:p>
        </w:tc>
        <w:tc>
          <w:tcPr>
            <w:tcW w:w="1129" w:type="dxa"/>
            <w:noWrap w:val="0"/>
            <w:vAlign w:val="center"/>
          </w:tcPr>
          <w:p w14:paraId="586B05F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规模控制率</w:t>
            </w:r>
          </w:p>
        </w:tc>
        <w:tc>
          <w:tcPr>
            <w:tcW w:w="1111" w:type="dxa"/>
            <w:noWrap w:val="0"/>
            <w:vAlign w:val="center"/>
          </w:tcPr>
          <w:p w14:paraId="433032D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预算投资（万元）</w:t>
            </w:r>
          </w:p>
        </w:tc>
        <w:tc>
          <w:tcPr>
            <w:tcW w:w="1081" w:type="dxa"/>
            <w:noWrap w:val="0"/>
            <w:vAlign w:val="center"/>
          </w:tcPr>
          <w:p w14:paraId="525A247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实际投资（万元）</w:t>
            </w:r>
          </w:p>
        </w:tc>
        <w:tc>
          <w:tcPr>
            <w:tcW w:w="960" w:type="dxa"/>
            <w:noWrap w:val="0"/>
            <w:vAlign w:val="center"/>
          </w:tcPr>
          <w:p w14:paraId="3E9C717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投资概算控制率</w:t>
            </w:r>
          </w:p>
        </w:tc>
      </w:tr>
      <w:tr w14:paraId="1562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354" w:type="dxa"/>
            <w:vMerge w:val="continue"/>
            <w:noWrap w:val="0"/>
            <w:vAlign w:val="center"/>
          </w:tcPr>
          <w:p w14:paraId="637B9AA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p>
        </w:tc>
        <w:tc>
          <w:tcPr>
            <w:tcW w:w="1189" w:type="dxa"/>
            <w:noWrap w:val="0"/>
            <w:vAlign w:val="center"/>
          </w:tcPr>
          <w:p w14:paraId="03D190D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849" w:type="dxa"/>
            <w:noWrap w:val="0"/>
            <w:vAlign w:val="center"/>
          </w:tcPr>
          <w:p w14:paraId="086F5BC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1129" w:type="dxa"/>
            <w:noWrap w:val="0"/>
            <w:vAlign w:val="center"/>
          </w:tcPr>
          <w:p w14:paraId="6F54EEB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1111" w:type="dxa"/>
            <w:noWrap w:val="0"/>
            <w:vAlign w:val="center"/>
          </w:tcPr>
          <w:p w14:paraId="1DC3429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1081" w:type="dxa"/>
            <w:noWrap w:val="0"/>
            <w:vAlign w:val="center"/>
          </w:tcPr>
          <w:p w14:paraId="601358C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960" w:type="dxa"/>
            <w:noWrap w:val="0"/>
            <w:vAlign w:val="center"/>
          </w:tcPr>
          <w:p w14:paraId="2A4567B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w:t>
            </w:r>
          </w:p>
        </w:tc>
      </w:tr>
      <w:tr w14:paraId="606B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jc w:val="center"/>
        </w:trPr>
        <w:tc>
          <w:tcPr>
            <w:tcW w:w="3354" w:type="dxa"/>
            <w:noWrap w:val="0"/>
            <w:vAlign w:val="center"/>
          </w:tcPr>
          <w:p w14:paraId="0F5B29C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厉行节约保障措施</w:t>
            </w:r>
          </w:p>
        </w:tc>
        <w:tc>
          <w:tcPr>
            <w:tcW w:w="6319" w:type="dxa"/>
            <w:gridSpan w:val="6"/>
            <w:noWrap w:val="0"/>
            <w:vAlign w:val="center"/>
          </w:tcPr>
          <w:p w14:paraId="0F8A85F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eastAsia="仿宋" w:cs="仿宋"/>
                <w:bCs/>
                <w:color w:val="auto"/>
                <w:sz w:val="20"/>
                <w:szCs w:val="20"/>
                <w:highlight w:val="none"/>
                <w:lang w:val="en-US" w:eastAsia="zh-CN"/>
              </w:rPr>
              <w:t xml:space="preserve">    </w:t>
            </w:r>
            <w:r>
              <w:rPr>
                <w:rFonts w:hint="eastAsia" w:ascii="仿宋_GB2312" w:hAnsi="仿宋_GB2312" w:eastAsia="仿宋_GB2312" w:cs="仿宋_GB2312"/>
                <w:bCs/>
                <w:color w:val="auto"/>
                <w:sz w:val="20"/>
                <w:szCs w:val="20"/>
                <w:highlight w:val="none"/>
                <w:lang w:val="en-US" w:eastAsia="zh-CN"/>
              </w:rPr>
              <w:t>进一步完善了我中心财务管理制度、内控管理制度，优化经济支出流程，费用支出做到先有预算、后有执行；先申报审批，后开支；“三重一大”事项必须经集体讨论作出决定，再实施；定期对固定资产、存货进行盘点，确保资产安全。</w:t>
            </w:r>
            <w:r>
              <w:rPr>
                <w:rFonts w:hint="eastAsia" w:ascii="仿宋_GB2312" w:hAnsi="仿宋_GB2312" w:eastAsia="仿宋_GB2312" w:cs="仿宋_GB2312"/>
                <w:sz w:val="20"/>
                <w:szCs w:val="20"/>
                <w:highlight w:val="none"/>
              </w:rPr>
              <w:t>　</w:t>
            </w:r>
          </w:p>
        </w:tc>
      </w:tr>
    </w:tbl>
    <w:p w14:paraId="105BD63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highlight w:val="none"/>
        </w:rPr>
      </w:pPr>
    </w:p>
    <w:p w14:paraId="279631F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highlight w:val="none"/>
          <w:lang w:eastAsia="zh-CN"/>
        </w:rPr>
      </w:pPr>
      <w:r>
        <w:rPr>
          <w:rFonts w:hint="eastAsia" w:ascii="仿宋_GB2312" w:hAnsi="仿宋_GB2312" w:eastAsia="仿宋_GB2312" w:cs="仿宋_GB2312"/>
          <w:sz w:val="22"/>
          <w:szCs w:val="22"/>
          <w:highlight w:val="none"/>
        </w:rPr>
        <w:t>填表人：</w:t>
      </w:r>
      <w:r>
        <w:rPr>
          <w:rFonts w:hint="eastAsia" w:ascii="仿宋_GB2312" w:hAnsi="仿宋_GB2312" w:eastAsia="仿宋_GB2312" w:cs="仿宋_GB2312"/>
          <w:color w:val="000000" w:themeColor="text1"/>
          <w:spacing w:val="0"/>
          <w:sz w:val="22"/>
          <w:szCs w:val="22"/>
          <w:lang w:eastAsia="zh-CN"/>
          <w14:textFill>
            <w14:solidFill>
              <w14:schemeClr w14:val="tx1"/>
            </w14:solidFill>
          </w14:textFill>
        </w:rPr>
        <w:t>刘</w:t>
      </w:r>
      <w:r>
        <w:rPr>
          <w:rFonts w:hint="eastAsia" w:ascii="仿宋_GB2312" w:hAnsi="仿宋_GB2312" w:eastAsia="仿宋_GB2312" w:cs="仿宋_GB2312"/>
          <w:color w:val="000000" w:themeColor="text1"/>
          <w:spacing w:val="0"/>
          <w:sz w:val="22"/>
          <w:szCs w:val="2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sz w:val="22"/>
          <w:szCs w:val="22"/>
          <w:lang w:eastAsia="zh-CN"/>
          <w14:textFill>
            <w14:solidFill>
              <w14:schemeClr w14:val="tx1"/>
            </w14:solidFill>
          </w14:textFill>
        </w:rPr>
        <w:t>蓓</w:t>
      </w:r>
      <w:r>
        <w:rPr>
          <w:rFonts w:hint="eastAsia" w:ascii="仿宋_GB2312" w:hAnsi="仿宋_GB2312" w:eastAsia="仿宋_GB2312" w:cs="仿宋_GB2312"/>
          <w:sz w:val="22"/>
          <w:szCs w:val="22"/>
          <w:highlight w:val="none"/>
        </w:rPr>
        <w:t xml:space="preserve">  填报日期：</w:t>
      </w:r>
      <w:r>
        <w:rPr>
          <w:rFonts w:hint="eastAsia" w:ascii="仿宋_GB2312" w:hAnsi="仿宋_GB2312" w:eastAsia="仿宋_GB2312" w:cs="仿宋_GB2312"/>
          <w:sz w:val="22"/>
          <w:szCs w:val="22"/>
          <w:highlight w:val="none"/>
          <w:lang w:val="en-US" w:eastAsia="zh-CN"/>
        </w:rPr>
        <w:t>2026.6.23</w:t>
      </w:r>
      <w:r>
        <w:rPr>
          <w:rFonts w:hint="eastAsia" w:ascii="仿宋_GB2312" w:hAnsi="仿宋_GB2312" w:eastAsia="仿宋_GB2312" w:cs="仿宋_GB2312"/>
          <w:sz w:val="22"/>
          <w:szCs w:val="22"/>
          <w:highlight w:val="none"/>
        </w:rPr>
        <w:t xml:space="preserve"> 联系电话：</w:t>
      </w:r>
      <w:r>
        <w:rPr>
          <w:rFonts w:hint="eastAsia" w:ascii="仿宋_GB2312" w:hAnsi="仿宋_GB2312" w:eastAsia="仿宋_GB2312" w:cs="仿宋_GB2312"/>
          <w:sz w:val="22"/>
          <w:szCs w:val="22"/>
          <w:highlight w:val="none"/>
          <w:lang w:val="en-US" w:eastAsia="zh-CN"/>
        </w:rPr>
        <w:t>0730-</w:t>
      </w:r>
      <w:r>
        <w:rPr>
          <w:rFonts w:hint="eastAsia" w:ascii="仿宋_GB2312" w:hAnsi="仿宋_GB2312" w:eastAsia="仿宋_GB2312" w:cs="仿宋_GB2312"/>
          <w:color w:val="000000" w:themeColor="text1"/>
          <w:spacing w:val="0"/>
          <w:sz w:val="22"/>
          <w:szCs w:val="22"/>
          <w:lang w:val="en-US" w:eastAsia="zh-CN"/>
          <w14:textFill>
            <w14:solidFill>
              <w14:schemeClr w14:val="tx1"/>
            </w14:solidFill>
          </w14:textFill>
        </w:rPr>
        <w:t>822281</w:t>
      </w:r>
      <w:r>
        <w:rPr>
          <w:rFonts w:hint="eastAsia" w:ascii="仿宋_GB2312" w:hAnsi="仿宋_GB2312" w:eastAsia="仿宋_GB2312" w:cs="仿宋_GB2312"/>
          <w:sz w:val="22"/>
          <w:szCs w:val="22"/>
          <w:highlight w:val="none"/>
          <w:lang w:val="en-US" w:eastAsia="zh-CN"/>
        </w:rPr>
        <w:t xml:space="preserve">  </w:t>
      </w:r>
      <w:r>
        <w:rPr>
          <w:rFonts w:hint="eastAsia" w:ascii="仿宋_GB2312" w:hAnsi="仿宋_GB2312" w:eastAsia="仿宋_GB2312" w:cs="仿宋_GB2312"/>
          <w:sz w:val="22"/>
          <w:szCs w:val="22"/>
          <w:highlight w:val="none"/>
        </w:rPr>
        <w:t xml:space="preserve"> 单位负责人：</w:t>
      </w:r>
      <w:r>
        <w:rPr>
          <w:rFonts w:hint="eastAsia" w:ascii="仿宋_GB2312" w:hAnsi="仿宋_GB2312" w:eastAsia="仿宋_GB2312" w:cs="仿宋_GB2312"/>
          <w:sz w:val="22"/>
          <w:szCs w:val="22"/>
          <w:highlight w:val="none"/>
          <w:lang w:eastAsia="zh-CN"/>
        </w:rPr>
        <w:t>郑</w:t>
      </w:r>
      <w:r>
        <w:rPr>
          <w:rFonts w:hint="default" w:ascii="仿宋_GB2312" w:hAnsi="仿宋_GB2312" w:eastAsia="仿宋_GB2312" w:cs="仿宋_GB2312"/>
          <w:sz w:val="22"/>
          <w:szCs w:val="22"/>
          <w:highlight w:val="none"/>
          <w:lang w:val="en" w:eastAsia="zh-CN"/>
        </w:rPr>
        <w:t xml:space="preserve">  </w:t>
      </w:r>
      <w:r>
        <w:rPr>
          <w:rFonts w:hint="eastAsia" w:ascii="仿宋_GB2312" w:hAnsi="仿宋_GB2312" w:eastAsia="仿宋_GB2312" w:cs="仿宋_GB2312"/>
          <w:sz w:val="22"/>
          <w:szCs w:val="22"/>
          <w:highlight w:val="none"/>
          <w:lang w:eastAsia="zh-CN"/>
        </w:rPr>
        <w:t>伟</w:t>
      </w:r>
    </w:p>
    <w:p w14:paraId="11566AB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highlight w:val="none"/>
        </w:rPr>
      </w:pPr>
    </w:p>
    <w:p w14:paraId="7BCCA001">
      <w:pPr>
        <w:keepNext w:val="0"/>
        <w:keepLines w:val="0"/>
        <w:pageBreakBefore w:val="0"/>
        <w:widowControl/>
        <w:kinsoku/>
        <w:wordWrap/>
        <w:overflowPunct/>
        <w:topLinePunct w:val="0"/>
        <w:autoSpaceDE/>
        <w:autoSpaceDN/>
        <w:bidi w:val="0"/>
        <w:adjustRightInd/>
        <w:snapToGrid/>
        <w:spacing w:after="0" w:afterLines="0" w:line="400" w:lineRule="exact"/>
        <w:jc w:val="left"/>
        <w:textAlignment w:val="auto"/>
        <w:rPr>
          <w:rFonts w:hint="default" w:ascii="Times New Roman" w:hAnsi="Times New Roman" w:eastAsia="仿宋_GB2312" w:cs="Times New Roman"/>
          <w:sz w:val="22"/>
          <w:highlight w:val="none"/>
        </w:rPr>
      </w:pPr>
    </w:p>
    <w:p w14:paraId="63BF2F9B">
      <w:pPr>
        <w:pStyle w:val="2"/>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2"/>
          <w:highlight w:val="none"/>
        </w:rPr>
      </w:pPr>
    </w:p>
    <w:p w14:paraId="14F020AC">
      <w:pPr>
        <w:pStyle w:val="3"/>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2"/>
          <w:highlight w:val="none"/>
        </w:rPr>
      </w:pPr>
    </w:p>
    <w:p w14:paraId="73C18671">
      <w:pPr>
        <w:rPr>
          <w:rFonts w:hint="default" w:ascii="Times New Roman" w:hAnsi="Times New Roman" w:eastAsia="仿宋_GB2312" w:cs="Times New Roman"/>
          <w:sz w:val="22"/>
          <w:highlight w:val="none"/>
        </w:rPr>
      </w:pPr>
    </w:p>
    <w:p w14:paraId="7CC51187">
      <w:pPr>
        <w:pStyle w:val="2"/>
        <w:rPr>
          <w:rFonts w:hint="default" w:ascii="Times New Roman" w:hAnsi="Times New Roman" w:eastAsia="仿宋_GB2312" w:cs="Times New Roman"/>
          <w:sz w:val="22"/>
          <w:highlight w:val="none"/>
        </w:rPr>
      </w:pPr>
    </w:p>
    <w:p w14:paraId="66772CFE">
      <w:pPr>
        <w:pStyle w:val="3"/>
        <w:rPr>
          <w:rFonts w:hint="default" w:ascii="Times New Roman" w:hAnsi="Times New Roman" w:eastAsia="仿宋_GB2312" w:cs="Times New Roman"/>
          <w:sz w:val="22"/>
          <w:highlight w:val="none"/>
        </w:rPr>
      </w:pPr>
    </w:p>
    <w:p w14:paraId="4A99B2B0">
      <w:pPr>
        <w:rPr>
          <w:rFonts w:hint="default"/>
        </w:rPr>
      </w:pPr>
    </w:p>
    <w:p w14:paraId="0719A900">
      <w:pPr>
        <w:pStyle w:val="3"/>
        <w:rPr>
          <w:rFonts w:hint="default" w:ascii="Times New Roman" w:hAnsi="Times New Roman" w:eastAsia="仿宋_GB2312" w:cs="Times New Roman"/>
          <w:sz w:val="22"/>
          <w:highlight w:val="none"/>
        </w:rPr>
      </w:pPr>
    </w:p>
    <w:p w14:paraId="55ADE033">
      <w:pPr>
        <w:widowControl/>
        <w:spacing w:after="0" w:afterLines="0" w:line="400" w:lineRule="exact"/>
        <w:jc w:val="left"/>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14:paraId="1F415D05">
      <w:pPr>
        <w:widowControl/>
        <w:spacing w:after="120" w:afterLines="50"/>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年度部门整体支出绩效自评表</w:t>
      </w:r>
    </w:p>
    <w:p w14:paraId="2405547B">
      <w:pPr>
        <w:pStyle w:val="9"/>
        <w:rPr>
          <w:rFonts w:hint="eastAsia"/>
        </w:rPr>
      </w:pPr>
    </w:p>
    <w:tbl>
      <w:tblPr>
        <w:tblStyle w:val="10"/>
        <w:tblW w:w="10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850"/>
        <w:gridCol w:w="728"/>
        <w:gridCol w:w="1095"/>
        <w:gridCol w:w="2238"/>
        <w:gridCol w:w="1673"/>
        <w:gridCol w:w="705"/>
        <w:gridCol w:w="850"/>
        <w:gridCol w:w="1091"/>
      </w:tblGrid>
      <w:tr w14:paraId="78001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noWrap w:val="0"/>
            <w:vAlign w:val="center"/>
          </w:tcPr>
          <w:p w14:paraId="1768CC0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市</w:t>
            </w:r>
            <w:r>
              <w:rPr>
                <w:rFonts w:hint="eastAsia" w:ascii="仿宋_GB2312" w:hAnsi="仿宋_GB2312" w:eastAsia="仿宋_GB2312" w:cs="仿宋_GB2312"/>
                <w:color w:val="000000"/>
                <w:sz w:val="20"/>
                <w:szCs w:val="20"/>
                <w:highlight w:val="none"/>
              </w:rPr>
              <w:t>级预算部门名称</w:t>
            </w:r>
          </w:p>
        </w:tc>
        <w:tc>
          <w:tcPr>
            <w:tcW w:w="9230" w:type="dxa"/>
            <w:gridSpan w:val="8"/>
            <w:noWrap w:val="0"/>
            <w:vAlign w:val="center"/>
          </w:tcPr>
          <w:p w14:paraId="2B96DA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岳阳市市政维护管理中心</w:t>
            </w:r>
            <w:r>
              <w:rPr>
                <w:rFonts w:hint="eastAsia" w:ascii="仿宋_GB2312" w:hAnsi="仿宋_GB2312" w:eastAsia="仿宋_GB2312" w:cs="仿宋_GB2312"/>
                <w:color w:val="000000"/>
                <w:sz w:val="20"/>
                <w:szCs w:val="20"/>
                <w:highlight w:val="none"/>
              </w:rPr>
              <w:t>　</w:t>
            </w:r>
          </w:p>
        </w:tc>
      </w:tr>
      <w:tr w14:paraId="6EAC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Merge w:val="restart"/>
            <w:noWrap w:val="0"/>
            <w:vAlign w:val="center"/>
          </w:tcPr>
          <w:p w14:paraId="7F6B2E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年度预</w:t>
            </w:r>
          </w:p>
          <w:p w14:paraId="0DEE9D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算申请</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1578" w:type="dxa"/>
            <w:gridSpan w:val="2"/>
            <w:noWrap w:val="0"/>
            <w:vAlign w:val="center"/>
          </w:tcPr>
          <w:p w14:paraId="0B378D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p>
        </w:tc>
        <w:tc>
          <w:tcPr>
            <w:tcW w:w="1095" w:type="dxa"/>
            <w:noWrap w:val="0"/>
            <w:vAlign w:val="center"/>
          </w:tcPr>
          <w:p w14:paraId="556058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年初预算数</w:t>
            </w:r>
          </w:p>
        </w:tc>
        <w:tc>
          <w:tcPr>
            <w:tcW w:w="2238" w:type="dxa"/>
            <w:noWrap w:val="0"/>
            <w:vAlign w:val="center"/>
          </w:tcPr>
          <w:p w14:paraId="170D170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全年预算数</w:t>
            </w:r>
          </w:p>
        </w:tc>
        <w:tc>
          <w:tcPr>
            <w:tcW w:w="1673" w:type="dxa"/>
            <w:noWrap w:val="0"/>
            <w:vAlign w:val="center"/>
          </w:tcPr>
          <w:p w14:paraId="419174A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全年执行数</w:t>
            </w:r>
          </w:p>
        </w:tc>
        <w:tc>
          <w:tcPr>
            <w:tcW w:w="705" w:type="dxa"/>
            <w:noWrap w:val="0"/>
            <w:vAlign w:val="center"/>
          </w:tcPr>
          <w:p w14:paraId="323DDE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50" w:type="dxa"/>
            <w:noWrap w:val="0"/>
            <w:vAlign w:val="center"/>
          </w:tcPr>
          <w:p w14:paraId="13F0D7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091" w:type="dxa"/>
            <w:noWrap w:val="0"/>
            <w:vAlign w:val="center"/>
          </w:tcPr>
          <w:p w14:paraId="150FC60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5EA0E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9" w:type="dxa"/>
            <w:vMerge w:val="continue"/>
            <w:noWrap w:val="0"/>
            <w:vAlign w:val="center"/>
          </w:tcPr>
          <w:p w14:paraId="0CF898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578" w:type="dxa"/>
            <w:gridSpan w:val="2"/>
            <w:noWrap w:val="0"/>
            <w:vAlign w:val="center"/>
          </w:tcPr>
          <w:p w14:paraId="38E6EC0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000000"/>
                <w:sz w:val="20"/>
                <w:szCs w:val="20"/>
                <w:highlight w:val="none"/>
              </w:rPr>
              <w:t>年度资金总额</w:t>
            </w:r>
          </w:p>
        </w:tc>
        <w:tc>
          <w:tcPr>
            <w:tcW w:w="1095" w:type="dxa"/>
            <w:noWrap w:val="0"/>
            <w:vAlign w:val="center"/>
          </w:tcPr>
          <w:p w14:paraId="05A1314F">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5163.65</w:t>
            </w:r>
          </w:p>
        </w:tc>
        <w:tc>
          <w:tcPr>
            <w:tcW w:w="2238" w:type="dxa"/>
            <w:noWrap w:val="0"/>
            <w:vAlign w:val="center"/>
          </w:tcPr>
          <w:p w14:paraId="6130ADF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6611.64</w:t>
            </w:r>
          </w:p>
        </w:tc>
        <w:tc>
          <w:tcPr>
            <w:tcW w:w="1673" w:type="dxa"/>
            <w:noWrap w:val="0"/>
            <w:vAlign w:val="center"/>
          </w:tcPr>
          <w:p w14:paraId="26D6B7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6591.21</w:t>
            </w:r>
          </w:p>
        </w:tc>
        <w:tc>
          <w:tcPr>
            <w:tcW w:w="705" w:type="dxa"/>
            <w:noWrap w:val="0"/>
            <w:vAlign w:val="center"/>
          </w:tcPr>
          <w:p w14:paraId="46EF2F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10</w:t>
            </w:r>
          </w:p>
        </w:tc>
        <w:tc>
          <w:tcPr>
            <w:tcW w:w="850" w:type="dxa"/>
            <w:noWrap w:val="0"/>
            <w:vAlign w:val="center"/>
          </w:tcPr>
          <w:p w14:paraId="28AD873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99.69%</w:t>
            </w:r>
          </w:p>
        </w:tc>
        <w:tc>
          <w:tcPr>
            <w:tcW w:w="1091" w:type="dxa"/>
            <w:noWrap w:val="0"/>
            <w:vAlign w:val="center"/>
          </w:tcPr>
          <w:p w14:paraId="20477C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9.97</w:t>
            </w:r>
          </w:p>
        </w:tc>
      </w:tr>
      <w:tr w14:paraId="34C1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9" w:type="dxa"/>
            <w:vMerge w:val="continue"/>
            <w:noWrap w:val="0"/>
            <w:vAlign w:val="center"/>
          </w:tcPr>
          <w:p w14:paraId="238979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911" w:type="dxa"/>
            <w:gridSpan w:val="4"/>
            <w:noWrap w:val="0"/>
            <w:vAlign w:val="center"/>
          </w:tcPr>
          <w:p w14:paraId="49342D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按收入性质分：</w:t>
            </w:r>
          </w:p>
        </w:tc>
        <w:tc>
          <w:tcPr>
            <w:tcW w:w="4319" w:type="dxa"/>
            <w:gridSpan w:val="4"/>
            <w:noWrap w:val="0"/>
            <w:vAlign w:val="center"/>
          </w:tcPr>
          <w:p w14:paraId="1A0297E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按支出性质分：</w:t>
            </w:r>
          </w:p>
        </w:tc>
      </w:tr>
      <w:tr w14:paraId="6FF7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849" w:type="dxa"/>
            <w:vMerge w:val="continue"/>
            <w:noWrap w:val="0"/>
            <w:vAlign w:val="center"/>
          </w:tcPr>
          <w:p w14:paraId="780F5B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911" w:type="dxa"/>
            <w:gridSpan w:val="4"/>
            <w:noWrap w:val="0"/>
            <w:vAlign w:val="center"/>
          </w:tcPr>
          <w:p w14:paraId="46441B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xml:space="preserve">  </w:t>
            </w:r>
            <w:r>
              <w:rPr>
                <w:rFonts w:hint="eastAsia" w:ascii="仿宋_GB2312" w:hAnsi="仿宋_GB2312" w:eastAsia="仿宋_GB2312" w:cs="仿宋_GB2312"/>
                <w:color w:val="000000"/>
                <w:sz w:val="20"/>
                <w:szCs w:val="20"/>
                <w:highlight w:val="none"/>
                <w:lang w:val="en-US" w:eastAsia="zh-CN"/>
              </w:rPr>
              <w:t xml:space="preserve">      </w:t>
            </w:r>
            <w:r>
              <w:rPr>
                <w:rFonts w:hint="eastAsia" w:ascii="仿宋_GB2312" w:hAnsi="仿宋_GB2312" w:eastAsia="仿宋_GB2312" w:cs="仿宋_GB2312"/>
                <w:color w:val="000000"/>
                <w:sz w:val="20"/>
                <w:szCs w:val="20"/>
                <w:highlight w:val="none"/>
              </w:rPr>
              <w:t>其中：一般公共预算</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lang w:val="en-US" w:eastAsia="zh-CN"/>
              </w:rPr>
              <w:t>5165.42</w:t>
            </w:r>
          </w:p>
        </w:tc>
        <w:tc>
          <w:tcPr>
            <w:tcW w:w="4319" w:type="dxa"/>
            <w:gridSpan w:val="4"/>
            <w:noWrap w:val="0"/>
            <w:vAlign w:val="center"/>
          </w:tcPr>
          <w:p w14:paraId="6EF0FF1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其中：基本支出：</w:t>
            </w:r>
            <w:r>
              <w:rPr>
                <w:rFonts w:hint="default" w:ascii="仿宋_GB2312" w:hAnsi="仿宋_GB2312" w:eastAsia="仿宋_GB2312" w:cs="仿宋_GB2312"/>
                <w:color w:val="auto"/>
                <w:sz w:val="20"/>
                <w:szCs w:val="20"/>
                <w:highlight w:val="none"/>
                <w:lang w:val="en"/>
              </w:rPr>
              <w:tab/>
            </w:r>
            <w:r>
              <w:rPr>
                <w:rFonts w:hint="eastAsia" w:ascii="仿宋_GB2312" w:hAnsi="仿宋_GB2312" w:eastAsia="仿宋_GB2312" w:cs="仿宋_GB2312"/>
                <w:color w:val="auto"/>
                <w:sz w:val="20"/>
                <w:szCs w:val="20"/>
                <w:highlight w:val="none"/>
                <w:lang w:val="en-US" w:eastAsia="zh-CN"/>
              </w:rPr>
              <w:t>808.31</w:t>
            </w:r>
          </w:p>
        </w:tc>
      </w:tr>
      <w:tr w14:paraId="39E1C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849" w:type="dxa"/>
            <w:vMerge w:val="continue"/>
            <w:noWrap w:val="0"/>
            <w:vAlign w:val="center"/>
          </w:tcPr>
          <w:p w14:paraId="66B2FB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911" w:type="dxa"/>
            <w:gridSpan w:val="4"/>
            <w:noWrap w:val="0"/>
            <w:vAlign w:val="center"/>
          </w:tcPr>
          <w:p w14:paraId="7EA31A3F">
            <w:pPr>
              <w:keepNext w:val="0"/>
              <w:keepLines w:val="0"/>
              <w:pageBreakBefore w:val="0"/>
              <w:widowControl/>
              <w:kinsoku/>
              <w:wordWrap/>
              <w:overflowPunct/>
              <w:topLinePunct w:val="0"/>
              <w:autoSpaceDE/>
              <w:autoSpaceDN/>
              <w:bidi w:val="0"/>
              <w:adjustRightInd/>
              <w:snapToGrid/>
              <w:spacing w:line="240" w:lineRule="exact"/>
              <w:ind w:firstLine="1200" w:firstLineChars="6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政府性基金拨款：</w:t>
            </w:r>
            <w:r>
              <w:rPr>
                <w:rFonts w:hint="eastAsia" w:ascii="仿宋_GB2312" w:hAnsi="仿宋_GB2312" w:eastAsia="仿宋_GB2312" w:cs="仿宋_GB2312"/>
                <w:color w:val="000000"/>
                <w:sz w:val="20"/>
                <w:szCs w:val="20"/>
                <w:highlight w:val="none"/>
                <w:lang w:val="en-US" w:eastAsia="zh-CN"/>
              </w:rPr>
              <w:t>754.64</w:t>
            </w:r>
          </w:p>
        </w:tc>
        <w:tc>
          <w:tcPr>
            <w:tcW w:w="4319" w:type="dxa"/>
            <w:gridSpan w:val="4"/>
            <w:noWrap w:val="0"/>
            <w:vAlign w:val="center"/>
          </w:tcPr>
          <w:p w14:paraId="03851CE4">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项目支出：</w:t>
            </w:r>
            <w:r>
              <w:rPr>
                <w:rFonts w:hint="eastAsia" w:ascii="仿宋_GB2312" w:hAnsi="仿宋_GB2312" w:eastAsia="仿宋_GB2312" w:cs="仿宋_GB2312"/>
                <w:color w:val="auto"/>
                <w:sz w:val="20"/>
                <w:szCs w:val="20"/>
                <w:highlight w:val="none"/>
                <w:lang w:val="en-US" w:eastAsia="zh-CN"/>
              </w:rPr>
              <w:t>5782.90</w:t>
            </w:r>
          </w:p>
        </w:tc>
      </w:tr>
      <w:tr w14:paraId="41D4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49" w:type="dxa"/>
            <w:vMerge w:val="continue"/>
            <w:noWrap w:val="0"/>
            <w:vAlign w:val="center"/>
          </w:tcPr>
          <w:p w14:paraId="220F8C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911" w:type="dxa"/>
            <w:gridSpan w:val="4"/>
            <w:noWrap w:val="0"/>
            <w:vAlign w:val="center"/>
          </w:tcPr>
          <w:p w14:paraId="2C144B8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纳入专户管理的非税收入拨款：</w:t>
            </w:r>
            <w:r>
              <w:rPr>
                <w:rFonts w:hint="eastAsia" w:ascii="仿宋_GB2312" w:hAnsi="仿宋_GB2312" w:eastAsia="仿宋_GB2312" w:cs="仿宋_GB2312"/>
                <w:color w:val="000000"/>
                <w:sz w:val="20"/>
                <w:szCs w:val="20"/>
                <w:highlight w:val="none"/>
                <w:lang w:val="en-US" w:eastAsia="zh-CN"/>
              </w:rPr>
              <w:t>0</w:t>
            </w:r>
          </w:p>
        </w:tc>
        <w:tc>
          <w:tcPr>
            <w:tcW w:w="4319" w:type="dxa"/>
            <w:gridSpan w:val="4"/>
            <w:noWrap w:val="0"/>
            <w:vAlign w:val="center"/>
          </w:tcPr>
          <w:p w14:paraId="091991E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Microsoft Himalaya"/>
                <w:color w:val="FF0000"/>
                <w:sz w:val="20"/>
                <w:szCs w:val="20"/>
                <w:highlight w:val="none"/>
                <w:lang w:val="en-US" w:eastAsia="zh-CN" w:bidi="bo-CN"/>
              </w:rPr>
            </w:pPr>
            <w:r>
              <w:rPr>
                <w:rFonts w:hint="eastAsia" w:ascii="仿宋_GB2312" w:hAnsi="仿宋_GB2312" w:eastAsia="仿宋_GB2312" w:cs="仿宋_GB2312"/>
                <w:color w:val="FF0000"/>
                <w:sz w:val="20"/>
                <w:szCs w:val="20"/>
                <w:highlight w:val="none"/>
                <w:lang w:val="en-US" w:eastAsia="zh-CN"/>
              </w:rPr>
              <w:t xml:space="preserve">  </w:t>
            </w:r>
            <w:r>
              <w:rPr>
                <w:rFonts w:hint="default" w:ascii="仿宋_GB2312" w:hAnsi="仿宋_GB2312" w:eastAsia="仿宋_GB2312" w:cs="仿宋_GB2312"/>
                <w:color w:val="FF0000"/>
                <w:sz w:val="20"/>
                <w:szCs w:val="20"/>
                <w:highlight w:val="none"/>
                <w:lang w:val="en" w:eastAsia="zh-CN"/>
              </w:rPr>
              <w:t xml:space="preserve">    </w:t>
            </w:r>
          </w:p>
        </w:tc>
      </w:tr>
      <w:tr w14:paraId="4EE1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49" w:type="dxa"/>
            <w:vMerge w:val="continue"/>
            <w:noWrap w:val="0"/>
            <w:vAlign w:val="center"/>
          </w:tcPr>
          <w:p w14:paraId="1788EC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911" w:type="dxa"/>
            <w:gridSpan w:val="4"/>
            <w:noWrap w:val="0"/>
            <w:vAlign w:val="center"/>
          </w:tcPr>
          <w:p w14:paraId="1277C581">
            <w:pPr>
              <w:keepNext w:val="0"/>
              <w:keepLines w:val="0"/>
              <w:pageBreakBefore w:val="0"/>
              <w:widowControl/>
              <w:kinsoku/>
              <w:wordWrap/>
              <w:overflowPunct/>
              <w:topLinePunct w:val="0"/>
              <w:autoSpaceDE/>
              <w:autoSpaceDN/>
              <w:bidi w:val="0"/>
              <w:adjustRightInd/>
              <w:snapToGrid/>
              <w:spacing w:line="240" w:lineRule="exact"/>
              <w:ind w:firstLine="1800" w:firstLineChars="9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其他</w:t>
            </w:r>
            <w:r>
              <w:rPr>
                <w:rFonts w:hint="eastAsia" w:ascii="仿宋_GB2312" w:hAnsi="仿宋_GB2312" w:eastAsia="仿宋_GB2312" w:cs="仿宋_GB2312"/>
                <w:color w:val="000000"/>
                <w:sz w:val="20"/>
                <w:szCs w:val="20"/>
                <w:highlight w:val="none"/>
                <w:lang w:eastAsia="zh-CN"/>
              </w:rPr>
              <w:t>资金：</w:t>
            </w:r>
            <w:r>
              <w:rPr>
                <w:rFonts w:hint="eastAsia" w:ascii="仿宋_GB2312" w:hAnsi="仿宋_GB2312" w:eastAsia="仿宋_GB2312" w:cs="仿宋_GB2312"/>
                <w:color w:val="000000"/>
                <w:sz w:val="20"/>
                <w:szCs w:val="20"/>
                <w:highlight w:val="none"/>
                <w:lang w:val="en-US" w:eastAsia="zh-CN"/>
              </w:rPr>
              <w:t>691.58</w:t>
            </w:r>
          </w:p>
        </w:tc>
        <w:tc>
          <w:tcPr>
            <w:tcW w:w="4319" w:type="dxa"/>
            <w:gridSpan w:val="4"/>
            <w:noWrap w:val="0"/>
            <w:vAlign w:val="center"/>
          </w:tcPr>
          <w:p w14:paraId="5C974B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56C09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49" w:type="dxa"/>
            <w:vMerge w:val="restart"/>
            <w:noWrap w:val="0"/>
            <w:vAlign w:val="center"/>
          </w:tcPr>
          <w:p w14:paraId="330A253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911" w:type="dxa"/>
            <w:gridSpan w:val="4"/>
            <w:noWrap w:val="0"/>
            <w:vAlign w:val="center"/>
          </w:tcPr>
          <w:p w14:paraId="7E872E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319" w:type="dxa"/>
            <w:gridSpan w:val="4"/>
            <w:noWrap w:val="0"/>
            <w:vAlign w:val="center"/>
          </w:tcPr>
          <w:p w14:paraId="0BEF404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6CEB3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Merge w:val="continue"/>
            <w:noWrap w:val="0"/>
            <w:vAlign w:val="center"/>
          </w:tcPr>
          <w:p w14:paraId="6B5690C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911" w:type="dxa"/>
            <w:gridSpan w:val="4"/>
            <w:noWrap w:val="0"/>
            <w:vAlign w:val="center"/>
          </w:tcPr>
          <w:p w14:paraId="4B9C4A05">
            <w:pPr>
              <w:keepNext w:val="0"/>
              <w:keepLines w:val="0"/>
              <w:pageBreakBefore w:val="0"/>
              <w:widowControl/>
              <w:numPr>
                <w:ilvl w:val="0"/>
                <w:numId w:val="0"/>
              </w:numPr>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目标1：</w:t>
            </w:r>
            <w:r>
              <w:rPr>
                <w:rFonts w:hint="eastAsia" w:ascii="仿宋_GB2312" w:hAnsi="仿宋_GB2312" w:eastAsia="仿宋_GB2312" w:cs="仿宋_GB2312"/>
                <w:color w:val="000000"/>
                <w:sz w:val="20"/>
                <w:szCs w:val="20"/>
                <w:highlight w:val="none"/>
              </w:rPr>
              <w:t>完成管理的中心城区</w:t>
            </w:r>
            <w:r>
              <w:rPr>
                <w:rFonts w:hint="eastAsia" w:ascii="仿宋_GB2312" w:hAnsi="仿宋_GB2312" w:eastAsia="仿宋_GB2312" w:cs="仿宋_GB2312"/>
                <w:color w:val="000000"/>
                <w:sz w:val="20"/>
                <w:szCs w:val="20"/>
                <w:highlight w:val="none"/>
                <w:lang w:eastAsia="zh-CN"/>
              </w:rPr>
              <w:t>及经开区</w:t>
            </w:r>
            <w:r>
              <w:rPr>
                <w:rFonts w:hint="eastAsia" w:ascii="仿宋_GB2312" w:hAnsi="仿宋_GB2312" w:eastAsia="仿宋_GB2312" w:cs="仿宋_GB2312"/>
                <w:color w:val="000000"/>
                <w:sz w:val="20"/>
                <w:szCs w:val="20"/>
                <w:highlight w:val="none"/>
              </w:rPr>
              <w:t>市政道路、人行道、桥梁、地下通道、道路排水管网、主涵、单车摩托车围栏、隔离桩等日常维护及应急任务，提高我市市政设施完好率，保障市民的生活舒适和出行顺畅</w:t>
            </w:r>
            <w:r>
              <w:rPr>
                <w:rFonts w:hint="eastAsia" w:ascii="仿宋_GB2312" w:hAnsi="仿宋_GB2312" w:eastAsia="仿宋_GB2312" w:cs="仿宋_GB2312"/>
                <w:color w:val="000000"/>
                <w:sz w:val="20"/>
                <w:szCs w:val="20"/>
                <w:highlight w:val="none"/>
                <w:lang w:eastAsia="zh-CN"/>
              </w:rPr>
              <w:t>；</w:t>
            </w:r>
          </w:p>
          <w:p w14:paraId="158762E4">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目标2：</w:t>
            </w:r>
            <w:r>
              <w:rPr>
                <w:rFonts w:hint="eastAsia" w:ascii="仿宋_GB2312" w:hAnsi="仿宋_GB2312" w:eastAsia="仿宋_GB2312" w:cs="仿宋_GB2312"/>
                <w:color w:val="000000"/>
                <w:sz w:val="20"/>
                <w:szCs w:val="20"/>
                <w:highlight w:val="none"/>
              </w:rPr>
              <w:t>完成泵站和调蓄池的清淤、清票、打捞垃圾及运输处置及日常运行维护，确保泵站和调蓄池的正常运行，完成污水24小时抽排，确保中心城区低洼地段不积水；</w:t>
            </w:r>
          </w:p>
          <w:p w14:paraId="5461DD4B">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目标</w:t>
            </w:r>
            <w:r>
              <w:rPr>
                <w:rFonts w:hint="eastAsia" w:ascii="仿宋_GB2312" w:hAnsi="仿宋_GB2312" w:eastAsia="仿宋_GB2312" w:cs="仿宋_GB2312"/>
                <w:color w:val="000000"/>
                <w:sz w:val="20"/>
                <w:szCs w:val="20"/>
                <w:highlight w:val="none"/>
              </w:rPr>
              <w:t>3</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完成机械设备日常维护和保养，以提高城市处置防汛排涝、铲冰除雪应急能力，提升维护机械作业水平；</w:t>
            </w:r>
          </w:p>
          <w:p w14:paraId="056A3FE6">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目标</w:t>
            </w:r>
            <w:r>
              <w:rPr>
                <w:rFonts w:hint="eastAsia" w:ascii="仿宋_GB2312" w:hAnsi="仿宋_GB2312" w:eastAsia="仿宋_GB2312" w:cs="仿宋_GB2312"/>
                <w:color w:val="000000"/>
                <w:sz w:val="20"/>
                <w:szCs w:val="20"/>
                <w:highlight w:val="none"/>
              </w:rPr>
              <w:t>4</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全年无安全生产事故。　　</w:t>
            </w:r>
          </w:p>
        </w:tc>
        <w:tc>
          <w:tcPr>
            <w:tcW w:w="4319" w:type="dxa"/>
            <w:gridSpan w:val="4"/>
            <w:noWrap w:val="0"/>
            <w:vAlign w:val="center"/>
          </w:tcPr>
          <w:p w14:paraId="21841788">
            <w:pPr>
              <w:keepNext w:val="0"/>
              <w:keepLines w:val="0"/>
              <w:pageBreakBefore w:val="0"/>
              <w:widowControl/>
              <w:numPr>
                <w:ilvl w:val="0"/>
                <w:numId w:val="0"/>
              </w:numPr>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目标1完成情况：</w:t>
            </w:r>
            <w:r>
              <w:rPr>
                <w:rFonts w:hint="eastAsia" w:ascii="仿宋_GB2312" w:hAnsi="仿宋_GB2312" w:eastAsia="仿宋_GB2312" w:cs="仿宋_GB2312"/>
                <w:color w:val="000000"/>
                <w:sz w:val="20"/>
                <w:szCs w:val="20"/>
                <w:highlight w:val="none"/>
                <w:lang w:eastAsia="zh-CN"/>
              </w:rPr>
              <w:t>负责</w:t>
            </w:r>
            <w:r>
              <w:rPr>
                <w:rFonts w:hint="eastAsia" w:ascii="仿宋_GB2312" w:hAnsi="仿宋_GB2312" w:eastAsia="仿宋_GB2312" w:cs="仿宋_GB2312"/>
                <w:color w:val="000000"/>
                <w:sz w:val="20"/>
                <w:szCs w:val="20"/>
                <w:highlight w:val="none"/>
              </w:rPr>
              <w:t>管理的中心城区</w:t>
            </w:r>
            <w:r>
              <w:rPr>
                <w:rFonts w:hint="eastAsia" w:ascii="仿宋_GB2312" w:hAnsi="仿宋_GB2312" w:eastAsia="仿宋_GB2312" w:cs="仿宋_GB2312"/>
                <w:color w:val="000000"/>
                <w:sz w:val="20"/>
                <w:szCs w:val="20"/>
                <w:highlight w:val="none"/>
                <w:lang w:eastAsia="zh-CN"/>
              </w:rPr>
              <w:t>及经开区</w:t>
            </w:r>
            <w:r>
              <w:rPr>
                <w:rFonts w:hint="eastAsia" w:ascii="仿宋_GB2312" w:hAnsi="仿宋_GB2312" w:eastAsia="仿宋_GB2312" w:cs="仿宋_GB2312"/>
                <w:color w:val="000000"/>
                <w:sz w:val="20"/>
                <w:szCs w:val="20"/>
                <w:highlight w:val="none"/>
              </w:rPr>
              <w:t>市政道路、人行道、桥梁、地下通道、道路排水管网、主涵、单车摩托车围栏、隔离桩等日常维护及应急任务</w:t>
            </w:r>
            <w:r>
              <w:rPr>
                <w:rFonts w:hint="eastAsia" w:ascii="仿宋_GB2312" w:hAnsi="仿宋_GB2312" w:eastAsia="仿宋_GB2312" w:cs="仿宋_GB2312"/>
                <w:color w:val="000000"/>
                <w:sz w:val="20"/>
                <w:szCs w:val="20"/>
                <w:highlight w:val="none"/>
                <w:lang w:eastAsia="zh-CN"/>
              </w:rPr>
              <w:t>均及时完成</w:t>
            </w:r>
            <w:r>
              <w:rPr>
                <w:rFonts w:hint="eastAsia" w:ascii="仿宋_GB2312" w:hAnsi="仿宋_GB2312" w:eastAsia="仿宋_GB2312" w:cs="仿宋_GB2312"/>
                <w:color w:val="000000"/>
                <w:sz w:val="20"/>
                <w:szCs w:val="20"/>
                <w:highlight w:val="none"/>
              </w:rPr>
              <w:t>，市政设施完好率</w:t>
            </w:r>
            <w:r>
              <w:rPr>
                <w:rFonts w:hint="eastAsia" w:ascii="仿宋_GB2312" w:hAnsi="仿宋_GB2312" w:eastAsia="仿宋_GB2312" w:cs="仿宋_GB2312"/>
                <w:color w:val="000000"/>
                <w:sz w:val="20"/>
                <w:szCs w:val="20"/>
                <w:highlight w:val="none"/>
                <w:lang w:eastAsia="zh-CN"/>
              </w:rPr>
              <w:t>高</w:t>
            </w: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eastAsia="zh-CN"/>
              </w:rPr>
              <w:t>为</w:t>
            </w:r>
            <w:r>
              <w:rPr>
                <w:rFonts w:hint="eastAsia" w:ascii="仿宋_GB2312" w:hAnsi="仿宋_GB2312" w:eastAsia="仿宋_GB2312" w:cs="仿宋_GB2312"/>
                <w:color w:val="000000"/>
                <w:sz w:val="20"/>
                <w:szCs w:val="20"/>
                <w:highlight w:val="none"/>
              </w:rPr>
              <w:t>市民</w:t>
            </w:r>
            <w:r>
              <w:rPr>
                <w:rFonts w:hint="eastAsia" w:ascii="仿宋_GB2312" w:hAnsi="仿宋_GB2312" w:eastAsia="仿宋_GB2312" w:cs="仿宋_GB2312"/>
                <w:color w:val="000000"/>
                <w:sz w:val="20"/>
                <w:szCs w:val="20"/>
                <w:highlight w:val="none"/>
                <w:lang w:eastAsia="zh-CN"/>
              </w:rPr>
              <w:t>创造了舒适的城市生活</w:t>
            </w:r>
            <w:r>
              <w:rPr>
                <w:rFonts w:hint="eastAsia" w:ascii="仿宋_GB2312" w:hAnsi="仿宋_GB2312" w:eastAsia="仿宋_GB2312" w:cs="仿宋_GB2312"/>
                <w:color w:val="000000"/>
                <w:sz w:val="20"/>
                <w:szCs w:val="20"/>
                <w:highlight w:val="none"/>
              </w:rPr>
              <w:t>和出行</w:t>
            </w:r>
            <w:r>
              <w:rPr>
                <w:rFonts w:hint="eastAsia" w:ascii="仿宋_GB2312" w:hAnsi="仿宋_GB2312" w:eastAsia="仿宋_GB2312" w:cs="仿宋_GB2312"/>
                <w:color w:val="000000"/>
                <w:sz w:val="20"/>
                <w:szCs w:val="20"/>
                <w:highlight w:val="none"/>
                <w:lang w:eastAsia="zh-CN"/>
              </w:rPr>
              <w:t>环境；</w:t>
            </w:r>
          </w:p>
          <w:p w14:paraId="47D3A0B9">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目标2完成情况：及时完成了</w:t>
            </w:r>
            <w:r>
              <w:rPr>
                <w:rFonts w:hint="eastAsia" w:ascii="仿宋_GB2312" w:hAnsi="仿宋_GB2312" w:eastAsia="仿宋_GB2312" w:cs="仿宋_GB2312"/>
                <w:color w:val="000000"/>
                <w:sz w:val="20"/>
                <w:szCs w:val="20"/>
                <w:highlight w:val="none"/>
              </w:rPr>
              <w:t>泵站和调蓄池的清淤、清</w:t>
            </w:r>
            <w:r>
              <w:rPr>
                <w:rFonts w:hint="eastAsia" w:ascii="仿宋_GB2312" w:hAnsi="仿宋_GB2312" w:eastAsia="仿宋_GB2312" w:cs="仿宋_GB2312"/>
                <w:color w:val="000000"/>
                <w:sz w:val="20"/>
                <w:szCs w:val="20"/>
                <w:highlight w:val="none"/>
                <w:lang w:eastAsia="zh-CN"/>
              </w:rPr>
              <w:t>漂</w:t>
            </w:r>
            <w:r>
              <w:rPr>
                <w:rFonts w:hint="eastAsia" w:ascii="仿宋_GB2312" w:hAnsi="仿宋_GB2312" w:eastAsia="仿宋_GB2312" w:cs="仿宋_GB2312"/>
                <w:color w:val="000000"/>
                <w:sz w:val="20"/>
                <w:szCs w:val="20"/>
                <w:highlight w:val="none"/>
              </w:rPr>
              <w:t>、打捞垃圾及运输处置及日常运行维护，泵站和调蓄池的</w:t>
            </w:r>
            <w:r>
              <w:rPr>
                <w:rFonts w:hint="eastAsia" w:ascii="仿宋_GB2312" w:hAnsi="仿宋_GB2312" w:eastAsia="仿宋_GB2312" w:cs="仿宋_GB2312"/>
                <w:color w:val="000000"/>
                <w:sz w:val="20"/>
                <w:szCs w:val="20"/>
                <w:highlight w:val="none"/>
                <w:lang w:eastAsia="zh-CN"/>
              </w:rPr>
              <w:t>全年</w:t>
            </w:r>
            <w:r>
              <w:rPr>
                <w:rFonts w:hint="eastAsia" w:ascii="仿宋_GB2312" w:hAnsi="仿宋_GB2312" w:eastAsia="仿宋_GB2312" w:cs="仿宋_GB2312"/>
                <w:color w:val="000000"/>
                <w:sz w:val="20"/>
                <w:szCs w:val="20"/>
                <w:highlight w:val="none"/>
              </w:rPr>
              <w:t>正常运行，污水24小时抽排，确保</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中心城区低洼地段不积水；</w:t>
            </w:r>
          </w:p>
          <w:p w14:paraId="415AA11C">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目标</w:t>
            </w:r>
            <w:r>
              <w:rPr>
                <w:rFonts w:hint="eastAsia" w:ascii="仿宋_GB2312" w:hAnsi="仿宋_GB2312" w:eastAsia="仿宋_GB2312" w:cs="仿宋_GB2312"/>
                <w:color w:val="000000"/>
                <w:sz w:val="20"/>
                <w:szCs w:val="20"/>
                <w:highlight w:val="none"/>
              </w:rPr>
              <w:t>3</w:t>
            </w:r>
            <w:r>
              <w:rPr>
                <w:rFonts w:hint="eastAsia" w:ascii="仿宋_GB2312" w:hAnsi="仿宋_GB2312" w:eastAsia="仿宋_GB2312" w:cs="仿宋_GB2312"/>
                <w:color w:val="000000"/>
                <w:sz w:val="20"/>
                <w:szCs w:val="20"/>
                <w:highlight w:val="none"/>
                <w:lang w:val="en-US" w:eastAsia="zh-CN"/>
              </w:rPr>
              <w:t>完成情况</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机械设备日常维护和保养</w:t>
            </w:r>
            <w:r>
              <w:rPr>
                <w:rFonts w:hint="eastAsia" w:ascii="仿宋_GB2312" w:hAnsi="仿宋_GB2312" w:eastAsia="仿宋_GB2312" w:cs="仿宋_GB2312"/>
                <w:color w:val="000000"/>
                <w:sz w:val="20"/>
                <w:szCs w:val="20"/>
                <w:highlight w:val="none"/>
                <w:lang w:eastAsia="zh-CN"/>
              </w:rPr>
              <w:t>及时进行</w:t>
            </w: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eastAsia="zh-CN"/>
              </w:rPr>
              <w:t>保障了</w:t>
            </w:r>
            <w:r>
              <w:rPr>
                <w:rFonts w:hint="eastAsia" w:ascii="仿宋_GB2312" w:hAnsi="仿宋_GB2312" w:eastAsia="仿宋_GB2312" w:cs="仿宋_GB2312"/>
                <w:color w:val="000000"/>
                <w:sz w:val="20"/>
                <w:szCs w:val="20"/>
                <w:highlight w:val="none"/>
              </w:rPr>
              <w:t>机械</w:t>
            </w:r>
            <w:r>
              <w:rPr>
                <w:rFonts w:hint="eastAsia" w:ascii="仿宋_GB2312" w:hAnsi="仿宋_GB2312" w:eastAsia="仿宋_GB2312" w:cs="仿宋_GB2312"/>
                <w:color w:val="000000"/>
                <w:sz w:val="20"/>
                <w:szCs w:val="20"/>
                <w:highlight w:val="none"/>
                <w:lang w:eastAsia="zh-CN"/>
              </w:rPr>
              <w:t>设备各项工作性能正常发挥</w:t>
            </w:r>
            <w:r>
              <w:rPr>
                <w:rFonts w:hint="eastAsia" w:ascii="仿宋_GB2312" w:hAnsi="仿宋_GB2312" w:eastAsia="仿宋_GB2312" w:cs="仿宋_GB2312"/>
                <w:color w:val="000000"/>
                <w:sz w:val="20"/>
                <w:szCs w:val="20"/>
                <w:highlight w:val="none"/>
              </w:rPr>
              <w:t>；提</w:t>
            </w:r>
            <w:r>
              <w:rPr>
                <w:rFonts w:hint="eastAsia" w:ascii="仿宋_GB2312" w:hAnsi="仿宋_GB2312" w:eastAsia="仿宋_GB2312" w:cs="仿宋_GB2312"/>
                <w:color w:val="000000"/>
                <w:sz w:val="20"/>
                <w:szCs w:val="20"/>
                <w:highlight w:val="none"/>
                <w:lang w:eastAsia="zh-CN"/>
              </w:rPr>
              <w:t>升了</w:t>
            </w:r>
            <w:r>
              <w:rPr>
                <w:rFonts w:hint="eastAsia" w:ascii="仿宋_GB2312" w:hAnsi="仿宋_GB2312" w:eastAsia="仿宋_GB2312" w:cs="仿宋_GB2312"/>
                <w:color w:val="000000"/>
                <w:sz w:val="20"/>
                <w:szCs w:val="20"/>
                <w:highlight w:val="none"/>
              </w:rPr>
              <w:t>城市防汛排涝、铲冰除雪应急处置能力</w:t>
            </w:r>
            <w:r>
              <w:rPr>
                <w:rFonts w:hint="eastAsia" w:ascii="仿宋_GB2312" w:hAnsi="仿宋_GB2312" w:eastAsia="仿宋_GB2312" w:cs="仿宋_GB2312"/>
                <w:color w:val="000000"/>
                <w:sz w:val="20"/>
                <w:szCs w:val="20"/>
                <w:highlight w:val="none"/>
                <w:lang w:eastAsia="zh-CN"/>
              </w:rPr>
              <w:t>；</w:t>
            </w:r>
          </w:p>
          <w:p w14:paraId="6BFFBE6C">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目标</w:t>
            </w:r>
            <w:r>
              <w:rPr>
                <w:rFonts w:hint="eastAsia" w:ascii="仿宋_GB2312" w:hAnsi="仿宋_GB2312" w:eastAsia="仿宋_GB2312" w:cs="仿宋_GB2312"/>
                <w:color w:val="000000"/>
                <w:sz w:val="20"/>
                <w:szCs w:val="20"/>
                <w:highlight w:val="none"/>
              </w:rPr>
              <w:t>4</w:t>
            </w:r>
            <w:r>
              <w:rPr>
                <w:rFonts w:hint="eastAsia" w:ascii="仿宋_GB2312" w:hAnsi="仿宋_GB2312" w:eastAsia="仿宋_GB2312" w:cs="仿宋_GB2312"/>
                <w:color w:val="000000"/>
                <w:sz w:val="20"/>
                <w:szCs w:val="20"/>
                <w:highlight w:val="none"/>
                <w:lang w:val="en-US" w:eastAsia="zh-CN"/>
              </w:rPr>
              <w:t>完成情况</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全年无安全生产事故。　　</w:t>
            </w:r>
          </w:p>
        </w:tc>
      </w:tr>
      <w:tr w14:paraId="32C3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Merge w:val="restart"/>
            <w:noWrap w:val="0"/>
            <w:vAlign w:val="center"/>
          </w:tcPr>
          <w:p w14:paraId="55167C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26C779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461B70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15F9462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p w14:paraId="13C054F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850" w:type="dxa"/>
            <w:noWrap w:val="0"/>
            <w:vAlign w:val="center"/>
          </w:tcPr>
          <w:p w14:paraId="323A83F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728" w:type="dxa"/>
            <w:noWrap w:val="0"/>
            <w:vAlign w:val="center"/>
          </w:tcPr>
          <w:p w14:paraId="5D9B6E4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095" w:type="dxa"/>
            <w:noWrap w:val="0"/>
            <w:vAlign w:val="center"/>
          </w:tcPr>
          <w:p w14:paraId="52C8F7A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2238" w:type="dxa"/>
            <w:noWrap w:val="0"/>
            <w:vAlign w:val="center"/>
          </w:tcPr>
          <w:p w14:paraId="5EFC650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年度指标值</w:t>
            </w:r>
          </w:p>
        </w:tc>
        <w:tc>
          <w:tcPr>
            <w:tcW w:w="1673" w:type="dxa"/>
            <w:noWrap w:val="0"/>
            <w:vAlign w:val="center"/>
          </w:tcPr>
          <w:p w14:paraId="120AF8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实际完成值</w:t>
            </w:r>
          </w:p>
        </w:tc>
        <w:tc>
          <w:tcPr>
            <w:tcW w:w="705" w:type="dxa"/>
            <w:noWrap w:val="0"/>
            <w:vAlign w:val="center"/>
          </w:tcPr>
          <w:p w14:paraId="620F19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50" w:type="dxa"/>
            <w:noWrap w:val="0"/>
            <w:vAlign w:val="center"/>
          </w:tcPr>
          <w:p w14:paraId="1EDED9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091" w:type="dxa"/>
            <w:noWrap w:val="0"/>
            <w:vAlign w:val="center"/>
          </w:tcPr>
          <w:p w14:paraId="74C1BBC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2D9A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49" w:type="dxa"/>
            <w:vMerge w:val="continue"/>
            <w:noWrap w:val="0"/>
            <w:vAlign w:val="center"/>
          </w:tcPr>
          <w:p w14:paraId="62C6B7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restart"/>
            <w:noWrap w:val="0"/>
            <w:vAlign w:val="center"/>
          </w:tcPr>
          <w:p w14:paraId="5F8BBC4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4D4A8F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p w14:paraId="70E6A6D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728" w:type="dxa"/>
            <w:vMerge w:val="restart"/>
            <w:noWrap w:val="0"/>
            <w:vAlign w:val="center"/>
          </w:tcPr>
          <w:p w14:paraId="0C605C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095" w:type="dxa"/>
            <w:noWrap w:val="0"/>
            <w:vAlign w:val="center"/>
          </w:tcPr>
          <w:p w14:paraId="6A978DF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eastAsia="zh-CN"/>
              </w:rPr>
              <w:t>人行道维护</w:t>
            </w:r>
          </w:p>
        </w:tc>
        <w:tc>
          <w:tcPr>
            <w:tcW w:w="2238" w:type="dxa"/>
            <w:noWrap w:val="0"/>
            <w:vAlign w:val="center"/>
          </w:tcPr>
          <w:p w14:paraId="56FD18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人行道维护2</w:t>
            </w:r>
            <w:r>
              <w:rPr>
                <w:rFonts w:hint="default" w:ascii="仿宋_GB2312" w:hAnsi="仿宋_GB2312" w:eastAsia="仿宋_GB2312" w:cs="仿宋_GB2312"/>
                <w:color w:val="000000"/>
                <w:sz w:val="20"/>
                <w:szCs w:val="20"/>
                <w:highlight w:val="none"/>
                <w:lang w:val="en" w:eastAsia="zh-CN"/>
              </w:rPr>
              <w:t>48.53</w:t>
            </w:r>
            <w:r>
              <w:rPr>
                <w:rFonts w:hint="eastAsia" w:ascii="仿宋_GB2312" w:hAnsi="仿宋_GB2312" w:eastAsia="仿宋_GB2312" w:cs="仿宋_GB2312"/>
                <w:color w:val="000000"/>
                <w:sz w:val="20"/>
                <w:szCs w:val="20"/>
                <w:highlight w:val="none"/>
                <w:lang w:val="en-US" w:eastAsia="zh-CN"/>
              </w:rPr>
              <w:t>万</w:t>
            </w:r>
            <w:r>
              <w:rPr>
                <w:rFonts w:hint="default" w:ascii="Arial" w:hAnsi="Arial" w:eastAsia="仿宋_GB2312" w:cs="Arial"/>
                <w:color w:val="000000"/>
                <w:sz w:val="20"/>
                <w:szCs w:val="20"/>
                <w:highlight w:val="none"/>
                <w:lang w:val="en-US" w:eastAsia="zh-CN"/>
              </w:rPr>
              <w:t>㎡</w:t>
            </w:r>
          </w:p>
        </w:tc>
        <w:tc>
          <w:tcPr>
            <w:tcW w:w="1673" w:type="dxa"/>
            <w:noWrap w:val="0"/>
            <w:vAlign w:val="center"/>
          </w:tcPr>
          <w:p w14:paraId="67F82F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日常维护2</w:t>
            </w:r>
            <w:r>
              <w:rPr>
                <w:rFonts w:hint="default" w:ascii="仿宋_GB2312" w:hAnsi="仿宋_GB2312" w:eastAsia="仿宋_GB2312" w:cs="仿宋_GB2312"/>
                <w:color w:val="000000"/>
                <w:sz w:val="20"/>
                <w:szCs w:val="20"/>
                <w:highlight w:val="none"/>
                <w:lang w:val="en" w:eastAsia="zh-CN"/>
              </w:rPr>
              <w:t>48.53</w:t>
            </w:r>
            <w:r>
              <w:rPr>
                <w:rFonts w:hint="eastAsia" w:ascii="仿宋_GB2312" w:hAnsi="仿宋_GB2312" w:eastAsia="仿宋_GB2312" w:cs="仿宋_GB2312"/>
                <w:color w:val="000000"/>
                <w:sz w:val="20"/>
                <w:szCs w:val="20"/>
                <w:highlight w:val="none"/>
                <w:lang w:val="en-US" w:eastAsia="zh-CN"/>
              </w:rPr>
              <w:t>万</w:t>
            </w:r>
            <w:r>
              <w:rPr>
                <w:rFonts w:hint="default" w:ascii="Arial" w:hAnsi="Arial" w:eastAsia="仿宋_GB2312" w:cs="Arial"/>
                <w:color w:val="000000"/>
                <w:sz w:val="20"/>
                <w:szCs w:val="20"/>
                <w:highlight w:val="none"/>
                <w:lang w:val="en-US" w:eastAsia="zh-CN"/>
              </w:rPr>
              <w:t>㎡</w:t>
            </w:r>
          </w:p>
        </w:tc>
        <w:tc>
          <w:tcPr>
            <w:tcW w:w="705" w:type="dxa"/>
            <w:noWrap w:val="0"/>
            <w:vAlign w:val="center"/>
          </w:tcPr>
          <w:p w14:paraId="55E165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50" w:type="dxa"/>
            <w:noWrap w:val="0"/>
            <w:vAlign w:val="center"/>
          </w:tcPr>
          <w:p w14:paraId="206642F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091" w:type="dxa"/>
            <w:noWrap w:val="0"/>
            <w:vAlign w:val="center"/>
          </w:tcPr>
          <w:p w14:paraId="40847A9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2E376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849" w:type="dxa"/>
            <w:vMerge w:val="continue"/>
            <w:noWrap w:val="0"/>
            <w:vAlign w:val="center"/>
          </w:tcPr>
          <w:p w14:paraId="133733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5C124F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728" w:type="dxa"/>
            <w:vMerge w:val="continue"/>
            <w:noWrap w:val="0"/>
            <w:vAlign w:val="center"/>
          </w:tcPr>
          <w:p w14:paraId="088F2B5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95" w:type="dxa"/>
            <w:noWrap w:val="0"/>
            <w:vAlign w:val="center"/>
          </w:tcPr>
          <w:p w14:paraId="7D1E1A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eastAsia="zh-CN"/>
              </w:rPr>
              <w:t>片石墙维护</w:t>
            </w:r>
          </w:p>
        </w:tc>
        <w:tc>
          <w:tcPr>
            <w:tcW w:w="2238" w:type="dxa"/>
            <w:noWrap w:val="0"/>
            <w:vAlign w:val="center"/>
          </w:tcPr>
          <w:p w14:paraId="6116AD4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 w:eastAsia="zh-CN"/>
              </w:rPr>
            </w:pPr>
            <w:r>
              <w:rPr>
                <w:rFonts w:hint="eastAsia" w:ascii="仿宋_GB2312" w:hAnsi="仿宋_GB2312" w:eastAsia="仿宋_GB2312" w:cs="仿宋_GB2312"/>
                <w:color w:val="000000"/>
                <w:sz w:val="20"/>
                <w:szCs w:val="20"/>
                <w:highlight w:val="none"/>
                <w:lang w:eastAsia="zh-CN"/>
              </w:rPr>
              <w:t>片石墙维护</w:t>
            </w:r>
            <w:r>
              <w:rPr>
                <w:rFonts w:hint="eastAsia" w:ascii="仿宋_GB2312" w:hAnsi="仿宋_GB2312" w:eastAsia="仿宋_GB2312" w:cs="仿宋_GB2312"/>
                <w:color w:val="000000"/>
                <w:sz w:val="20"/>
                <w:szCs w:val="20"/>
                <w:highlight w:val="none"/>
                <w:lang w:val="en-US" w:eastAsia="zh-CN"/>
              </w:rPr>
              <w:t>2</w:t>
            </w:r>
            <w:r>
              <w:rPr>
                <w:rFonts w:hint="default" w:ascii="仿宋_GB2312" w:hAnsi="仿宋_GB2312" w:eastAsia="仿宋_GB2312" w:cs="仿宋_GB2312"/>
                <w:color w:val="000000"/>
                <w:sz w:val="20"/>
                <w:szCs w:val="20"/>
                <w:highlight w:val="none"/>
                <w:lang w:val="en" w:eastAsia="zh-CN"/>
              </w:rPr>
              <w:t>7027</w:t>
            </w:r>
            <w:r>
              <w:rPr>
                <w:rFonts w:hint="eastAsia" w:ascii="方正仿宋_GBK" w:hAnsi="方正仿宋_GBK" w:eastAsia="方正仿宋_GBK" w:cs="方正仿宋_GBK"/>
                <w:color w:val="000000"/>
                <w:sz w:val="20"/>
                <w:szCs w:val="20"/>
                <w:highlight w:val="none"/>
                <w:lang w:val="en" w:eastAsia="zh-CN"/>
              </w:rPr>
              <w:t>㎥</w:t>
            </w:r>
          </w:p>
        </w:tc>
        <w:tc>
          <w:tcPr>
            <w:tcW w:w="1673" w:type="dxa"/>
            <w:noWrap w:val="0"/>
            <w:vAlign w:val="center"/>
          </w:tcPr>
          <w:p w14:paraId="29167AA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2</w:t>
            </w:r>
            <w:r>
              <w:rPr>
                <w:rFonts w:hint="default" w:ascii="仿宋_GB2312" w:hAnsi="仿宋_GB2312" w:eastAsia="仿宋_GB2312" w:cs="仿宋_GB2312"/>
                <w:color w:val="000000"/>
                <w:sz w:val="20"/>
                <w:szCs w:val="20"/>
                <w:highlight w:val="none"/>
                <w:lang w:val="en" w:eastAsia="zh-CN"/>
              </w:rPr>
              <w:t>7027</w:t>
            </w:r>
            <w:r>
              <w:rPr>
                <w:rFonts w:hint="eastAsia" w:ascii="方正仿宋_GBK" w:hAnsi="方正仿宋_GBK" w:eastAsia="方正仿宋_GBK" w:cs="方正仿宋_GBK"/>
                <w:color w:val="000000"/>
                <w:sz w:val="20"/>
                <w:szCs w:val="20"/>
                <w:highlight w:val="none"/>
                <w:lang w:val="en" w:eastAsia="zh-CN"/>
              </w:rPr>
              <w:t>㎥</w:t>
            </w:r>
            <w:r>
              <w:rPr>
                <w:rFonts w:hint="eastAsia" w:ascii="仿宋_GB2312" w:hAnsi="仿宋_GB2312" w:eastAsia="仿宋_GB2312" w:cs="仿宋_GB2312"/>
                <w:color w:val="000000"/>
                <w:sz w:val="20"/>
                <w:szCs w:val="20"/>
                <w:highlight w:val="none"/>
                <w:lang w:eastAsia="zh-CN"/>
              </w:rPr>
              <w:t>片石墙维护处于良好状态</w:t>
            </w:r>
          </w:p>
        </w:tc>
        <w:tc>
          <w:tcPr>
            <w:tcW w:w="705" w:type="dxa"/>
            <w:noWrap w:val="0"/>
            <w:vAlign w:val="center"/>
          </w:tcPr>
          <w:p w14:paraId="1CC1130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50" w:type="dxa"/>
            <w:noWrap w:val="0"/>
            <w:vAlign w:val="center"/>
          </w:tcPr>
          <w:p w14:paraId="7C0779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091" w:type="dxa"/>
            <w:noWrap w:val="0"/>
            <w:vAlign w:val="center"/>
          </w:tcPr>
          <w:p w14:paraId="33FC9A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79BCC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849" w:type="dxa"/>
            <w:vMerge w:val="continue"/>
            <w:noWrap w:val="0"/>
            <w:vAlign w:val="center"/>
          </w:tcPr>
          <w:p w14:paraId="204044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4477C5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728" w:type="dxa"/>
            <w:vMerge w:val="continue"/>
            <w:noWrap w:val="0"/>
            <w:vAlign w:val="center"/>
          </w:tcPr>
          <w:p w14:paraId="45F666F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95" w:type="dxa"/>
            <w:noWrap w:val="0"/>
            <w:vAlign w:val="center"/>
          </w:tcPr>
          <w:p w14:paraId="11867FE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auto"/>
                <w:sz w:val="20"/>
                <w:szCs w:val="20"/>
                <w:highlight w:val="none"/>
                <w:lang w:val="en" w:eastAsia="zh-CN"/>
              </w:rPr>
            </w:pPr>
            <w:r>
              <w:rPr>
                <w:rFonts w:hint="eastAsia" w:ascii="仿宋_GB2312" w:hAnsi="仿宋_GB2312" w:eastAsia="仿宋_GB2312" w:cs="仿宋_GB2312"/>
                <w:color w:val="auto"/>
                <w:sz w:val="20"/>
                <w:szCs w:val="20"/>
                <w:highlight w:val="none"/>
                <w:lang w:val="en" w:eastAsia="zh-CN"/>
              </w:rPr>
              <w:t>桥梁维护</w:t>
            </w:r>
          </w:p>
        </w:tc>
        <w:tc>
          <w:tcPr>
            <w:tcW w:w="2238" w:type="dxa"/>
            <w:noWrap w:val="0"/>
            <w:vAlign w:val="center"/>
          </w:tcPr>
          <w:p w14:paraId="01E3357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49座</w:t>
            </w:r>
            <w:r>
              <w:rPr>
                <w:rFonts w:hint="eastAsia" w:ascii="仿宋_GB2312" w:hAnsi="仿宋_GB2312" w:eastAsia="仿宋_GB2312" w:cs="仿宋_GB2312"/>
                <w:color w:val="000000"/>
                <w:sz w:val="20"/>
                <w:szCs w:val="20"/>
                <w:highlight w:val="none"/>
                <w:lang w:val="en" w:eastAsia="zh-CN"/>
              </w:rPr>
              <w:t>桥梁维护</w:t>
            </w:r>
          </w:p>
        </w:tc>
        <w:tc>
          <w:tcPr>
            <w:tcW w:w="1673" w:type="dxa"/>
            <w:noWrap w:val="0"/>
            <w:vAlign w:val="center"/>
          </w:tcPr>
          <w:p w14:paraId="14A9C4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49座</w:t>
            </w:r>
            <w:r>
              <w:rPr>
                <w:rFonts w:hint="eastAsia" w:ascii="仿宋_GB2312" w:hAnsi="仿宋_GB2312" w:eastAsia="仿宋_GB2312" w:cs="仿宋_GB2312"/>
                <w:color w:val="000000"/>
                <w:sz w:val="20"/>
                <w:szCs w:val="20"/>
                <w:highlight w:val="none"/>
                <w:lang w:val="en" w:eastAsia="zh-CN"/>
              </w:rPr>
              <w:t>桥梁维护</w:t>
            </w:r>
          </w:p>
        </w:tc>
        <w:tc>
          <w:tcPr>
            <w:tcW w:w="705" w:type="dxa"/>
            <w:noWrap w:val="0"/>
            <w:vAlign w:val="center"/>
          </w:tcPr>
          <w:p w14:paraId="07C623E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50" w:type="dxa"/>
            <w:noWrap w:val="0"/>
            <w:vAlign w:val="center"/>
          </w:tcPr>
          <w:p w14:paraId="4A4451F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091" w:type="dxa"/>
            <w:noWrap w:val="0"/>
            <w:vAlign w:val="center"/>
          </w:tcPr>
          <w:p w14:paraId="33A0DD0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32EF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849" w:type="dxa"/>
            <w:vMerge w:val="continue"/>
            <w:noWrap w:val="0"/>
            <w:vAlign w:val="center"/>
          </w:tcPr>
          <w:p w14:paraId="42958C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0546B7C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728" w:type="dxa"/>
            <w:vMerge w:val="continue"/>
            <w:noWrap w:val="0"/>
            <w:vAlign w:val="center"/>
          </w:tcPr>
          <w:p w14:paraId="494A5A4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95" w:type="dxa"/>
            <w:noWrap w:val="0"/>
            <w:vAlign w:val="center"/>
          </w:tcPr>
          <w:p w14:paraId="64806C4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eastAsia="zh-CN"/>
              </w:rPr>
              <w:t>路面维护</w:t>
            </w:r>
          </w:p>
        </w:tc>
        <w:tc>
          <w:tcPr>
            <w:tcW w:w="2238" w:type="dxa"/>
            <w:noWrap w:val="0"/>
            <w:vAlign w:val="center"/>
          </w:tcPr>
          <w:p w14:paraId="6390F90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路面维护</w:t>
            </w:r>
            <w:r>
              <w:rPr>
                <w:rFonts w:hint="eastAsia" w:ascii="仿宋_GB2312" w:hAnsi="仿宋_GB2312" w:eastAsia="仿宋_GB2312" w:cs="仿宋_GB2312"/>
                <w:color w:val="000000"/>
                <w:sz w:val="20"/>
                <w:szCs w:val="20"/>
                <w:highlight w:val="none"/>
                <w:lang w:val="en-US" w:eastAsia="zh-CN"/>
              </w:rPr>
              <w:t>6</w:t>
            </w:r>
            <w:r>
              <w:rPr>
                <w:rFonts w:hint="default" w:ascii="仿宋_GB2312" w:hAnsi="仿宋_GB2312" w:eastAsia="仿宋_GB2312" w:cs="仿宋_GB2312"/>
                <w:color w:val="000000"/>
                <w:sz w:val="20"/>
                <w:szCs w:val="20"/>
                <w:highlight w:val="none"/>
                <w:lang w:val="en" w:eastAsia="zh-CN"/>
              </w:rPr>
              <w:t>27.11</w:t>
            </w:r>
            <w:r>
              <w:rPr>
                <w:rFonts w:hint="eastAsia" w:ascii="仿宋_GB2312" w:hAnsi="仿宋_GB2312" w:eastAsia="仿宋_GB2312" w:cs="仿宋_GB2312"/>
                <w:color w:val="000000"/>
                <w:sz w:val="20"/>
                <w:szCs w:val="20"/>
                <w:highlight w:val="none"/>
                <w:lang w:val="en-US" w:eastAsia="zh-CN"/>
              </w:rPr>
              <w:t>万</w:t>
            </w:r>
            <w:r>
              <w:rPr>
                <w:rFonts w:hint="default" w:ascii="Arial" w:hAnsi="Arial" w:eastAsia="仿宋_GB2312" w:cs="Arial"/>
                <w:color w:val="000000"/>
                <w:sz w:val="20"/>
                <w:szCs w:val="20"/>
                <w:highlight w:val="none"/>
                <w:lang w:val="en-US" w:eastAsia="zh-CN"/>
              </w:rPr>
              <w:t>㎡</w:t>
            </w:r>
          </w:p>
        </w:tc>
        <w:tc>
          <w:tcPr>
            <w:tcW w:w="1673" w:type="dxa"/>
            <w:noWrap w:val="0"/>
            <w:vAlign w:val="center"/>
          </w:tcPr>
          <w:p w14:paraId="065B62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日常维护</w:t>
            </w:r>
            <w:r>
              <w:rPr>
                <w:rFonts w:hint="eastAsia" w:ascii="仿宋_GB2312" w:hAnsi="仿宋_GB2312" w:eastAsia="仿宋_GB2312" w:cs="仿宋_GB2312"/>
                <w:color w:val="000000"/>
                <w:sz w:val="20"/>
                <w:szCs w:val="20"/>
                <w:highlight w:val="none"/>
                <w:lang w:val="en-US" w:eastAsia="zh-CN"/>
              </w:rPr>
              <w:t>6</w:t>
            </w:r>
            <w:r>
              <w:rPr>
                <w:rFonts w:hint="default" w:ascii="仿宋_GB2312" w:hAnsi="仿宋_GB2312" w:eastAsia="仿宋_GB2312" w:cs="仿宋_GB2312"/>
                <w:color w:val="000000"/>
                <w:sz w:val="20"/>
                <w:szCs w:val="20"/>
                <w:highlight w:val="none"/>
                <w:lang w:val="en" w:eastAsia="zh-CN"/>
              </w:rPr>
              <w:t>27.11</w:t>
            </w:r>
            <w:r>
              <w:rPr>
                <w:rFonts w:hint="eastAsia" w:ascii="仿宋_GB2312" w:hAnsi="仿宋_GB2312" w:eastAsia="仿宋_GB2312" w:cs="仿宋_GB2312"/>
                <w:color w:val="000000"/>
                <w:sz w:val="20"/>
                <w:szCs w:val="20"/>
                <w:highlight w:val="none"/>
                <w:lang w:val="en-US" w:eastAsia="zh-CN"/>
              </w:rPr>
              <w:t>万</w:t>
            </w:r>
            <w:r>
              <w:rPr>
                <w:rFonts w:hint="default" w:ascii="Arial" w:hAnsi="Arial" w:eastAsia="仿宋_GB2312" w:cs="Arial"/>
                <w:color w:val="000000"/>
                <w:sz w:val="20"/>
                <w:szCs w:val="20"/>
                <w:highlight w:val="none"/>
                <w:lang w:val="en-US" w:eastAsia="zh-CN"/>
              </w:rPr>
              <w:t>㎡</w:t>
            </w:r>
          </w:p>
        </w:tc>
        <w:tc>
          <w:tcPr>
            <w:tcW w:w="705" w:type="dxa"/>
            <w:noWrap w:val="0"/>
            <w:vAlign w:val="center"/>
          </w:tcPr>
          <w:p w14:paraId="2F06E6F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50" w:type="dxa"/>
            <w:noWrap w:val="0"/>
            <w:vAlign w:val="center"/>
          </w:tcPr>
          <w:p w14:paraId="1F4E546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091" w:type="dxa"/>
            <w:noWrap w:val="0"/>
            <w:vAlign w:val="center"/>
          </w:tcPr>
          <w:p w14:paraId="7271A7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4BFF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849" w:type="dxa"/>
            <w:vMerge w:val="continue"/>
            <w:noWrap w:val="0"/>
            <w:vAlign w:val="center"/>
          </w:tcPr>
          <w:p w14:paraId="66E0EF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2096433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728" w:type="dxa"/>
            <w:vMerge w:val="continue"/>
            <w:noWrap w:val="0"/>
            <w:vAlign w:val="center"/>
          </w:tcPr>
          <w:p w14:paraId="43B9EA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95" w:type="dxa"/>
            <w:noWrap w:val="0"/>
            <w:vAlign w:val="center"/>
          </w:tcPr>
          <w:p w14:paraId="5EEF93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eastAsia="zh-CN"/>
              </w:rPr>
              <w:t>涵洞、隧道维护</w:t>
            </w:r>
          </w:p>
        </w:tc>
        <w:tc>
          <w:tcPr>
            <w:tcW w:w="2238" w:type="dxa"/>
            <w:noWrap w:val="0"/>
            <w:vAlign w:val="center"/>
          </w:tcPr>
          <w:p w14:paraId="53142B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涵洞</w:t>
            </w:r>
            <w:r>
              <w:rPr>
                <w:rFonts w:hint="eastAsia" w:ascii="仿宋_GB2312" w:hAnsi="仿宋_GB2312" w:eastAsia="仿宋_GB2312" w:cs="仿宋_GB2312"/>
                <w:color w:val="000000"/>
                <w:sz w:val="20"/>
                <w:szCs w:val="20"/>
                <w:highlight w:val="none"/>
                <w:lang w:val="en-US" w:eastAsia="zh-CN"/>
              </w:rPr>
              <w:t>6座、隧道1条</w:t>
            </w:r>
          </w:p>
        </w:tc>
        <w:tc>
          <w:tcPr>
            <w:tcW w:w="1673" w:type="dxa"/>
            <w:noWrap w:val="0"/>
            <w:vAlign w:val="center"/>
          </w:tcPr>
          <w:p w14:paraId="0141FE0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常年处于良好状态</w:t>
            </w:r>
          </w:p>
        </w:tc>
        <w:tc>
          <w:tcPr>
            <w:tcW w:w="705" w:type="dxa"/>
            <w:noWrap w:val="0"/>
            <w:vAlign w:val="center"/>
          </w:tcPr>
          <w:p w14:paraId="20FED7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50" w:type="dxa"/>
            <w:noWrap w:val="0"/>
            <w:vAlign w:val="center"/>
          </w:tcPr>
          <w:p w14:paraId="1733BD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091" w:type="dxa"/>
            <w:noWrap w:val="0"/>
            <w:vAlign w:val="center"/>
          </w:tcPr>
          <w:p w14:paraId="28D11E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3F276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49" w:type="dxa"/>
            <w:vMerge w:val="continue"/>
            <w:noWrap w:val="0"/>
            <w:vAlign w:val="center"/>
          </w:tcPr>
          <w:p w14:paraId="4728BFD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458A00D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728" w:type="dxa"/>
            <w:vMerge w:val="continue"/>
            <w:noWrap w:val="0"/>
            <w:vAlign w:val="center"/>
          </w:tcPr>
          <w:p w14:paraId="0AAE048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95" w:type="dxa"/>
            <w:noWrap w:val="0"/>
            <w:vAlign w:val="center"/>
          </w:tcPr>
          <w:p w14:paraId="33073CB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道路排水管道维护</w:t>
            </w:r>
          </w:p>
        </w:tc>
        <w:tc>
          <w:tcPr>
            <w:tcW w:w="2238" w:type="dxa"/>
            <w:noWrap w:val="0"/>
            <w:vAlign w:val="center"/>
          </w:tcPr>
          <w:p w14:paraId="1895759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368.284</w:t>
            </w:r>
            <w:r>
              <w:rPr>
                <w:rFonts w:hint="eastAsia" w:ascii="仿宋_GB2312" w:hAnsi="仿宋_GB2312" w:eastAsia="仿宋_GB2312" w:cs="仿宋_GB2312"/>
                <w:color w:val="000000"/>
                <w:sz w:val="20"/>
                <w:szCs w:val="20"/>
                <w:highlight w:val="none"/>
              </w:rPr>
              <w:t>km</w:t>
            </w:r>
          </w:p>
        </w:tc>
        <w:tc>
          <w:tcPr>
            <w:tcW w:w="1673" w:type="dxa"/>
            <w:noWrap w:val="0"/>
            <w:vAlign w:val="center"/>
          </w:tcPr>
          <w:p w14:paraId="007E8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368.284</w:t>
            </w:r>
            <w:r>
              <w:rPr>
                <w:rFonts w:hint="eastAsia" w:ascii="仿宋_GB2312" w:hAnsi="仿宋_GB2312" w:eastAsia="仿宋_GB2312" w:cs="仿宋_GB2312"/>
                <w:color w:val="000000"/>
                <w:sz w:val="20"/>
                <w:szCs w:val="20"/>
                <w:highlight w:val="none"/>
              </w:rPr>
              <w:t>km</w:t>
            </w:r>
          </w:p>
        </w:tc>
        <w:tc>
          <w:tcPr>
            <w:tcW w:w="705" w:type="dxa"/>
            <w:noWrap w:val="0"/>
            <w:vAlign w:val="center"/>
          </w:tcPr>
          <w:p w14:paraId="71F026D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50" w:type="dxa"/>
            <w:noWrap w:val="0"/>
            <w:vAlign w:val="center"/>
          </w:tcPr>
          <w:p w14:paraId="2E0631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091" w:type="dxa"/>
            <w:noWrap w:val="0"/>
            <w:vAlign w:val="center"/>
          </w:tcPr>
          <w:p w14:paraId="56B8DE3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3C5A0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49" w:type="dxa"/>
            <w:vMerge w:val="continue"/>
            <w:noWrap w:val="0"/>
            <w:vAlign w:val="center"/>
          </w:tcPr>
          <w:p w14:paraId="3326E6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044D10F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728" w:type="dxa"/>
            <w:vMerge w:val="continue"/>
            <w:noWrap w:val="0"/>
            <w:vAlign w:val="center"/>
          </w:tcPr>
          <w:p w14:paraId="76EFB1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95" w:type="dxa"/>
            <w:noWrap w:val="0"/>
            <w:vAlign w:val="center"/>
          </w:tcPr>
          <w:p w14:paraId="74FB943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排水主涵维护</w:t>
            </w:r>
          </w:p>
        </w:tc>
        <w:tc>
          <w:tcPr>
            <w:tcW w:w="2238" w:type="dxa"/>
            <w:noWrap w:val="0"/>
            <w:vAlign w:val="center"/>
          </w:tcPr>
          <w:p w14:paraId="2C8AC255">
            <w:pPr>
              <w:keepNext w:val="0"/>
              <w:keepLines w:val="0"/>
              <w:pageBreakBefore w:val="0"/>
              <w:widowControl/>
              <w:kinsoku/>
              <w:wordWrap/>
              <w:overflowPunct/>
              <w:topLinePunct w:val="0"/>
              <w:autoSpaceDE/>
              <w:autoSpaceDN/>
              <w:bidi w:val="0"/>
              <w:adjustRightInd/>
              <w:snapToGrid/>
              <w:spacing w:line="240" w:lineRule="exact"/>
              <w:ind w:firstLine="800" w:firstLineChars="400"/>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131.834</w:t>
            </w:r>
            <w:r>
              <w:rPr>
                <w:rFonts w:hint="eastAsia" w:ascii="仿宋_GB2312" w:hAnsi="仿宋_GB2312" w:eastAsia="仿宋_GB2312" w:cs="仿宋_GB2312"/>
                <w:color w:val="000000"/>
                <w:sz w:val="20"/>
                <w:szCs w:val="20"/>
                <w:highlight w:val="none"/>
              </w:rPr>
              <w:t>km</w:t>
            </w:r>
          </w:p>
        </w:tc>
        <w:tc>
          <w:tcPr>
            <w:tcW w:w="1673" w:type="dxa"/>
            <w:noWrap w:val="0"/>
            <w:vAlign w:val="center"/>
          </w:tcPr>
          <w:p w14:paraId="302CA4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1</w:t>
            </w:r>
            <w:r>
              <w:rPr>
                <w:rFonts w:hint="eastAsia" w:ascii="仿宋_GB2312" w:hAnsi="仿宋_GB2312" w:eastAsia="仿宋_GB2312" w:cs="仿宋_GB2312"/>
                <w:color w:val="000000"/>
                <w:sz w:val="20"/>
                <w:szCs w:val="20"/>
                <w:highlight w:val="none"/>
                <w:lang w:val="en-US" w:eastAsia="zh-CN"/>
              </w:rPr>
              <w:t>31.834</w:t>
            </w:r>
            <w:r>
              <w:rPr>
                <w:rFonts w:hint="eastAsia" w:ascii="仿宋_GB2312" w:hAnsi="仿宋_GB2312" w:eastAsia="仿宋_GB2312" w:cs="仿宋_GB2312"/>
                <w:color w:val="000000"/>
                <w:sz w:val="20"/>
                <w:szCs w:val="20"/>
                <w:highlight w:val="none"/>
              </w:rPr>
              <w:t>km</w:t>
            </w:r>
          </w:p>
        </w:tc>
        <w:tc>
          <w:tcPr>
            <w:tcW w:w="705" w:type="dxa"/>
            <w:noWrap w:val="0"/>
            <w:vAlign w:val="center"/>
          </w:tcPr>
          <w:p w14:paraId="6220F7A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50" w:type="dxa"/>
            <w:noWrap w:val="0"/>
            <w:vAlign w:val="center"/>
          </w:tcPr>
          <w:p w14:paraId="2C71F2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091" w:type="dxa"/>
            <w:noWrap w:val="0"/>
            <w:vAlign w:val="center"/>
          </w:tcPr>
          <w:p w14:paraId="5612331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363E5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49" w:type="dxa"/>
            <w:vMerge w:val="continue"/>
            <w:noWrap w:val="0"/>
            <w:vAlign w:val="center"/>
          </w:tcPr>
          <w:p w14:paraId="40B0AEF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4D6FC18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728" w:type="dxa"/>
            <w:vMerge w:val="continue"/>
            <w:noWrap w:val="0"/>
            <w:vAlign w:val="center"/>
          </w:tcPr>
          <w:p w14:paraId="1059519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95" w:type="dxa"/>
            <w:noWrap w:val="0"/>
            <w:vAlign w:val="center"/>
          </w:tcPr>
          <w:p w14:paraId="70DF5A5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泵站</w:t>
            </w:r>
            <w:r>
              <w:rPr>
                <w:rFonts w:hint="eastAsia" w:ascii="仿宋_GB2312" w:hAnsi="仿宋_GB2312" w:eastAsia="仿宋_GB2312" w:cs="仿宋_GB2312"/>
                <w:color w:val="auto"/>
                <w:sz w:val="20"/>
                <w:szCs w:val="20"/>
                <w:highlight w:val="none"/>
                <w:lang w:eastAsia="zh-CN"/>
              </w:rPr>
              <w:t>运行</w:t>
            </w:r>
            <w:r>
              <w:rPr>
                <w:rFonts w:hint="eastAsia" w:ascii="仿宋_GB2312" w:hAnsi="仿宋_GB2312" w:eastAsia="仿宋_GB2312" w:cs="仿宋_GB2312"/>
                <w:color w:val="auto"/>
                <w:sz w:val="20"/>
                <w:szCs w:val="20"/>
                <w:highlight w:val="none"/>
              </w:rPr>
              <w:t>维护</w:t>
            </w:r>
          </w:p>
        </w:tc>
        <w:tc>
          <w:tcPr>
            <w:tcW w:w="2238" w:type="dxa"/>
            <w:noWrap w:val="0"/>
            <w:vAlign w:val="center"/>
          </w:tcPr>
          <w:p w14:paraId="5457D4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21</w:t>
            </w:r>
            <w:r>
              <w:rPr>
                <w:rFonts w:hint="eastAsia" w:ascii="仿宋_GB2312" w:hAnsi="仿宋_GB2312" w:eastAsia="仿宋_GB2312" w:cs="仿宋_GB2312"/>
                <w:color w:val="000000"/>
                <w:sz w:val="20"/>
                <w:szCs w:val="20"/>
                <w:highlight w:val="none"/>
              </w:rPr>
              <w:t>座泵站</w:t>
            </w:r>
            <w:r>
              <w:rPr>
                <w:rFonts w:hint="eastAsia" w:ascii="仿宋_GB2312" w:hAnsi="仿宋_GB2312" w:eastAsia="仿宋_GB2312" w:cs="仿宋_GB2312"/>
                <w:color w:val="000000"/>
                <w:sz w:val="20"/>
                <w:szCs w:val="20"/>
                <w:highlight w:val="none"/>
                <w:lang w:eastAsia="zh-CN"/>
              </w:rPr>
              <w:t>及</w:t>
            </w:r>
            <w:r>
              <w:rPr>
                <w:rFonts w:hint="eastAsia" w:ascii="仿宋_GB2312" w:hAnsi="仿宋_GB2312" w:eastAsia="仿宋_GB2312" w:cs="仿宋_GB2312"/>
                <w:color w:val="000000"/>
                <w:sz w:val="20"/>
                <w:szCs w:val="20"/>
                <w:highlight w:val="none"/>
                <w:lang w:val="en-US" w:eastAsia="zh-CN"/>
              </w:rPr>
              <w:t>1 座调蓄池</w:t>
            </w:r>
          </w:p>
        </w:tc>
        <w:tc>
          <w:tcPr>
            <w:tcW w:w="1673" w:type="dxa"/>
            <w:noWrap w:val="0"/>
            <w:vAlign w:val="center"/>
          </w:tcPr>
          <w:p w14:paraId="5C53B9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全年21座</w:t>
            </w:r>
            <w:r>
              <w:rPr>
                <w:rFonts w:hint="eastAsia" w:ascii="仿宋_GB2312" w:hAnsi="仿宋_GB2312" w:eastAsia="仿宋_GB2312" w:cs="仿宋_GB2312"/>
                <w:color w:val="000000"/>
                <w:sz w:val="20"/>
                <w:szCs w:val="20"/>
                <w:highlight w:val="none"/>
              </w:rPr>
              <w:t>泵站</w:t>
            </w:r>
            <w:r>
              <w:rPr>
                <w:rFonts w:hint="eastAsia" w:ascii="仿宋_GB2312" w:hAnsi="仿宋_GB2312" w:eastAsia="仿宋_GB2312" w:cs="仿宋_GB2312"/>
                <w:color w:val="000000"/>
                <w:sz w:val="20"/>
                <w:szCs w:val="20"/>
                <w:highlight w:val="none"/>
                <w:lang w:eastAsia="zh-CN"/>
              </w:rPr>
              <w:t>及</w:t>
            </w:r>
            <w:r>
              <w:rPr>
                <w:rFonts w:hint="eastAsia" w:ascii="仿宋_GB2312" w:hAnsi="仿宋_GB2312" w:eastAsia="仿宋_GB2312" w:cs="仿宋_GB2312"/>
                <w:color w:val="000000"/>
                <w:sz w:val="20"/>
                <w:szCs w:val="20"/>
                <w:highlight w:val="none"/>
                <w:lang w:val="en-US" w:eastAsia="zh-CN"/>
              </w:rPr>
              <w:t>1 座调蓄池正常运行</w:t>
            </w:r>
          </w:p>
        </w:tc>
        <w:tc>
          <w:tcPr>
            <w:tcW w:w="705" w:type="dxa"/>
            <w:noWrap w:val="0"/>
            <w:vAlign w:val="center"/>
          </w:tcPr>
          <w:p w14:paraId="68230B7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50" w:type="dxa"/>
            <w:noWrap w:val="0"/>
            <w:vAlign w:val="center"/>
          </w:tcPr>
          <w:p w14:paraId="745A02B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091" w:type="dxa"/>
            <w:noWrap w:val="0"/>
            <w:vAlign w:val="center"/>
          </w:tcPr>
          <w:p w14:paraId="5B7531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C6F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Merge w:val="continue"/>
            <w:noWrap w:val="0"/>
            <w:vAlign w:val="center"/>
          </w:tcPr>
          <w:p w14:paraId="2373314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15E7771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728" w:type="dxa"/>
            <w:vMerge w:val="continue"/>
            <w:noWrap w:val="0"/>
            <w:vAlign w:val="center"/>
          </w:tcPr>
          <w:p w14:paraId="797C0F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95" w:type="dxa"/>
            <w:noWrap w:val="0"/>
            <w:vAlign w:val="center"/>
          </w:tcPr>
          <w:p w14:paraId="6CCC12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eastAsia="zh-CN"/>
              </w:rPr>
              <w:t>地下人行通道维护</w:t>
            </w:r>
          </w:p>
        </w:tc>
        <w:tc>
          <w:tcPr>
            <w:tcW w:w="2238" w:type="dxa"/>
            <w:noWrap w:val="0"/>
            <w:vAlign w:val="center"/>
          </w:tcPr>
          <w:p w14:paraId="6FBA865A">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12</w:t>
            </w:r>
            <w:r>
              <w:rPr>
                <w:rFonts w:hint="eastAsia" w:ascii="仿宋_GB2312" w:hAnsi="仿宋_GB2312" w:eastAsia="仿宋_GB2312" w:cs="仿宋_GB2312"/>
                <w:color w:val="000000"/>
                <w:sz w:val="20"/>
                <w:szCs w:val="20"/>
                <w:highlight w:val="none"/>
                <w:lang w:eastAsia="zh-CN"/>
              </w:rPr>
              <w:t>座</w:t>
            </w:r>
          </w:p>
        </w:tc>
        <w:tc>
          <w:tcPr>
            <w:tcW w:w="1673" w:type="dxa"/>
            <w:noWrap w:val="0"/>
            <w:vAlign w:val="center"/>
          </w:tcPr>
          <w:p w14:paraId="54CFD02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12座地下人行通道常年处于良好使用状态</w:t>
            </w:r>
          </w:p>
        </w:tc>
        <w:tc>
          <w:tcPr>
            <w:tcW w:w="705" w:type="dxa"/>
            <w:noWrap w:val="0"/>
            <w:vAlign w:val="center"/>
          </w:tcPr>
          <w:p w14:paraId="5230C74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50" w:type="dxa"/>
            <w:noWrap w:val="0"/>
            <w:vAlign w:val="center"/>
          </w:tcPr>
          <w:p w14:paraId="7896C3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091" w:type="dxa"/>
            <w:noWrap w:val="0"/>
            <w:vAlign w:val="center"/>
          </w:tcPr>
          <w:p w14:paraId="6CEB78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107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849" w:type="dxa"/>
            <w:vMerge w:val="continue"/>
            <w:noWrap w:val="0"/>
            <w:vAlign w:val="center"/>
          </w:tcPr>
          <w:p w14:paraId="7EA2D70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155B78C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728" w:type="dxa"/>
            <w:vMerge w:val="restart"/>
            <w:noWrap w:val="0"/>
            <w:vAlign w:val="center"/>
          </w:tcPr>
          <w:p w14:paraId="526AD7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095" w:type="dxa"/>
            <w:noWrap w:val="0"/>
            <w:vAlign w:val="center"/>
          </w:tcPr>
          <w:p w14:paraId="2958F3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城市隧道养护技术符合相关技术标准</w:t>
            </w:r>
          </w:p>
        </w:tc>
        <w:tc>
          <w:tcPr>
            <w:tcW w:w="2238" w:type="dxa"/>
            <w:noWrap w:val="0"/>
            <w:vAlign w:val="center"/>
          </w:tcPr>
          <w:p w14:paraId="431B7E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rPr>
              <w:t>《城市隧道养护技术规范DB41/T1271-2016》</w:t>
            </w:r>
          </w:p>
        </w:tc>
        <w:tc>
          <w:tcPr>
            <w:tcW w:w="1673" w:type="dxa"/>
            <w:noWrap w:val="0"/>
            <w:vAlign w:val="center"/>
          </w:tcPr>
          <w:p w14:paraId="4FC6A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符合相关技术标准</w:t>
            </w:r>
          </w:p>
        </w:tc>
        <w:tc>
          <w:tcPr>
            <w:tcW w:w="705" w:type="dxa"/>
            <w:noWrap w:val="0"/>
            <w:vAlign w:val="center"/>
          </w:tcPr>
          <w:p w14:paraId="241332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850" w:type="dxa"/>
            <w:noWrap w:val="0"/>
            <w:vAlign w:val="center"/>
          </w:tcPr>
          <w:p w14:paraId="531195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091" w:type="dxa"/>
            <w:noWrap w:val="0"/>
            <w:vAlign w:val="center"/>
          </w:tcPr>
          <w:p w14:paraId="6866D54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AC4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Merge w:val="continue"/>
            <w:noWrap w:val="0"/>
            <w:vAlign w:val="center"/>
          </w:tcPr>
          <w:p w14:paraId="3ECD50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424191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728" w:type="dxa"/>
            <w:vMerge w:val="continue"/>
            <w:noWrap w:val="0"/>
            <w:vAlign w:val="center"/>
          </w:tcPr>
          <w:p w14:paraId="24D18A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95" w:type="dxa"/>
            <w:noWrap w:val="0"/>
            <w:vAlign w:val="center"/>
          </w:tcPr>
          <w:p w14:paraId="73A8ED5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城市道路养护符合相关技术标准</w:t>
            </w:r>
          </w:p>
        </w:tc>
        <w:tc>
          <w:tcPr>
            <w:tcW w:w="2238" w:type="dxa"/>
            <w:noWrap w:val="0"/>
            <w:vAlign w:val="center"/>
          </w:tcPr>
          <w:p w14:paraId="5B764C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rPr>
              <w:t>《城市道路养护技术规程CJJ36-2016》</w:t>
            </w:r>
          </w:p>
        </w:tc>
        <w:tc>
          <w:tcPr>
            <w:tcW w:w="1673" w:type="dxa"/>
            <w:noWrap w:val="0"/>
            <w:vAlign w:val="center"/>
          </w:tcPr>
          <w:p w14:paraId="52F2F29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符合相关技术标准</w:t>
            </w:r>
          </w:p>
        </w:tc>
        <w:tc>
          <w:tcPr>
            <w:tcW w:w="705" w:type="dxa"/>
            <w:noWrap w:val="0"/>
            <w:vAlign w:val="center"/>
          </w:tcPr>
          <w:p w14:paraId="3A378C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850" w:type="dxa"/>
            <w:noWrap w:val="0"/>
            <w:vAlign w:val="center"/>
          </w:tcPr>
          <w:p w14:paraId="450251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091" w:type="dxa"/>
            <w:noWrap w:val="0"/>
            <w:vAlign w:val="center"/>
          </w:tcPr>
          <w:p w14:paraId="6C845C3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547D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Merge w:val="continue"/>
            <w:noWrap w:val="0"/>
            <w:vAlign w:val="center"/>
          </w:tcPr>
          <w:p w14:paraId="37DF212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2B5C3A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728" w:type="dxa"/>
            <w:vMerge w:val="continue"/>
            <w:noWrap w:val="0"/>
            <w:vAlign w:val="center"/>
          </w:tcPr>
          <w:p w14:paraId="33778AC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95" w:type="dxa"/>
            <w:noWrap w:val="0"/>
            <w:vAlign w:val="center"/>
          </w:tcPr>
          <w:p w14:paraId="53ACC7E0">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加强安全监督，确保安全生产</w:t>
            </w:r>
          </w:p>
        </w:tc>
        <w:tc>
          <w:tcPr>
            <w:tcW w:w="2238" w:type="dxa"/>
            <w:noWrap w:val="0"/>
            <w:vAlign w:val="center"/>
          </w:tcPr>
          <w:p w14:paraId="1E8B47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事故率为零</w:t>
            </w:r>
          </w:p>
        </w:tc>
        <w:tc>
          <w:tcPr>
            <w:tcW w:w="1673" w:type="dxa"/>
            <w:noWrap w:val="0"/>
            <w:vAlign w:val="center"/>
          </w:tcPr>
          <w:p w14:paraId="5114C6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 xml:space="preserve">全年无安全事故 </w:t>
            </w:r>
          </w:p>
        </w:tc>
        <w:tc>
          <w:tcPr>
            <w:tcW w:w="705" w:type="dxa"/>
            <w:noWrap w:val="0"/>
            <w:vAlign w:val="center"/>
          </w:tcPr>
          <w:p w14:paraId="3FDCEB3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850" w:type="dxa"/>
            <w:noWrap w:val="0"/>
            <w:vAlign w:val="center"/>
          </w:tcPr>
          <w:p w14:paraId="4975483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091" w:type="dxa"/>
            <w:noWrap w:val="0"/>
            <w:vAlign w:val="center"/>
          </w:tcPr>
          <w:p w14:paraId="407CAA4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6D95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Merge w:val="continue"/>
            <w:noWrap w:val="0"/>
            <w:vAlign w:val="center"/>
          </w:tcPr>
          <w:p w14:paraId="636030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131FB7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728" w:type="dxa"/>
            <w:vMerge w:val="continue"/>
            <w:noWrap w:val="0"/>
            <w:vAlign w:val="center"/>
          </w:tcPr>
          <w:p w14:paraId="7E46BBA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95" w:type="dxa"/>
            <w:noWrap w:val="0"/>
            <w:vAlign w:val="center"/>
          </w:tcPr>
          <w:p w14:paraId="4E0CE7F3">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城市给水排水技术符合相关技术标准</w:t>
            </w:r>
          </w:p>
        </w:tc>
        <w:tc>
          <w:tcPr>
            <w:tcW w:w="2238" w:type="dxa"/>
            <w:noWrap w:val="0"/>
            <w:vAlign w:val="center"/>
          </w:tcPr>
          <w:p w14:paraId="11D515A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rPr>
              <w:t xml:space="preserve">《城市给水排水技术规范GB50788-2012》        </w:t>
            </w:r>
          </w:p>
        </w:tc>
        <w:tc>
          <w:tcPr>
            <w:tcW w:w="1673" w:type="dxa"/>
            <w:noWrap w:val="0"/>
            <w:vAlign w:val="center"/>
          </w:tcPr>
          <w:p w14:paraId="206863D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符合相关技术标准</w:t>
            </w:r>
          </w:p>
        </w:tc>
        <w:tc>
          <w:tcPr>
            <w:tcW w:w="705" w:type="dxa"/>
            <w:noWrap w:val="0"/>
            <w:vAlign w:val="center"/>
          </w:tcPr>
          <w:p w14:paraId="2B779C6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50" w:type="dxa"/>
            <w:noWrap w:val="0"/>
            <w:vAlign w:val="center"/>
          </w:tcPr>
          <w:p w14:paraId="7887E16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091" w:type="dxa"/>
            <w:noWrap w:val="0"/>
            <w:vAlign w:val="center"/>
          </w:tcPr>
          <w:p w14:paraId="637849D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94C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49" w:type="dxa"/>
            <w:vMerge w:val="continue"/>
            <w:noWrap w:val="0"/>
            <w:vAlign w:val="center"/>
          </w:tcPr>
          <w:p w14:paraId="2A799CB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3CDDC21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728" w:type="dxa"/>
            <w:vMerge w:val="restart"/>
            <w:noWrap w:val="0"/>
            <w:vAlign w:val="center"/>
          </w:tcPr>
          <w:p w14:paraId="7553A0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095" w:type="dxa"/>
            <w:noWrap w:val="0"/>
            <w:vAlign w:val="center"/>
          </w:tcPr>
          <w:p w14:paraId="6B522FD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及时维护和维修</w:t>
            </w:r>
          </w:p>
        </w:tc>
        <w:tc>
          <w:tcPr>
            <w:tcW w:w="2238" w:type="dxa"/>
            <w:noWrap w:val="0"/>
            <w:vAlign w:val="center"/>
          </w:tcPr>
          <w:p w14:paraId="490F2E1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及时维护和修复率100%</w:t>
            </w:r>
          </w:p>
        </w:tc>
        <w:tc>
          <w:tcPr>
            <w:tcW w:w="1673" w:type="dxa"/>
            <w:noWrap w:val="0"/>
            <w:vAlign w:val="center"/>
          </w:tcPr>
          <w:p w14:paraId="73A8ABC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均得到及时维护，修复率100%</w:t>
            </w:r>
          </w:p>
        </w:tc>
        <w:tc>
          <w:tcPr>
            <w:tcW w:w="705" w:type="dxa"/>
            <w:noWrap w:val="0"/>
            <w:vAlign w:val="center"/>
          </w:tcPr>
          <w:p w14:paraId="4A0372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50" w:type="dxa"/>
            <w:noWrap w:val="0"/>
            <w:vAlign w:val="center"/>
          </w:tcPr>
          <w:p w14:paraId="3A317B5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091" w:type="dxa"/>
            <w:noWrap w:val="0"/>
            <w:vAlign w:val="center"/>
          </w:tcPr>
          <w:p w14:paraId="6358C13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6B0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Merge w:val="continue"/>
            <w:noWrap w:val="0"/>
            <w:vAlign w:val="center"/>
          </w:tcPr>
          <w:p w14:paraId="2FA0563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5906E1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728" w:type="dxa"/>
            <w:vMerge w:val="continue"/>
            <w:noWrap w:val="0"/>
            <w:vAlign w:val="center"/>
          </w:tcPr>
          <w:p w14:paraId="18D72E7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95" w:type="dxa"/>
            <w:noWrap w:val="0"/>
            <w:vAlign w:val="center"/>
          </w:tcPr>
          <w:p w14:paraId="5B428A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按计划时间完成全年任务</w:t>
            </w:r>
          </w:p>
        </w:tc>
        <w:tc>
          <w:tcPr>
            <w:tcW w:w="2238" w:type="dxa"/>
            <w:noWrap w:val="0"/>
            <w:vAlign w:val="center"/>
          </w:tcPr>
          <w:p w14:paraId="1D0B1E3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2025年12月31日前完成</w:t>
            </w:r>
          </w:p>
        </w:tc>
        <w:tc>
          <w:tcPr>
            <w:tcW w:w="1673" w:type="dxa"/>
            <w:noWrap w:val="0"/>
            <w:vAlign w:val="center"/>
          </w:tcPr>
          <w:p w14:paraId="6013219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均如期完成</w:t>
            </w:r>
          </w:p>
        </w:tc>
        <w:tc>
          <w:tcPr>
            <w:tcW w:w="705" w:type="dxa"/>
            <w:noWrap w:val="0"/>
            <w:vAlign w:val="center"/>
          </w:tcPr>
          <w:p w14:paraId="20A41A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50" w:type="dxa"/>
            <w:noWrap w:val="0"/>
            <w:vAlign w:val="center"/>
          </w:tcPr>
          <w:p w14:paraId="2E58E4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091" w:type="dxa"/>
            <w:noWrap w:val="0"/>
            <w:vAlign w:val="center"/>
          </w:tcPr>
          <w:p w14:paraId="1BB7D0C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42B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49" w:type="dxa"/>
            <w:vMerge w:val="continue"/>
            <w:noWrap w:val="0"/>
            <w:vAlign w:val="center"/>
          </w:tcPr>
          <w:p w14:paraId="259183C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2817DC4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728" w:type="dxa"/>
            <w:vMerge w:val="restart"/>
            <w:noWrap w:val="0"/>
            <w:vAlign w:val="center"/>
          </w:tcPr>
          <w:p w14:paraId="68A84E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095" w:type="dxa"/>
            <w:noWrap w:val="0"/>
            <w:vAlign w:val="center"/>
          </w:tcPr>
          <w:p w14:paraId="571C27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经济成本指标</w:t>
            </w:r>
          </w:p>
        </w:tc>
        <w:tc>
          <w:tcPr>
            <w:tcW w:w="2238" w:type="dxa"/>
            <w:noWrap w:val="0"/>
            <w:vAlign w:val="center"/>
          </w:tcPr>
          <w:p w14:paraId="470B82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控制在年度预算金额内</w:t>
            </w:r>
          </w:p>
        </w:tc>
        <w:tc>
          <w:tcPr>
            <w:tcW w:w="1673" w:type="dxa"/>
            <w:noWrap w:val="0"/>
            <w:vAlign w:val="center"/>
          </w:tcPr>
          <w:p w14:paraId="2090697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未超预算</w:t>
            </w:r>
          </w:p>
        </w:tc>
        <w:tc>
          <w:tcPr>
            <w:tcW w:w="705" w:type="dxa"/>
            <w:noWrap w:val="0"/>
            <w:vAlign w:val="center"/>
          </w:tcPr>
          <w:p w14:paraId="416F77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850" w:type="dxa"/>
            <w:noWrap w:val="0"/>
            <w:vAlign w:val="center"/>
          </w:tcPr>
          <w:p w14:paraId="3467315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091" w:type="dxa"/>
            <w:noWrap w:val="0"/>
            <w:vAlign w:val="center"/>
          </w:tcPr>
          <w:p w14:paraId="015AAA8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B974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49" w:type="dxa"/>
            <w:vMerge w:val="continue"/>
            <w:noWrap w:val="0"/>
            <w:vAlign w:val="center"/>
          </w:tcPr>
          <w:p w14:paraId="2E26EDA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04CD99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728" w:type="dxa"/>
            <w:vMerge w:val="continue"/>
            <w:noWrap w:val="0"/>
            <w:vAlign w:val="center"/>
          </w:tcPr>
          <w:p w14:paraId="036FEBB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95" w:type="dxa"/>
            <w:noWrap w:val="0"/>
            <w:vAlign w:val="center"/>
          </w:tcPr>
          <w:p w14:paraId="004B15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社会成本指标</w:t>
            </w:r>
          </w:p>
        </w:tc>
        <w:tc>
          <w:tcPr>
            <w:tcW w:w="2238" w:type="dxa"/>
            <w:noWrap w:val="0"/>
            <w:vAlign w:val="center"/>
          </w:tcPr>
          <w:p w14:paraId="7C1B322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施工期间影响市民出行安全全年≤3起</w:t>
            </w:r>
          </w:p>
        </w:tc>
        <w:tc>
          <w:tcPr>
            <w:tcW w:w="1673" w:type="dxa"/>
            <w:noWrap w:val="0"/>
            <w:vAlign w:val="center"/>
          </w:tcPr>
          <w:p w14:paraId="24785D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影响市民出行安全事项0起</w:t>
            </w:r>
          </w:p>
        </w:tc>
        <w:tc>
          <w:tcPr>
            <w:tcW w:w="705" w:type="dxa"/>
            <w:noWrap w:val="0"/>
            <w:vAlign w:val="center"/>
          </w:tcPr>
          <w:p w14:paraId="140355C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850" w:type="dxa"/>
            <w:noWrap w:val="0"/>
            <w:vAlign w:val="center"/>
          </w:tcPr>
          <w:p w14:paraId="3BE183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091" w:type="dxa"/>
            <w:noWrap w:val="0"/>
            <w:vAlign w:val="center"/>
          </w:tcPr>
          <w:p w14:paraId="5B31623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92E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849" w:type="dxa"/>
            <w:vMerge w:val="continue"/>
            <w:noWrap w:val="0"/>
            <w:vAlign w:val="center"/>
          </w:tcPr>
          <w:p w14:paraId="559068A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1848EE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728" w:type="dxa"/>
            <w:vMerge w:val="continue"/>
            <w:noWrap w:val="0"/>
            <w:vAlign w:val="center"/>
          </w:tcPr>
          <w:p w14:paraId="794AD39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95" w:type="dxa"/>
            <w:noWrap w:val="0"/>
            <w:vAlign w:val="center"/>
          </w:tcPr>
          <w:p w14:paraId="747295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生态环境成本指标</w:t>
            </w:r>
          </w:p>
          <w:p w14:paraId="29D3B4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是</w:t>
            </w:r>
          </w:p>
        </w:tc>
        <w:tc>
          <w:tcPr>
            <w:tcW w:w="2238" w:type="dxa"/>
            <w:noWrap w:val="0"/>
            <w:vAlign w:val="center"/>
          </w:tcPr>
          <w:p w14:paraId="129033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施工作业噪音白天</w:t>
            </w:r>
            <w:r>
              <w:rPr>
                <w:rFonts w:hint="default" w:ascii="Arial" w:hAnsi="Arial" w:eastAsia="仿宋_GB2312" w:cs="Arial"/>
                <w:color w:val="000000"/>
                <w:sz w:val="20"/>
                <w:szCs w:val="20"/>
                <w:highlight w:val="none"/>
                <w:lang w:val="en-US" w:eastAsia="zh-CN"/>
              </w:rPr>
              <w:t>≤</w:t>
            </w:r>
            <w:r>
              <w:rPr>
                <w:rFonts w:hint="eastAsia" w:ascii="仿宋_GB2312" w:hAnsi="仿宋_GB2312" w:eastAsia="仿宋_GB2312" w:cs="仿宋_GB2312"/>
                <w:color w:val="000000"/>
                <w:sz w:val="20"/>
                <w:szCs w:val="20"/>
                <w:highlight w:val="none"/>
                <w:lang w:val="en-US" w:eastAsia="zh-CN"/>
              </w:rPr>
              <w:t>80分贝、夜间</w:t>
            </w:r>
            <w:r>
              <w:rPr>
                <w:rFonts w:hint="default" w:ascii="Arial" w:hAnsi="Arial" w:eastAsia="仿宋_GB2312" w:cs="Arial"/>
                <w:color w:val="000000"/>
                <w:sz w:val="20"/>
                <w:szCs w:val="20"/>
                <w:highlight w:val="none"/>
                <w:lang w:val="en-US" w:eastAsia="zh-CN"/>
              </w:rPr>
              <w:t>≤</w:t>
            </w:r>
            <w:r>
              <w:rPr>
                <w:rFonts w:hint="eastAsia" w:ascii="仿宋_GB2312" w:hAnsi="仿宋_GB2312" w:eastAsia="仿宋_GB2312" w:cs="仿宋_GB2312"/>
                <w:color w:val="000000"/>
                <w:sz w:val="20"/>
                <w:szCs w:val="20"/>
                <w:highlight w:val="none"/>
                <w:lang w:val="en-US" w:eastAsia="zh-CN"/>
              </w:rPr>
              <w:t>65分贝</w:t>
            </w:r>
          </w:p>
        </w:tc>
        <w:tc>
          <w:tcPr>
            <w:tcW w:w="1673" w:type="dxa"/>
            <w:noWrap w:val="0"/>
            <w:vAlign w:val="center"/>
          </w:tcPr>
          <w:p w14:paraId="5326EB0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均未超过相关标准</w:t>
            </w:r>
          </w:p>
        </w:tc>
        <w:tc>
          <w:tcPr>
            <w:tcW w:w="705" w:type="dxa"/>
            <w:noWrap w:val="0"/>
            <w:vAlign w:val="center"/>
          </w:tcPr>
          <w:p w14:paraId="0A2B37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 xml:space="preserve"> 3</w:t>
            </w:r>
          </w:p>
        </w:tc>
        <w:tc>
          <w:tcPr>
            <w:tcW w:w="850" w:type="dxa"/>
            <w:noWrap w:val="0"/>
            <w:vAlign w:val="center"/>
          </w:tcPr>
          <w:p w14:paraId="5ED4C7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091" w:type="dxa"/>
            <w:noWrap w:val="0"/>
            <w:vAlign w:val="center"/>
          </w:tcPr>
          <w:p w14:paraId="16186F7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3D24D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Merge w:val="continue"/>
            <w:noWrap w:val="0"/>
            <w:vAlign w:val="center"/>
          </w:tcPr>
          <w:p w14:paraId="16F83E4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restart"/>
            <w:noWrap w:val="0"/>
            <w:vAlign w:val="center"/>
          </w:tcPr>
          <w:p w14:paraId="70573B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效益指标（30分）</w:t>
            </w:r>
          </w:p>
          <w:p w14:paraId="708917E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28" w:type="dxa"/>
            <w:vMerge w:val="restart"/>
            <w:noWrap w:val="0"/>
            <w:vAlign w:val="center"/>
          </w:tcPr>
          <w:p w14:paraId="2096F48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3E6131B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095" w:type="dxa"/>
            <w:noWrap w:val="0"/>
            <w:vAlign w:val="center"/>
          </w:tcPr>
          <w:p w14:paraId="790F72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提</w:t>
            </w:r>
            <w:r>
              <w:rPr>
                <w:rFonts w:hint="eastAsia" w:ascii="仿宋_GB2312" w:hAnsi="仿宋_GB2312" w:eastAsia="仿宋_GB2312" w:cs="仿宋_GB2312"/>
                <w:color w:val="000000"/>
                <w:sz w:val="20"/>
                <w:szCs w:val="20"/>
                <w:highlight w:val="none"/>
                <w:lang w:eastAsia="zh-CN"/>
              </w:rPr>
              <w:t>升</w:t>
            </w:r>
            <w:r>
              <w:rPr>
                <w:rFonts w:hint="eastAsia" w:ascii="仿宋_GB2312" w:hAnsi="仿宋_GB2312" w:eastAsia="仿宋_GB2312" w:cs="仿宋_GB2312"/>
                <w:color w:val="000000"/>
                <w:sz w:val="20"/>
                <w:szCs w:val="20"/>
                <w:highlight w:val="none"/>
              </w:rPr>
              <w:t>管理水平，</w:t>
            </w:r>
            <w:r>
              <w:rPr>
                <w:rFonts w:hint="eastAsia" w:ascii="仿宋_GB2312" w:hAnsi="仿宋_GB2312" w:eastAsia="仿宋_GB2312" w:cs="仿宋_GB2312"/>
                <w:color w:val="000000"/>
                <w:sz w:val="20"/>
                <w:szCs w:val="20"/>
                <w:highlight w:val="none"/>
                <w:lang w:eastAsia="zh-CN"/>
              </w:rPr>
              <w:t>管控</w:t>
            </w:r>
            <w:r>
              <w:rPr>
                <w:rFonts w:hint="eastAsia" w:ascii="仿宋_GB2312" w:hAnsi="仿宋_GB2312" w:eastAsia="仿宋_GB2312" w:cs="仿宋_GB2312"/>
                <w:color w:val="000000"/>
                <w:sz w:val="20"/>
                <w:szCs w:val="20"/>
                <w:highlight w:val="none"/>
              </w:rPr>
              <w:t>常规维护费</w:t>
            </w:r>
            <w:r>
              <w:rPr>
                <w:rFonts w:hint="eastAsia" w:ascii="仿宋_GB2312" w:hAnsi="仿宋_GB2312" w:eastAsia="仿宋_GB2312" w:cs="仿宋_GB2312"/>
                <w:color w:val="000000"/>
                <w:sz w:val="20"/>
                <w:szCs w:val="20"/>
                <w:highlight w:val="none"/>
                <w:lang w:eastAsia="zh-CN"/>
              </w:rPr>
              <w:t>用</w:t>
            </w:r>
          </w:p>
        </w:tc>
        <w:tc>
          <w:tcPr>
            <w:tcW w:w="2238" w:type="dxa"/>
            <w:noWrap w:val="0"/>
            <w:vAlign w:val="center"/>
          </w:tcPr>
          <w:p w14:paraId="0BC7A768">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降低常规维护成本</w:t>
            </w:r>
          </w:p>
        </w:tc>
        <w:tc>
          <w:tcPr>
            <w:tcW w:w="1673" w:type="dxa"/>
            <w:noWrap w:val="0"/>
            <w:vAlign w:val="center"/>
          </w:tcPr>
          <w:p w14:paraId="33F5704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维护成本得到有效控制</w:t>
            </w:r>
          </w:p>
        </w:tc>
        <w:tc>
          <w:tcPr>
            <w:tcW w:w="705" w:type="dxa"/>
            <w:noWrap w:val="0"/>
            <w:vAlign w:val="center"/>
          </w:tcPr>
          <w:p w14:paraId="068A36F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850" w:type="dxa"/>
            <w:noWrap w:val="0"/>
            <w:vAlign w:val="center"/>
          </w:tcPr>
          <w:p w14:paraId="3FE034C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091" w:type="dxa"/>
            <w:noWrap w:val="0"/>
            <w:vAlign w:val="center"/>
          </w:tcPr>
          <w:p w14:paraId="268123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EF6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jc w:val="center"/>
        </w:trPr>
        <w:tc>
          <w:tcPr>
            <w:tcW w:w="849" w:type="dxa"/>
            <w:vMerge w:val="continue"/>
            <w:noWrap w:val="0"/>
            <w:vAlign w:val="center"/>
          </w:tcPr>
          <w:p w14:paraId="7EE8413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312BD52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728" w:type="dxa"/>
            <w:vMerge w:val="continue"/>
            <w:noWrap w:val="0"/>
            <w:vAlign w:val="center"/>
          </w:tcPr>
          <w:p w14:paraId="20926B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95" w:type="dxa"/>
            <w:noWrap w:val="0"/>
            <w:vAlign w:val="center"/>
          </w:tcPr>
          <w:p w14:paraId="6F786E2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是否有益于岳阳经济的发展</w:t>
            </w:r>
          </w:p>
        </w:tc>
        <w:tc>
          <w:tcPr>
            <w:tcW w:w="2238" w:type="dxa"/>
            <w:noWrap w:val="0"/>
            <w:vAlign w:val="center"/>
          </w:tcPr>
          <w:p w14:paraId="498D1EA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auto"/>
                <w:sz w:val="20"/>
                <w:szCs w:val="20"/>
                <w:highlight w:val="none"/>
                <w:lang w:val="e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 xml:space="preserve">  助力岳阳经济发展</w:t>
            </w:r>
          </w:p>
        </w:tc>
        <w:tc>
          <w:tcPr>
            <w:tcW w:w="1673" w:type="dxa"/>
            <w:noWrap w:val="0"/>
            <w:vAlign w:val="center"/>
          </w:tcPr>
          <w:p w14:paraId="59E6F04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auto"/>
                <w:sz w:val="20"/>
                <w:szCs w:val="20"/>
                <w:highlight w:val="none"/>
                <w:lang w:val="en" w:eastAsia="zh-CN"/>
              </w:rPr>
            </w:pPr>
            <w:r>
              <w:rPr>
                <w:rFonts w:hint="eastAsia" w:ascii="仿宋_GB2312" w:hAnsi="仿宋_GB2312" w:eastAsia="仿宋_GB2312" w:cs="仿宋_GB2312"/>
                <w:color w:val="auto"/>
                <w:sz w:val="20"/>
                <w:szCs w:val="20"/>
                <w:highlight w:val="none"/>
                <w:lang w:val="en" w:eastAsia="zh-CN"/>
              </w:rPr>
              <w:t>有效助力岳阳经济发展</w:t>
            </w:r>
          </w:p>
        </w:tc>
        <w:tc>
          <w:tcPr>
            <w:tcW w:w="705" w:type="dxa"/>
            <w:noWrap w:val="0"/>
            <w:vAlign w:val="center"/>
          </w:tcPr>
          <w:p w14:paraId="730695C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4</w:t>
            </w:r>
          </w:p>
        </w:tc>
        <w:tc>
          <w:tcPr>
            <w:tcW w:w="850" w:type="dxa"/>
            <w:noWrap w:val="0"/>
            <w:vAlign w:val="center"/>
          </w:tcPr>
          <w:p w14:paraId="6F2A52E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auto"/>
                <w:sz w:val="20"/>
                <w:szCs w:val="20"/>
                <w:highlight w:val="none"/>
                <w:lang w:val="en" w:eastAsia="zh-CN"/>
              </w:rPr>
            </w:pPr>
            <w:r>
              <w:rPr>
                <w:rFonts w:hint="eastAsia" w:ascii="仿宋_GB2312" w:hAnsi="仿宋_GB2312" w:eastAsia="仿宋_GB2312" w:cs="仿宋_GB2312"/>
                <w:color w:val="auto"/>
                <w:sz w:val="20"/>
                <w:szCs w:val="20"/>
                <w:highlight w:val="none"/>
              </w:rPr>
              <w:t>　</w:t>
            </w:r>
            <w:r>
              <w:rPr>
                <w:rFonts w:hint="default" w:ascii="仿宋_GB2312" w:hAnsi="仿宋_GB2312" w:eastAsia="仿宋_GB2312" w:cs="仿宋_GB2312"/>
                <w:color w:val="auto"/>
                <w:sz w:val="20"/>
                <w:szCs w:val="20"/>
                <w:highlight w:val="none"/>
                <w:lang w:val="en" w:eastAsia="zh-CN"/>
              </w:rPr>
              <w:t>4</w:t>
            </w:r>
          </w:p>
        </w:tc>
        <w:tc>
          <w:tcPr>
            <w:tcW w:w="1091" w:type="dxa"/>
            <w:noWrap w:val="0"/>
            <w:vAlign w:val="center"/>
          </w:tcPr>
          <w:p w14:paraId="68C58F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auto"/>
                <w:sz w:val="18"/>
                <w:szCs w:val="18"/>
                <w:highlight w:val="none"/>
                <w:lang w:val="en"/>
              </w:rPr>
            </w:pPr>
          </w:p>
        </w:tc>
      </w:tr>
      <w:tr w14:paraId="7BA5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jc w:val="center"/>
        </w:trPr>
        <w:tc>
          <w:tcPr>
            <w:tcW w:w="849" w:type="dxa"/>
            <w:vMerge w:val="continue"/>
            <w:noWrap w:val="0"/>
            <w:vAlign w:val="center"/>
          </w:tcPr>
          <w:p w14:paraId="47D623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24A3801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728" w:type="dxa"/>
            <w:vMerge w:val="restart"/>
            <w:noWrap w:val="0"/>
            <w:vAlign w:val="center"/>
          </w:tcPr>
          <w:p w14:paraId="5425C78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2426A7D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095" w:type="dxa"/>
            <w:noWrap w:val="0"/>
            <w:vAlign w:val="center"/>
          </w:tcPr>
          <w:p w14:paraId="11777D9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方便市民出行</w:t>
            </w:r>
          </w:p>
        </w:tc>
        <w:tc>
          <w:tcPr>
            <w:tcW w:w="2238" w:type="dxa"/>
            <w:noWrap w:val="0"/>
            <w:vAlign w:val="center"/>
          </w:tcPr>
          <w:p w14:paraId="232C7CC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保障城区道路处于良好状态，方便市民出行。</w:t>
            </w:r>
          </w:p>
        </w:tc>
        <w:tc>
          <w:tcPr>
            <w:tcW w:w="1673" w:type="dxa"/>
            <w:noWrap w:val="0"/>
            <w:vAlign w:val="center"/>
          </w:tcPr>
          <w:p w14:paraId="64D27F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城区道路常年处于良好状态</w:t>
            </w:r>
          </w:p>
        </w:tc>
        <w:tc>
          <w:tcPr>
            <w:tcW w:w="705" w:type="dxa"/>
            <w:noWrap w:val="0"/>
            <w:vAlign w:val="center"/>
          </w:tcPr>
          <w:p w14:paraId="212C23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850" w:type="dxa"/>
            <w:noWrap w:val="0"/>
            <w:vAlign w:val="center"/>
          </w:tcPr>
          <w:p w14:paraId="4DFBB91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p>
        </w:tc>
        <w:tc>
          <w:tcPr>
            <w:tcW w:w="1091" w:type="dxa"/>
            <w:noWrap w:val="0"/>
            <w:vAlign w:val="center"/>
          </w:tcPr>
          <w:p w14:paraId="63D8CE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18"/>
                <w:szCs w:val="18"/>
                <w:highlight w:val="none"/>
                <w:lang w:eastAsia="zh-CN"/>
              </w:rPr>
            </w:pPr>
            <w:r>
              <w:rPr>
                <w:rFonts w:hint="eastAsia" w:ascii="仿宋_GB2312" w:hAnsi="仿宋_GB2312" w:eastAsia="仿宋_GB2312" w:cs="仿宋_GB2312"/>
                <w:color w:val="000000"/>
                <w:sz w:val="18"/>
                <w:szCs w:val="18"/>
                <w:highlight w:val="none"/>
                <w:lang w:eastAsia="zh-CN"/>
              </w:rPr>
              <w:t>部分井盖维护及时性有待加强，下一步加强巡查，及时维护。</w:t>
            </w:r>
          </w:p>
        </w:tc>
      </w:tr>
      <w:tr w14:paraId="268BC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Merge w:val="continue"/>
            <w:noWrap w:val="0"/>
            <w:vAlign w:val="center"/>
          </w:tcPr>
          <w:p w14:paraId="3270ABB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583832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728" w:type="dxa"/>
            <w:vMerge w:val="continue"/>
            <w:noWrap w:val="0"/>
            <w:vAlign w:val="center"/>
          </w:tcPr>
          <w:p w14:paraId="358EE02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95" w:type="dxa"/>
            <w:noWrap w:val="0"/>
            <w:vAlign w:val="center"/>
          </w:tcPr>
          <w:p w14:paraId="0562E4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改</w:t>
            </w:r>
            <w:r>
              <w:rPr>
                <w:rFonts w:hint="eastAsia" w:ascii="仿宋_GB2312" w:hAnsi="仿宋_GB2312" w:eastAsia="仿宋_GB2312" w:cs="仿宋_GB2312"/>
                <w:color w:val="000000"/>
                <w:sz w:val="20"/>
                <w:szCs w:val="20"/>
                <w:highlight w:val="none"/>
                <w:lang w:eastAsia="zh-CN"/>
              </w:rPr>
              <w:t>善</w:t>
            </w:r>
            <w:r>
              <w:rPr>
                <w:rFonts w:hint="eastAsia" w:ascii="仿宋_GB2312" w:hAnsi="仿宋_GB2312" w:eastAsia="仿宋_GB2312" w:cs="仿宋_GB2312"/>
                <w:color w:val="000000"/>
                <w:sz w:val="20"/>
                <w:szCs w:val="20"/>
                <w:highlight w:val="none"/>
              </w:rPr>
              <w:t>城市面貌</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提升城市形象</w:t>
            </w:r>
          </w:p>
        </w:tc>
        <w:tc>
          <w:tcPr>
            <w:tcW w:w="2238" w:type="dxa"/>
            <w:noWrap w:val="0"/>
            <w:vAlign w:val="center"/>
          </w:tcPr>
          <w:p w14:paraId="2B0D8B5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提升城区市政设施管养水平</w:t>
            </w:r>
          </w:p>
        </w:tc>
        <w:tc>
          <w:tcPr>
            <w:tcW w:w="1673" w:type="dxa"/>
            <w:noWrap w:val="0"/>
            <w:vAlign w:val="center"/>
          </w:tcPr>
          <w:p w14:paraId="658C0D7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城区市政设施管养水平不断提升，城市整体形象不断提升。</w:t>
            </w:r>
          </w:p>
        </w:tc>
        <w:tc>
          <w:tcPr>
            <w:tcW w:w="705" w:type="dxa"/>
            <w:noWrap w:val="0"/>
            <w:vAlign w:val="center"/>
          </w:tcPr>
          <w:p w14:paraId="404DB0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850" w:type="dxa"/>
            <w:noWrap w:val="0"/>
            <w:vAlign w:val="center"/>
          </w:tcPr>
          <w:p w14:paraId="5A86D892">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091" w:type="dxa"/>
            <w:noWrap w:val="0"/>
            <w:vAlign w:val="center"/>
          </w:tcPr>
          <w:p w14:paraId="5B5FB5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18"/>
                <w:szCs w:val="18"/>
                <w:highlight w:val="none"/>
                <w:lang w:val="en-US" w:eastAsia="zh-CN"/>
              </w:rPr>
            </w:pPr>
          </w:p>
        </w:tc>
      </w:tr>
      <w:tr w14:paraId="1541C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849" w:type="dxa"/>
            <w:vMerge w:val="continue"/>
            <w:noWrap w:val="0"/>
            <w:vAlign w:val="center"/>
          </w:tcPr>
          <w:p w14:paraId="34E9BDC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7ADA35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728" w:type="dxa"/>
            <w:vMerge w:val="continue"/>
            <w:noWrap w:val="0"/>
            <w:vAlign w:val="center"/>
          </w:tcPr>
          <w:p w14:paraId="42B270A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95" w:type="dxa"/>
            <w:noWrap w:val="0"/>
            <w:vAlign w:val="center"/>
          </w:tcPr>
          <w:p w14:paraId="092A6B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提</w:t>
            </w:r>
            <w:r>
              <w:rPr>
                <w:rFonts w:hint="eastAsia" w:ascii="仿宋_GB2312" w:hAnsi="仿宋_GB2312" w:eastAsia="仿宋_GB2312" w:cs="仿宋_GB2312"/>
                <w:color w:val="000000"/>
                <w:sz w:val="20"/>
                <w:szCs w:val="20"/>
                <w:highlight w:val="none"/>
                <w:lang w:eastAsia="zh-CN"/>
              </w:rPr>
              <w:t>升</w:t>
            </w:r>
            <w:r>
              <w:rPr>
                <w:rFonts w:hint="eastAsia" w:ascii="仿宋_GB2312" w:hAnsi="仿宋_GB2312" w:eastAsia="仿宋_GB2312" w:cs="仿宋_GB2312"/>
                <w:color w:val="000000"/>
                <w:sz w:val="20"/>
                <w:szCs w:val="20"/>
                <w:highlight w:val="none"/>
              </w:rPr>
              <w:t>城</w:t>
            </w:r>
            <w:r>
              <w:rPr>
                <w:rFonts w:hint="eastAsia" w:ascii="仿宋_GB2312" w:hAnsi="仿宋_GB2312" w:eastAsia="仿宋_GB2312" w:cs="仿宋_GB2312"/>
                <w:color w:val="000000"/>
                <w:sz w:val="20"/>
                <w:szCs w:val="20"/>
                <w:highlight w:val="none"/>
                <w:lang w:eastAsia="zh-CN"/>
              </w:rPr>
              <w:t>区防涝应对能力</w:t>
            </w:r>
          </w:p>
        </w:tc>
        <w:tc>
          <w:tcPr>
            <w:tcW w:w="2238" w:type="dxa"/>
            <w:noWrap w:val="0"/>
            <w:vAlign w:val="center"/>
          </w:tcPr>
          <w:p w14:paraId="7E0EFF9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清理城市排水管网，保障城区</w:t>
            </w:r>
            <w:r>
              <w:rPr>
                <w:rFonts w:hint="eastAsia" w:ascii="仿宋_GB2312" w:hAnsi="仿宋_GB2312" w:eastAsia="仿宋_GB2312" w:cs="仿宋_GB2312"/>
                <w:color w:val="000000"/>
                <w:sz w:val="20"/>
                <w:szCs w:val="20"/>
                <w:highlight w:val="none"/>
              </w:rPr>
              <w:t>道路积水</w:t>
            </w:r>
            <w:r>
              <w:rPr>
                <w:rFonts w:hint="eastAsia" w:ascii="仿宋_GB2312" w:hAnsi="仿宋_GB2312" w:eastAsia="仿宋_GB2312" w:cs="仿宋_GB2312"/>
                <w:color w:val="000000"/>
                <w:sz w:val="20"/>
                <w:szCs w:val="20"/>
                <w:highlight w:val="none"/>
                <w:lang w:eastAsia="zh-CN"/>
              </w:rPr>
              <w:t>及时排放</w:t>
            </w:r>
          </w:p>
        </w:tc>
        <w:tc>
          <w:tcPr>
            <w:tcW w:w="1673" w:type="dxa"/>
            <w:noWrap w:val="0"/>
            <w:vAlign w:val="center"/>
          </w:tcPr>
          <w:p w14:paraId="7D359BE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城区</w:t>
            </w:r>
            <w:r>
              <w:rPr>
                <w:rFonts w:hint="eastAsia" w:ascii="仿宋_GB2312" w:hAnsi="仿宋_GB2312" w:eastAsia="仿宋_GB2312" w:cs="仿宋_GB2312"/>
                <w:color w:val="000000"/>
                <w:sz w:val="20"/>
                <w:szCs w:val="20"/>
                <w:highlight w:val="none"/>
                <w:lang w:eastAsia="zh-CN"/>
              </w:rPr>
              <w:t>全年无大面积积水现象</w:t>
            </w:r>
          </w:p>
        </w:tc>
        <w:tc>
          <w:tcPr>
            <w:tcW w:w="705" w:type="dxa"/>
            <w:noWrap w:val="0"/>
            <w:vAlign w:val="center"/>
          </w:tcPr>
          <w:p w14:paraId="175D3C4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850" w:type="dxa"/>
            <w:noWrap w:val="0"/>
            <w:vAlign w:val="center"/>
          </w:tcPr>
          <w:p w14:paraId="510FBE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p>
        </w:tc>
        <w:tc>
          <w:tcPr>
            <w:tcW w:w="1091" w:type="dxa"/>
            <w:noWrap w:val="0"/>
            <w:vAlign w:val="center"/>
          </w:tcPr>
          <w:p w14:paraId="23F8F9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少数地方存在渍水点，下一步加强巡查，及时维护处置</w:t>
            </w:r>
          </w:p>
        </w:tc>
      </w:tr>
      <w:tr w14:paraId="0E9A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49" w:type="dxa"/>
            <w:vMerge w:val="continue"/>
            <w:noWrap w:val="0"/>
            <w:vAlign w:val="center"/>
          </w:tcPr>
          <w:p w14:paraId="5BDA700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0F4945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728" w:type="dxa"/>
            <w:vMerge w:val="restart"/>
            <w:noWrap w:val="0"/>
            <w:vAlign w:val="center"/>
          </w:tcPr>
          <w:p w14:paraId="0AADBA2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7A01E2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095" w:type="dxa"/>
            <w:noWrap w:val="0"/>
            <w:vAlign w:val="center"/>
          </w:tcPr>
          <w:p w14:paraId="1AF0F83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生活污水及时</w:t>
            </w:r>
            <w:r>
              <w:rPr>
                <w:rFonts w:hint="eastAsia" w:ascii="仿宋_GB2312" w:hAnsi="仿宋_GB2312" w:eastAsia="仿宋_GB2312" w:cs="仿宋_GB2312"/>
                <w:color w:val="000000"/>
                <w:sz w:val="20"/>
                <w:szCs w:val="20"/>
                <w:highlight w:val="none"/>
                <w:lang w:eastAsia="zh-CN"/>
              </w:rPr>
              <w:t>处置</w:t>
            </w:r>
          </w:p>
        </w:tc>
        <w:tc>
          <w:tcPr>
            <w:tcW w:w="2238" w:type="dxa"/>
            <w:noWrap w:val="0"/>
            <w:vAlign w:val="center"/>
          </w:tcPr>
          <w:p w14:paraId="20AEB8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生活污水及时</w:t>
            </w:r>
            <w:r>
              <w:rPr>
                <w:rFonts w:hint="eastAsia" w:ascii="仿宋_GB2312" w:hAnsi="仿宋_GB2312" w:eastAsia="仿宋_GB2312" w:cs="仿宋_GB2312"/>
                <w:color w:val="000000"/>
                <w:sz w:val="20"/>
                <w:szCs w:val="20"/>
                <w:highlight w:val="none"/>
                <w:lang w:eastAsia="zh-CN"/>
              </w:rPr>
              <w:t>输送至污水处理厂</w:t>
            </w:r>
          </w:p>
        </w:tc>
        <w:tc>
          <w:tcPr>
            <w:tcW w:w="1673" w:type="dxa"/>
            <w:noWrap w:val="0"/>
            <w:vAlign w:val="center"/>
          </w:tcPr>
          <w:p w14:paraId="4BF238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所负责区域</w:t>
            </w:r>
            <w:r>
              <w:rPr>
                <w:rFonts w:hint="eastAsia" w:ascii="仿宋_GB2312" w:hAnsi="仿宋_GB2312" w:eastAsia="仿宋_GB2312" w:cs="仿宋_GB2312"/>
                <w:color w:val="000000"/>
                <w:sz w:val="20"/>
                <w:szCs w:val="20"/>
                <w:highlight w:val="none"/>
              </w:rPr>
              <w:t>生活污水</w:t>
            </w:r>
            <w:r>
              <w:rPr>
                <w:rFonts w:hint="eastAsia" w:ascii="仿宋_GB2312" w:hAnsi="仿宋_GB2312" w:eastAsia="仿宋_GB2312" w:cs="仿宋_GB2312"/>
                <w:color w:val="000000"/>
                <w:sz w:val="20"/>
                <w:szCs w:val="20"/>
                <w:highlight w:val="none"/>
                <w:lang w:eastAsia="zh-CN"/>
              </w:rPr>
              <w:t>均及时处置</w:t>
            </w:r>
          </w:p>
        </w:tc>
        <w:tc>
          <w:tcPr>
            <w:tcW w:w="705" w:type="dxa"/>
            <w:noWrap w:val="0"/>
            <w:vAlign w:val="center"/>
          </w:tcPr>
          <w:p w14:paraId="35941DC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850" w:type="dxa"/>
            <w:noWrap w:val="0"/>
            <w:vAlign w:val="center"/>
          </w:tcPr>
          <w:p w14:paraId="66BFF0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091" w:type="dxa"/>
            <w:noWrap w:val="0"/>
            <w:vAlign w:val="center"/>
          </w:tcPr>
          <w:p w14:paraId="1699D2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F88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49" w:type="dxa"/>
            <w:vMerge w:val="continue"/>
            <w:noWrap w:val="0"/>
            <w:vAlign w:val="center"/>
          </w:tcPr>
          <w:p w14:paraId="7051CE0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39C3D4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728" w:type="dxa"/>
            <w:vMerge w:val="continue"/>
            <w:noWrap w:val="0"/>
            <w:vAlign w:val="center"/>
          </w:tcPr>
          <w:p w14:paraId="2655675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95" w:type="dxa"/>
            <w:noWrap w:val="0"/>
            <w:vAlign w:val="center"/>
          </w:tcPr>
          <w:p w14:paraId="78FC387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城市景观管养</w:t>
            </w:r>
          </w:p>
        </w:tc>
        <w:tc>
          <w:tcPr>
            <w:tcW w:w="2238" w:type="dxa"/>
            <w:noWrap w:val="0"/>
            <w:vAlign w:val="center"/>
          </w:tcPr>
          <w:p w14:paraId="3A9FAE2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城市景观有所改善</w:t>
            </w:r>
          </w:p>
        </w:tc>
        <w:tc>
          <w:tcPr>
            <w:tcW w:w="1673" w:type="dxa"/>
            <w:noWrap w:val="0"/>
            <w:vAlign w:val="center"/>
          </w:tcPr>
          <w:p w14:paraId="7E57C5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城市景观管养水平不断提升</w:t>
            </w:r>
          </w:p>
        </w:tc>
        <w:tc>
          <w:tcPr>
            <w:tcW w:w="705" w:type="dxa"/>
            <w:noWrap w:val="0"/>
            <w:vAlign w:val="center"/>
          </w:tcPr>
          <w:p w14:paraId="77A25B8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850" w:type="dxa"/>
            <w:noWrap w:val="0"/>
            <w:vAlign w:val="center"/>
          </w:tcPr>
          <w:p w14:paraId="1A7E88C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091" w:type="dxa"/>
            <w:noWrap w:val="0"/>
            <w:vAlign w:val="center"/>
          </w:tcPr>
          <w:p w14:paraId="478F22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8505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849" w:type="dxa"/>
            <w:vMerge w:val="continue"/>
            <w:noWrap w:val="0"/>
            <w:vAlign w:val="center"/>
          </w:tcPr>
          <w:p w14:paraId="13C1E3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062C32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728" w:type="dxa"/>
            <w:vMerge w:val="restart"/>
            <w:noWrap w:val="0"/>
            <w:vAlign w:val="center"/>
          </w:tcPr>
          <w:p w14:paraId="1BB8F48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095" w:type="dxa"/>
            <w:noWrap w:val="0"/>
            <w:vAlign w:val="center"/>
          </w:tcPr>
          <w:p w14:paraId="25F186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提升</w:t>
            </w:r>
            <w:r>
              <w:rPr>
                <w:rFonts w:hint="eastAsia" w:ascii="仿宋_GB2312" w:hAnsi="仿宋_GB2312" w:eastAsia="仿宋_GB2312" w:cs="仿宋_GB2312"/>
                <w:color w:val="000000"/>
                <w:sz w:val="20"/>
                <w:szCs w:val="20"/>
                <w:highlight w:val="none"/>
                <w:lang w:val="en-US" w:eastAsia="zh-CN"/>
              </w:rPr>
              <w:t>市政</w:t>
            </w:r>
            <w:r>
              <w:rPr>
                <w:rFonts w:hint="eastAsia" w:ascii="仿宋_GB2312" w:hAnsi="仿宋_GB2312" w:eastAsia="仿宋_GB2312" w:cs="仿宋_GB2312"/>
                <w:color w:val="000000"/>
                <w:sz w:val="20"/>
                <w:szCs w:val="20"/>
                <w:highlight w:val="none"/>
                <w:lang w:eastAsia="zh-CN"/>
              </w:rPr>
              <w:t>设施完好率</w:t>
            </w:r>
          </w:p>
        </w:tc>
        <w:tc>
          <w:tcPr>
            <w:tcW w:w="2238" w:type="dxa"/>
            <w:noWrap w:val="0"/>
            <w:vAlign w:val="center"/>
          </w:tcPr>
          <w:p w14:paraId="025A4A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进一步</w:t>
            </w:r>
            <w:r>
              <w:rPr>
                <w:rFonts w:hint="eastAsia" w:ascii="仿宋_GB2312" w:hAnsi="仿宋_GB2312" w:eastAsia="仿宋_GB2312" w:cs="仿宋_GB2312"/>
                <w:color w:val="000000"/>
                <w:sz w:val="20"/>
                <w:szCs w:val="20"/>
                <w:highlight w:val="none"/>
              </w:rPr>
              <w:t>提升</w:t>
            </w:r>
            <w:r>
              <w:rPr>
                <w:rFonts w:hint="eastAsia" w:ascii="仿宋_GB2312" w:hAnsi="仿宋_GB2312" w:eastAsia="仿宋_GB2312" w:cs="仿宋_GB2312"/>
                <w:color w:val="000000"/>
                <w:sz w:val="20"/>
                <w:szCs w:val="20"/>
                <w:highlight w:val="none"/>
                <w:lang w:val="en-US" w:eastAsia="zh-CN"/>
              </w:rPr>
              <w:t>市政</w:t>
            </w:r>
            <w:r>
              <w:rPr>
                <w:rFonts w:hint="eastAsia" w:ascii="仿宋_GB2312" w:hAnsi="仿宋_GB2312" w:eastAsia="仿宋_GB2312" w:cs="仿宋_GB2312"/>
                <w:color w:val="000000"/>
                <w:sz w:val="20"/>
                <w:szCs w:val="20"/>
                <w:highlight w:val="none"/>
                <w:lang w:eastAsia="zh-CN"/>
              </w:rPr>
              <w:t>设施完好率</w:t>
            </w:r>
          </w:p>
        </w:tc>
        <w:tc>
          <w:tcPr>
            <w:tcW w:w="1673" w:type="dxa"/>
            <w:noWrap w:val="0"/>
            <w:vAlign w:val="center"/>
          </w:tcPr>
          <w:p w14:paraId="12B00F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市政</w:t>
            </w:r>
            <w:r>
              <w:rPr>
                <w:rFonts w:hint="eastAsia" w:ascii="仿宋_GB2312" w:hAnsi="仿宋_GB2312" w:eastAsia="仿宋_GB2312" w:cs="仿宋_GB2312"/>
                <w:color w:val="000000"/>
                <w:sz w:val="20"/>
                <w:szCs w:val="20"/>
                <w:highlight w:val="none"/>
                <w:lang w:eastAsia="zh-CN"/>
              </w:rPr>
              <w:t>设施完好率不断提升</w:t>
            </w:r>
          </w:p>
        </w:tc>
        <w:tc>
          <w:tcPr>
            <w:tcW w:w="705" w:type="dxa"/>
            <w:noWrap w:val="0"/>
            <w:vAlign w:val="center"/>
          </w:tcPr>
          <w:p w14:paraId="75BF0A7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50" w:type="dxa"/>
            <w:noWrap w:val="0"/>
            <w:vAlign w:val="center"/>
          </w:tcPr>
          <w:p w14:paraId="2B44A8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091" w:type="dxa"/>
            <w:noWrap w:val="0"/>
            <w:vAlign w:val="center"/>
          </w:tcPr>
          <w:p w14:paraId="71889E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3B15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9" w:type="dxa"/>
            <w:vMerge w:val="continue"/>
            <w:noWrap w:val="0"/>
            <w:vAlign w:val="center"/>
          </w:tcPr>
          <w:p w14:paraId="1DE7BB0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vMerge w:val="continue"/>
            <w:noWrap w:val="0"/>
            <w:vAlign w:val="center"/>
          </w:tcPr>
          <w:p w14:paraId="2D55C7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728" w:type="dxa"/>
            <w:vMerge w:val="continue"/>
            <w:noWrap w:val="0"/>
            <w:vAlign w:val="center"/>
          </w:tcPr>
          <w:p w14:paraId="5708B98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95" w:type="dxa"/>
            <w:noWrap w:val="0"/>
            <w:vAlign w:val="center"/>
          </w:tcPr>
          <w:p w14:paraId="4A3699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提升岳阳</w:t>
            </w:r>
            <w:r>
              <w:rPr>
                <w:rFonts w:hint="eastAsia" w:ascii="仿宋_GB2312" w:hAnsi="仿宋_GB2312" w:eastAsia="仿宋_GB2312" w:cs="仿宋_GB2312"/>
                <w:color w:val="000000"/>
                <w:sz w:val="20"/>
                <w:szCs w:val="20"/>
                <w:highlight w:val="none"/>
                <w:lang w:eastAsia="zh-CN"/>
              </w:rPr>
              <w:t>城市</w:t>
            </w:r>
            <w:r>
              <w:rPr>
                <w:rFonts w:hint="eastAsia" w:ascii="仿宋_GB2312" w:hAnsi="仿宋_GB2312" w:eastAsia="仿宋_GB2312" w:cs="仿宋_GB2312"/>
                <w:color w:val="000000"/>
                <w:sz w:val="20"/>
                <w:szCs w:val="20"/>
                <w:highlight w:val="none"/>
              </w:rPr>
              <w:t>形象，加速推进岳阳生态文明建设</w:t>
            </w:r>
          </w:p>
        </w:tc>
        <w:tc>
          <w:tcPr>
            <w:tcW w:w="2238" w:type="dxa"/>
            <w:noWrap w:val="0"/>
            <w:vAlign w:val="center"/>
          </w:tcPr>
          <w:p w14:paraId="08D8AB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进一步</w:t>
            </w:r>
            <w:r>
              <w:rPr>
                <w:rFonts w:hint="eastAsia" w:ascii="仿宋_GB2312" w:hAnsi="仿宋_GB2312" w:eastAsia="仿宋_GB2312" w:cs="仿宋_GB2312"/>
                <w:color w:val="000000"/>
                <w:sz w:val="20"/>
                <w:szCs w:val="20"/>
                <w:highlight w:val="none"/>
              </w:rPr>
              <w:t>提升岳阳</w:t>
            </w:r>
            <w:r>
              <w:rPr>
                <w:rFonts w:hint="eastAsia" w:ascii="仿宋_GB2312" w:hAnsi="仿宋_GB2312" w:eastAsia="仿宋_GB2312" w:cs="仿宋_GB2312"/>
                <w:color w:val="000000"/>
                <w:sz w:val="20"/>
                <w:szCs w:val="20"/>
                <w:highlight w:val="none"/>
                <w:lang w:eastAsia="zh-CN"/>
              </w:rPr>
              <w:t>城市整体</w:t>
            </w:r>
            <w:r>
              <w:rPr>
                <w:rFonts w:hint="eastAsia" w:ascii="仿宋_GB2312" w:hAnsi="仿宋_GB2312" w:eastAsia="仿宋_GB2312" w:cs="仿宋_GB2312"/>
                <w:color w:val="000000"/>
                <w:sz w:val="20"/>
                <w:szCs w:val="20"/>
                <w:highlight w:val="none"/>
              </w:rPr>
              <w:t>形象，加速推进岳阳生态文明</w:t>
            </w:r>
            <w:r>
              <w:rPr>
                <w:rFonts w:hint="eastAsia" w:ascii="仿宋_GB2312" w:hAnsi="仿宋_GB2312" w:eastAsia="仿宋_GB2312" w:cs="仿宋_GB2312"/>
                <w:color w:val="000000"/>
                <w:sz w:val="20"/>
                <w:szCs w:val="20"/>
                <w:highlight w:val="none"/>
                <w:lang w:eastAsia="zh-CN"/>
              </w:rPr>
              <w:t>建设</w:t>
            </w:r>
          </w:p>
        </w:tc>
        <w:tc>
          <w:tcPr>
            <w:tcW w:w="1673" w:type="dxa"/>
            <w:noWrap w:val="0"/>
            <w:vAlign w:val="center"/>
          </w:tcPr>
          <w:p w14:paraId="459BAD4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城市形象不断提升，生态文明建设有序推进</w:t>
            </w:r>
          </w:p>
        </w:tc>
        <w:tc>
          <w:tcPr>
            <w:tcW w:w="705" w:type="dxa"/>
            <w:noWrap w:val="0"/>
            <w:vAlign w:val="center"/>
          </w:tcPr>
          <w:p w14:paraId="377EF4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50" w:type="dxa"/>
            <w:noWrap w:val="0"/>
            <w:vAlign w:val="center"/>
          </w:tcPr>
          <w:p w14:paraId="47B4FB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091" w:type="dxa"/>
            <w:noWrap w:val="0"/>
            <w:vAlign w:val="center"/>
          </w:tcPr>
          <w:p w14:paraId="53BDD1B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4245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49" w:type="dxa"/>
            <w:vMerge w:val="continue"/>
            <w:noWrap w:val="0"/>
            <w:vAlign w:val="center"/>
          </w:tcPr>
          <w:p w14:paraId="50ACAB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850" w:type="dxa"/>
            <w:noWrap w:val="0"/>
            <w:vAlign w:val="center"/>
          </w:tcPr>
          <w:p w14:paraId="781199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27F95BA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473F553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728" w:type="dxa"/>
            <w:noWrap w:val="0"/>
            <w:vAlign w:val="center"/>
          </w:tcPr>
          <w:p w14:paraId="5BC34C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095" w:type="dxa"/>
            <w:noWrap w:val="0"/>
            <w:vAlign w:val="center"/>
          </w:tcPr>
          <w:p w14:paraId="76E31B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市民满意度</w:t>
            </w:r>
          </w:p>
        </w:tc>
        <w:tc>
          <w:tcPr>
            <w:tcW w:w="2238" w:type="dxa"/>
            <w:noWrap w:val="0"/>
            <w:vAlign w:val="center"/>
          </w:tcPr>
          <w:p w14:paraId="70AE58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满意率达95%</w:t>
            </w:r>
          </w:p>
        </w:tc>
        <w:tc>
          <w:tcPr>
            <w:tcW w:w="1673" w:type="dxa"/>
            <w:noWrap w:val="0"/>
            <w:vAlign w:val="center"/>
          </w:tcPr>
          <w:p w14:paraId="45DDBC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96%</w:t>
            </w:r>
          </w:p>
        </w:tc>
        <w:tc>
          <w:tcPr>
            <w:tcW w:w="705" w:type="dxa"/>
            <w:noWrap w:val="0"/>
            <w:vAlign w:val="center"/>
          </w:tcPr>
          <w:p w14:paraId="45E41A0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50" w:type="dxa"/>
            <w:noWrap w:val="0"/>
            <w:vAlign w:val="center"/>
          </w:tcPr>
          <w:p w14:paraId="4AEB7EA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091" w:type="dxa"/>
            <w:noWrap w:val="0"/>
            <w:vAlign w:val="center"/>
          </w:tcPr>
          <w:p w14:paraId="5F0AAB4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82B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433" w:type="dxa"/>
            <w:gridSpan w:val="6"/>
            <w:noWrap w:val="0"/>
            <w:vAlign w:val="center"/>
          </w:tcPr>
          <w:p w14:paraId="5B7BD02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05" w:type="dxa"/>
            <w:noWrap w:val="0"/>
            <w:vAlign w:val="center"/>
          </w:tcPr>
          <w:p w14:paraId="6FB48E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50" w:type="dxa"/>
            <w:noWrap w:val="0"/>
            <w:vAlign w:val="center"/>
          </w:tcPr>
          <w:p w14:paraId="296F09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97.97</w:t>
            </w:r>
          </w:p>
        </w:tc>
        <w:tc>
          <w:tcPr>
            <w:tcW w:w="1091" w:type="dxa"/>
            <w:noWrap w:val="0"/>
            <w:vAlign w:val="center"/>
          </w:tcPr>
          <w:p w14:paraId="4D6F6F4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2172D6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sz w:val="22"/>
          <w:szCs w:val="22"/>
          <w:highlight w:val="none"/>
        </w:rPr>
      </w:pPr>
    </w:p>
    <w:p w14:paraId="042420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sz w:val="22"/>
          <w:szCs w:val="22"/>
          <w:highlight w:val="none"/>
        </w:rPr>
      </w:pPr>
    </w:p>
    <w:p w14:paraId="250B511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sz w:val="22"/>
          <w:szCs w:val="22"/>
          <w:highlight w:val="none"/>
          <w:lang w:eastAsia="zh-CN"/>
        </w:rPr>
      </w:pPr>
      <w:r>
        <w:rPr>
          <w:rFonts w:hint="eastAsia" w:ascii="仿宋_GB2312" w:hAnsi="仿宋_GB2312" w:eastAsia="仿宋_GB2312" w:cs="仿宋_GB2312"/>
          <w:sz w:val="22"/>
          <w:szCs w:val="22"/>
          <w:highlight w:val="none"/>
        </w:rPr>
        <w:t>填表人：</w:t>
      </w:r>
      <w:r>
        <w:rPr>
          <w:rFonts w:hint="eastAsia" w:ascii="仿宋_GB2312" w:hAnsi="仿宋_GB2312" w:eastAsia="仿宋_GB2312" w:cs="仿宋_GB2312"/>
          <w:color w:val="000000" w:themeColor="text1"/>
          <w:spacing w:val="0"/>
          <w:sz w:val="22"/>
          <w:szCs w:val="22"/>
          <w:lang w:eastAsia="zh-CN"/>
          <w14:textFill>
            <w14:solidFill>
              <w14:schemeClr w14:val="tx1"/>
            </w14:solidFill>
          </w14:textFill>
        </w:rPr>
        <w:t>刘</w:t>
      </w:r>
      <w:r>
        <w:rPr>
          <w:rFonts w:hint="eastAsia" w:ascii="仿宋_GB2312" w:hAnsi="仿宋_GB2312" w:eastAsia="仿宋_GB2312" w:cs="仿宋_GB2312"/>
          <w:color w:val="000000" w:themeColor="text1"/>
          <w:spacing w:val="0"/>
          <w:sz w:val="22"/>
          <w:szCs w:val="2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sz w:val="22"/>
          <w:szCs w:val="22"/>
          <w:lang w:eastAsia="zh-CN"/>
          <w14:textFill>
            <w14:solidFill>
              <w14:schemeClr w14:val="tx1"/>
            </w14:solidFill>
          </w14:textFill>
        </w:rPr>
        <w:t>蓓</w:t>
      </w:r>
      <w:r>
        <w:rPr>
          <w:rFonts w:hint="eastAsia" w:ascii="仿宋_GB2312" w:hAnsi="仿宋_GB2312" w:eastAsia="仿宋_GB2312" w:cs="仿宋_GB2312"/>
          <w:sz w:val="22"/>
          <w:szCs w:val="22"/>
          <w:highlight w:val="none"/>
        </w:rPr>
        <w:t xml:space="preserve">  填报日期：</w:t>
      </w:r>
      <w:r>
        <w:rPr>
          <w:rFonts w:hint="eastAsia" w:ascii="仿宋_GB2312" w:hAnsi="仿宋_GB2312" w:eastAsia="仿宋_GB2312" w:cs="仿宋_GB2312"/>
          <w:sz w:val="22"/>
          <w:szCs w:val="22"/>
          <w:highlight w:val="none"/>
          <w:lang w:val="en-US" w:eastAsia="zh-CN"/>
        </w:rPr>
        <w:t>2026.6.23</w:t>
      </w:r>
      <w:r>
        <w:rPr>
          <w:rFonts w:hint="eastAsia" w:ascii="仿宋_GB2312" w:hAnsi="仿宋_GB2312" w:eastAsia="仿宋_GB2312" w:cs="仿宋_GB2312"/>
          <w:sz w:val="22"/>
          <w:szCs w:val="22"/>
          <w:highlight w:val="none"/>
        </w:rPr>
        <w:t xml:space="preserve">  联系电话：</w:t>
      </w:r>
      <w:r>
        <w:rPr>
          <w:rFonts w:hint="eastAsia" w:ascii="仿宋_GB2312" w:hAnsi="仿宋_GB2312" w:eastAsia="仿宋_GB2312" w:cs="仿宋_GB2312"/>
          <w:sz w:val="22"/>
          <w:szCs w:val="22"/>
          <w:highlight w:val="none"/>
          <w:lang w:val="en-US" w:eastAsia="zh-CN"/>
        </w:rPr>
        <w:t>0730-</w:t>
      </w:r>
      <w:r>
        <w:rPr>
          <w:rFonts w:hint="eastAsia" w:ascii="仿宋_GB2312" w:hAnsi="仿宋_GB2312" w:eastAsia="仿宋_GB2312" w:cs="仿宋_GB2312"/>
          <w:color w:val="000000" w:themeColor="text1"/>
          <w:spacing w:val="0"/>
          <w:sz w:val="22"/>
          <w:szCs w:val="22"/>
          <w:lang w:val="en-US" w:eastAsia="zh-CN"/>
          <w14:textFill>
            <w14:solidFill>
              <w14:schemeClr w14:val="tx1"/>
            </w14:solidFill>
          </w14:textFill>
        </w:rPr>
        <w:t>822281</w:t>
      </w:r>
      <w:r>
        <w:rPr>
          <w:rFonts w:hint="eastAsia" w:ascii="仿宋_GB2312" w:hAnsi="仿宋_GB2312" w:eastAsia="仿宋_GB2312" w:cs="仿宋_GB2312"/>
          <w:sz w:val="22"/>
          <w:szCs w:val="22"/>
          <w:highlight w:val="none"/>
          <w:lang w:val="en-US" w:eastAsia="zh-CN"/>
        </w:rPr>
        <w:t xml:space="preserve">  </w:t>
      </w:r>
      <w:r>
        <w:rPr>
          <w:rFonts w:hint="eastAsia" w:ascii="仿宋_GB2312" w:hAnsi="仿宋_GB2312" w:eastAsia="仿宋_GB2312" w:cs="仿宋_GB2312"/>
          <w:sz w:val="22"/>
          <w:szCs w:val="22"/>
          <w:highlight w:val="none"/>
        </w:rPr>
        <w:t xml:space="preserve"> 单位负责人：</w:t>
      </w:r>
      <w:r>
        <w:rPr>
          <w:rFonts w:hint="eastAsia" w:ascii="仿宋_GB2312" w:hAnsi="仿宋_GB2312" w:eastAsia="仿宋_GB2312" w:cs="仿宋_GB2312"/>
          <w:sz w:val="22"/>
          <w:szCs w:val="22"/>
          <w:highlight w:val="none"/>
          <w:lang w:eastAsia="zh-CN"/>
        </w:rPr>
        <w:t>郑伟</w:t>
      </w:r>
    </w:p>
    <w:p w14:paraId="14DB30F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sz w:val="22"/>
          <w:szCs w:val="22"/>
          <w:highlight w:val="none"/>
        </w:rPr>
      </w:pPr>
    </w:p>
    <w:p w14:paraId="11806F97">
      <w:pPr>
        <w:widowControl/>
        <w:spacing w:line="600" w:lineRule="exact"/>
        <w:jc w:val="left"/>
        <w:rPr>
          <w:rFonts w:hint="eastAsia" w:ascii="黑体" w:hAnsi="黑体" w:eastAsia="黑体" w:cs="黑体"/>
          <w:sz w:val="32"/>
          <w:szCs w:val="32"/>
          <w:highlight w:val="none"/>
        </w:rPr>
      </w:pPr>
    </w:p>
    <w:p w14:paraId="6F80125D">
      <w:pPr>
        <w:widowControl/>
        <w:spacing w:line="600" w:lineRule="exact"/>
        <w:jc w:val="left"/>
        <w:rPr>
          <w:rFonts w:hint="eastAsia" w:ascii="黑体" w:hAnsi="黑体" w:eastAsia="黑体" w:cs="黑体"/>
          <w:sz w:val="32"/>
          <w:szCs w:val="32"/>
          <w:highlight w:val="none"/>
        </w:rPr>
      </w:pPr>
    </w:p>
    <w:p w14:paraId="314C2470">
      <w:pPr>
        <w:widowControl/>
        <w:spacing w:line="600" w:lineRule="exact"/>
        <w:jc w:val="left"/>
        <w:rPr>
          <w:rFonts w:hint="eastAsia" w:ascii="黑体" w:hAnsi="黑体" w:eastAsia="黑体" w:cs="黑体"/>
          <w:sz w:val="32"/>
          <w:szCs w:val="32"/>
          <w:highlight w:val="none"/>
        </w:rPr>
      </w:pPr>
    </w:p>
    <w:p w14:paraId="4F53AF33">
      <w:pPr>
        <w:widowControl/>
        <w:spacing w:line="600" w:lineRule="exact"/>
        <w:jc w:val="left"/>
        <w:rPr>
          <w:rFonts w:hint="eastAsia" w:ascii="黑体" w:hAnsi="黑体" w:eastAsia="黑体" w:cs="黑体"/>
          <w:sz w:val="32"/>
          <w:szCs w:val="32"/>
          <w:highlight w:val="none"/>
        </w:rPr>
      </w:pPr>
    </w:p>
    <w:p w14:paraId="0CED59AF">
      <w:pPr>
        <w:widowControl/>
        <w:spacing w:line="600" w:lineRule="exact"/>
        <w:jc w:val="left"/>
        <w:rPr>
          <w:rFonts w:hint="eastAsia" w:ascii="黑体" w:hAnsi="黑体" w:eastAsia="黑体" w:cs="黑体"/>
          <w:sz w:val="32"/>
          <w:szCs w:val="32"/>
          <w:highlight w:val="none"/>
        </w:rPr>
      </w:pPr>
    </w:p>
    <w:p w14:paraId="3BE37EDE">
      <w:pPr>
        <w:widowControl/>
        <w:spacing w:line="600" w:lineRule="exact"/>
        <w:jc w:val="left"/>
        <w:rPr>
          <w:rFonts w:hint="eastAsia" w:ascii="黑体" w:hAnsi="黑体" w:eastAsia="黑体" w:cs="黑体"/>
          <w:sz w:val="32"/>
          <w:szCs w:val="32"/>
          <w:highlight w:val="none"/>
        </w:rPr>
      </w:pPr>
    </w:p>
    <w:p w14:paraId="3DADF0B1">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宋体" w:hAnsi="宋体" w:eastAsia="宋体" w:cs="宋体"/>
          <w:b/>
          <w:bCs/>
          <w:color w:val="000000" w:themeColor="text1"/>
          <w:spacing w:val="2"/>
          <w:sz w:val="44"/>
          <w:szCs w:val="44"/>
          <w:lang w:val="en-US" w:eastAsia="zh-CN"/>
          <w14:textFill>
            <w14:solidFill>
              <w14:schemeClr w14:val="tx1"/>
            </w14:solidFill>
          </w14:textFill>
        </w:rPr>
      </w:pPr>
    </w:p>
    <w:p w14:paraId="4635048B">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Theme="majorEastAsia" w:hAnsiTheme="majorEastAsia" w:eastAsiaTheme="majorEastAsia" w:cstheme="majorEastAsia"/>
          <w:b/>
          <w:bCs/>
          <w:color w:val="000000" w:themeColor="text1"/>
          <w:spacing w:val="2"/>
          <w:sz w:val="44"/>
          <w:szCs w:val="44"/>
          <w:lang w:val="en-US" w:eastAsia="zh-CN"/>
          <w14:textFill>
            <w14:solidFill>
              <w14:schemeClr w14:val="tx1"/>
            </w14:solidFill>
          </w14:textFill>
        </w:rPr>
      </w:pPr>
    </w:p>
    <w:p w14:paraId="2F1BE3E6">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Theme="majorEastAsia" w:hAnsiTheme="majorEastAsia" w:eastAsiaTheme="majorEastAsia" w:cstheme="majorEastAsia"/>
          <w:b/>
          <w:bCs/>
          <w:color w:val="000000" w:themeColor="text1"/>
          <w:spacing w:val="2"/>
          <w:sz w:val="44"/>
          <w:szCs w:val="44"/>
          <w:lang w:val="en-US" w:eastAsia="zh-CN"/>
          <w14:textFill>
            <w14:solidFill>
              <w14:schemeClr w14:val="tx1"/>
            </w14:solidFill>
          </w14:textFill>
        </w:rPr>
      </w:pPr>
      <w:r>
        <w:rPr>
          <w:rFonts w:hint="eastAsia" w:asciiTheme="majorEastAsia" w:hAnsiTheme="majorEastAsia" w:eastAsiaTheme="majorEastAsia" w:cstheme="majorEastAsia"/>
          <w:b/>
          <w:bCs/>
          <w:color w:val="000000" w:themeColor="text1"/>
          <w:spacing w:val="2"/>
          <w:sz w:val="44"/>
          <w:szCs w:val="44"/>
          <w:lang w:val="en-US" w:eastAsia="zh-CN"/>
          <w14:textFill>
            <w14:solidFill>
              <w14:schemeClr w14:val="tx1"/>
            </w14:solidFill>
          </w14:textFill>
        </w:rPr>
        <w:t>2025年度岳阳市市政维护管理中心       项目支出绩效自评报告</w:t>
      </w:r>
    </w:p>
    <w:p w14:paraId="18A6F330">
      <w:pPr>
        <w:pStyle w:val="2"/>
        <w:rPr>
          <w:rFonts w:hint="eastAsia"/>
          <w:lang w:val="en-US" w:eastAsia="zh-CN"/>
        </w:rPr>
      </w:pPr>
    </w:p>
    <w:p w14:paraId="70075B4E">
      <w:pPr>
        <w:keepNext w:val="0"/>
        <w:keepLines w:val="0"/>
        <w:pageBreakBefore w:val="0"/>
        <w:widowControl w:val="0"/>
        <w:numPr>
          <w:ilvl w:val="0"/>
          <w:numId w:val="0"/>
        </w:numPr>
        <w:kinsoku/>
        <w:wordWrap/>
        <w:overflowPunct/>
        <w:topLinePunct w:val="0"/>
        <w:autoSpaceDE/>
        <w:autoSpaceDN/>
        <w:bidi w:val="0"/>
        <w:adjustRightInd/>
        <w:snapToGrid/>
        <w:spacing w:afterLines="0" w:line="640" w:lineRule="exact"/>
        <w:ind w:right="0" w:rightChars="0" w:firstLine="643" w:firstLineChars="200"/>
        <w:jc w:val="left"/>
        <w:textAlignment w:val="auto"/>
        <w:rPr>
          <w:rFonts w:hint="eastAsia" w:ascii="楷体_GB2312" w:hAnsi="楷体_GB2312" w:eastAsia="楷体_GB2312" w:cs="楷体_GB2312"/>
          <w:b/>
          <w:bCs/>
          <w:sz w:val="32"/>
          <w:szCs w:val="32"/>
          <w:lang w:val="en" w:eastAsia="zh-CN"/>
        </w:rPr>
      </w:pPr>
      <w:r>
        <w:rPr>
          <w:rFonts w:hint="eastAsia" w:ascii="楷体_GB2312" w:hAnsi="楷体_GB2312" w:eastAsia="楷体_GB2312" w:cs="楷体_GB2312"/>
          <w:b/>
          <w:bCs/>
          <w:sz w:val="32"/>
          <w:szCs w:val="32"/>
          <w:lang w:val="en" w:eastAsia="zh-CN"/>
        </w:rPr>
        <w:t>一、项目基本情况</w:t>
      </w:r>
    </w:p>
    <w:p w14:paraId="15BFF03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项目基本概况</w:t>
      </w:r>
    </w:p>
    <w:p w14:paraId="386B38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w:t>对中心</w:t>
      </w:r>
      <w:r>
        <w:rPr>
          <w:rFonts w:hint="eastAsia" w:ascii="仿宋_GB2312" w:hAnsi="仿宋_GB2312" w:eastAsia="仿宋_GB2312" w:cs="仿宋_GB2312"/>
          <w:sz w:val="32"/>
          <w:szCs w:val="32"/>
          <w:lang w:val="en-US" w:eastAsia="zh-CN"/>
        </w:rPr>
        <w:t>城区及经开区</w:t>
      </w:r>
      <w:r>
        <w:rPr>
          <w:rFonts w:hint="eastAsia" w:ascii="仿宋_GB2312" w:hAnsi="仿宋_GB2312" w:eastAsia="仿宋_GB2312" w:cs="仿宋_GB2312"/>
          <w:sz w:val="32"/>
          <w:szCs w:val="32"/>
          <w:lang w:eastAsia="zh-CN"/>
        </w:rPr>
        <w:t>城市道路、桥梁、排水及配套设施项目的日常维护管理；</w:t>
      </w:r>
      <w:r>
        <w:rPr>
          <w:rFonts w:hint="eastAsia" w:ascii="仿宋_GB2312" w:hAnsi="仿宋_GB2312" w:eastAsia="仿宋_GB2312" w:cs="仿宋_GB2312"/>
          <w:sz w:val="32"/>
          <w:szCs w:val="32"/>
          <w:lang w:val="en-US" w:eastAsia="zh-CN"/>
        </w:rPr>
        <w:t>21座</w:t>
      </w:r>
      <w:r>
        <w:rPr>
          <w:rFonts w:hint="eastAsia" w:ascii="仿宋_GB2312" w:hAnsi="仿宋_GB2312" w:eastAsia="仿宋_GB2312" w:cs="仿宋_GB2312"/>
          <w:sz w:val="32"/>
          <w:szCs w:val="32"/>
          <w:lang w:eastAsia="zh-CN"/>
        </w:rPr>
        <w:t>泵站的日常运行维护及电费结算；市政专业机械设备的日常维护保养；市政设施方面突发事件处置和恶劣天气应对等相关工作保障</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lang w:val="en-US" w:eastAsia="zh-CN"/>
        </w:rPr>
        <w:t>目前，</w:t>
      </w:r>
      <w:r>
        <w:rPr>
          <w:rFonts w:hint="eastAsia" w:ascii="仿宋_GB2312" w:hAnsi="仿宋_GB2312" w:eastAsia="仿宋_GB2312" w:cs="仿宋_GB2312"/>
          <w:color w:val="auto"/>
          <w:sz w:val="32"/>
          <w:szCs w:val="32"/>
        </w:rPr>
        <w:t>中心</w:t>
      </w:r>
      <w:r>
        <w:rPr>
          <w:rFonts w:hint="eastAsia" w:ascii="仿宋_GB2312" w:hAnsi="仿宋_GB2312" w:eastAsia="仿宋_GB2312" w:cs="仿宋_GB2312"/>
          <w:color w:val="auto"/>
          <w:sz w:val="32"/>
          <w:szCs w:val="32"/>
          <w:lang w:eastAsia="zh-CN"/>
        </w:rPr>
        <w:t>负责</w:t>
      </w:r>
      <w:r>
        <w:rPr>
          <w:rFonts w:hint="eastAsia" w:ascii="仿宋_GB2312" w:hAnsi="仿宋_GB2312" w:eastAsia="仿宋_GB2312" w:cs="仿宋_GB2312"/>
          <w:color w:val="auto"/>
          <w:sz w:val="32"/>
          <w:szCs w:val="32"/>
        </w:rPr>
        <w:t>管理的</w:t>
      </w:r>
      <w:r>
        <w:rPr>
          <w:rFonts w:hint="eastAsia" w:ascii="仿宋_GB2312" w:hAnsi="仿宋_GB2312" w:eastAsia="仿宋_GB2312" w:cs="仿宋_GB2312"/>
          <w:color w:val="auto"/>
          <w:sz w:val="32"/>
          <w:szCs w:val="32"/>
          <w:lang w:eastAsia="zh-CN"/>
        </w:rPr>
        <w:t>市政设施包括：</w:t>
      </w:r>
      <w:r>
        <w:rPr>
          <w:rFonts w:hint="eastAsia" w:ascii="仿宋_GB2312" w:hAnsi="仿宋_GB2312" w:eastAsia="仿宋_GB2312" w:cs="仿宋_GB2312"/>
          <w:color w:val="auto"/>
          <w:sz w:val="32"/>
          <w:szCs w:val="32"/>
        </w:rPr>
        <w:t>中心城区</w:t>
      </w:r>
      <w:r>
        <w:rPr>
          <w:rFonts w:hint="eastAsia" w:ascii="仿宋_GB2312" w:hAnsi="仿宋_GB2312" w:eastAsia="仿宋_GB2312" w:cs="仿宋_GB2312"/>
          <w:color w:val="auto"/>
          <w:sz w:val="32"/>
          <w:szCs w:val="32"/>
          <w:lang w:val="en-US" w:eastAsia="zh-CN"/>
        </w:rPr>
        <w:t>123</w:t>
      </w:r>
      <w:r>
        <w:rPr>
          <w:rFonts w:hint="eastAsia" w:ascii="仿宋_GB2312" w:hAnsi="仿宋_GB2312" w:eastAsia="仿宋_GB2312" w:cs="仿宋_GB2312"/>
          <w:color w:val="auto"/>
          <w:sz w:val="32"/>
          <w:szCs w:val="32"/>
        </w:rPr>
        <w:t>条道路及3个广场（道路总面积</w:t>
      </w:r>
      <w:r>
        <w:rPr>
          <w:rFonts w:hint="eastAsia" w:ascii="仿宋_GB2312" w:hAnsi="仿宋_GB2312" w:eastAsia="仿宋_GB2312" w:cs="仿宋_GB2312"/>
          <w:color w:val="auto"/>
          <w:sz w:val="32"/>
          <w:szCs w:val="32"/>
          <w:lang w:val="en-US" w:eastAsia="zh-CN"/>
        </w:rPr>
        <w:t>6271151</w:t>
      </w:r>
      <w:r>
        <w:rPr>
          <w:rFonts w:hint="eastAsia" w:ascii="仿宋_GB2312" w:hAnsi="仿宋_GB2312" w:eastAsia="仿宋_GB2312" w:cs="仿宋_GB2312"/>
          <w:color w:val="auto"/>
          <w:sz w:val="32"/>
          <w:szCs w:val="32"/>
        </w:rPr>
        <w:t>㎡、人行道总面积</w:t>
      </w:r>
      <w:r>
        <w:rPr>
          <w:rFonts w:hint="eastAsia" w:ascii="仿宋_GB2312" w:hAnsi="仿宋_GB2312" w:eastAsia="仿宋_GB2312" w:cs="仿宋_GB2312"/>
          <w:color w:val="auto"/>
          <w:sz w:val="32"/>
          <w:szCs w:val="32"/>
          <w:lang w:val="en-US" w:eastAsia="zh-CN"/>
        </w:rPr>
        <w:t>2485345</w:t>
      </w:r>
      <w:r>
        <w:rPr>
          <w:rFonts w:hint="eastAsia" w:ascii="仿宋_GB2312" w:hAnsi="仿宋_GB2312" w:eastAsia="仿宋_GB2312" w:cs="仿宋_GB2312"/>
          <w:color w:val="auto"/>
          <w:sz w:val="32"/>
          <w:szCs w:val="32"/>
        </w:rPr>
        <w:t>㎡）；27027m3片石墙、4000</w:t>
      </w:r>
      <w:r>
        <w:rPr>
          <w:rFonts w:hint="eastAsia" w:ascii="仿宋_GB2312" w:hAnsi="仿宋_GB2312" w:eastAsia="仿宋_GB2312" w:cs="仿宋_GB2312"/>
          <w:color w:val="auto"/>
          <w:sz w:val="32"/>
          <w:szCs w:val="32"/>
          <w:lang w:eastAsia="zh-CN"/>
        </w:rPr>
        <w:t>余</w:t>
      </w:r>
      <w:r>
        <w:rPr>
          <w:rFonts w:hint="eastAsia" w:ascii="仿宋_GB2312" w:hAnsi="仿宋_GB2312" w:eastAsia="仿宋_GB2312" w:cs="仿宋_GB2312"/>
          <w:color w:val="auto"/>
          <w:sz w:val="32"/>
          <w:szCs w:val="32"/>
        </w:rPr>
        <w:t>根隔离桩；</w:t>
      </w:r>
      <w:r>
        <w:rPr>
          <w:rFonts w:hint="eastAsia" w:ascii="仿宋_GB2312" w:hAnsi="仿宋_GB2312" w:eastAsia="仿宋_GB2312" w:cs="仿宋_GB2312"/>
          <w:color w:val="auto"/>
          <w:sz w:val="32"/>
          <w:szCs w:val="32"/>
          <w:lang w:val="en-US" w:eastAsia="zh-CN"/>
        </w:rPr>
        <w:t>49</w:t>
      </w:r>
      <w:r>
        <w:rPr>
          <w:rFonts w:hint="eastAsia" w:ascii="仿宋_GB2312" w:hAnsi="仿宋_GB2312" w:eastAsia="仿宋_GB2312" w:cs="仿宋_GB2312"/>
          <w:color w:val="auto"/>
          <w:sz w:val="32"/>
          <w:szCs w:val="32"/>
        </w:rPr>
        <w:t>座桥梁（其中人行天桥16座）；1条隧道和6座涵洞；73条排水主涵总长1</w:t>
      </w:r>
      <w:r>
        <w:rPr>
          <w:rFonts w:hint="eastAsia" w:ascii="仿宋_GB2312" w:hAnsi="仿宋_GB2312" w:eastAsia="仿宋_GB2312" w:cs="仿宋_GB2312"/>
          <w:color w:val="auto"/>
          <w:sz w:val="32"/>
          <w:szCs w:val="32"/>
          <w:lang w:val="en-US" w:eastAsia="zh-CN"/>
        </w:rPr>
        <w:t>316970</w:t>
      </w:r>
      <w:r>
        <w:rPr>
          <w:rFonts w:hint="eastAsia" w:ascii="仿宋_GB2312" w:hAnsi="仿宋_GB2312" w:eastAsia="仿宋_GB2312" w:cs="仿宋_GB2312"/>
          <w:color w:val="auto"/>
          <w:sz w:val="32"/>
          <w:szCs w:val="32"/>
        </w:rPr>
        <w:t>m；</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座地下人行通道；</w:t>
      </w:r>
      <w:r>
        <w:rPr>
          <w:rFonts w:hint="eastAsia" w:ascii="仿宋_GB2312" w:hAnsi="仿宋_GB2312" w:eastAsia="仿宋_GB2312" w:cs="仿宋_GB2312"/>
          <w:color w:val="auto"/>
          <w:sz w:val="32"/>
          <w:szCs w:val="32"/>
          <w:lang w:val="en-US" w:eastAsia="zh-CN"/>
        </w:rPr>
        <w:t>123</w:t>
      </w:r>
      <w:r>
        <w:rPr>
          <w:rFonts w:hint="eastAsia" w:ascii="仿宋_GB2312" w:hAnsi="仿宋_GB2312" w:eastAsia="仿宋_GB2312" w:cs="仿宋_GB2312"/>
          <w:color w:val="auto"/>
          <w:sz w:val="32"/>
          <w:szCs w:val="32"/>
        </w:rPr>
        <w:t>条道路及3个广场排水管道总长</w:t>
      </w:r>
      <w:r>
        <w:rPr>
          <w:rFonts w:hint="eastAsia" w:ascii="仿宋_GB2312" w:hAnsi="仿宋_GB2312" w:eastAsia="仿宋_GB2312" w:cs="仿宋_GB2312"/>
          <w:color w:val="auto"/>
          <w:sz w:val="32"/>
          <w:szCs w:val="32"/>
          <w:lang w:val="en-US" w:eastAsia="zh-CN"/>
        </w:rPr>
        <w:t>3682840</w:t>
      </w:r>
      <w:r>
        <w:rPr>
          <w:rFonts w:hint="eastAsia" w:ascii="仿宋_GB2312" w:hAnsi="仿宋_GB2312" w:eastAsia="仿宋_GB2312" w:cs="仿宋_GB2312"/>
          <w:color w:val="auto"/>
          <w:sz w:val="32"/>
          <w:szCs w:val="32"/>
        </w:rPr>
        <w:t>m的日常维护及管理</w:t>
      </w:r>
      <w:r>
        <w:rPr>
          <w:rFonts w:hint="eastAsia" w:ascii="仿宋_GB2312" w:hAnsi="仿宋_GB2312" w:eastAsia="仿宋_GB2312" w:cs="仿宋_GB2312"/>
          <w:color w:val="auto"/>
          <w:sz w:val="32"/>
          <w:szCs w:val="32"/>
          <w:lang w:eastAsia="zh-CN"/>
        </w:rPr>
        <w:t>。</w:t>
      </w:r>
    </w:p>
    <w:p w14:paraId="3C9561A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（二）项目实施依据</w:t>
      </w:r>
    </w:p>
    <w:p w14:paraId="2F9A8A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《城市道路管理条例》（2017年3月1日国务院修订版》）</w:t>
      </w:r>
    </w:p>
    <w:p w14:paraId="0CDD6F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《城市道路养护技术规程》（CJJ36-2016）</w:t>
      </w:r>
    </w:p>
    <w:p w14:paraId="22F06B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3、《城镇排水管渠与泵站运行维护及安全技术规程》</w:t>
      </w:r>
      <w:r>
        <w:rPr>
          <w:rFonts w:hint="eastAsia" w:ascii="仿宋_GB2312" w:hAnsi="仿宋_GB2312" w:eastAsia="仿宋_GB2312" w:cs="仿宋_GB2312"/>
          <w:sz w:val="32"/>
          <w:szCs w:val="32"/>
        </w:rPr>
        <w:t>（CJJ</w:t>
      </w:r>
      <w:r>
        <w:rPr>
          <w:rFonts w:hint="eastAsia" w:ascii="仿宋_GB2312" w:hAnsi="仿宋_GB2312" w:eastAsia="仿宋_GB2312" w:cs="仿宋_GB2312"/>
          <w:sz w:val="32"/>
          <w:szCs w:val="32"/>
          <w:lang w:val="en-US" w:eastAsia="zh-CN"/>
        </w:rPr>
        <w:t>68</w:t>
      </w:r>
      <w:r>
        <w:rPr>
          <w:rFonts w:hint="eastAsia" w:ascii="仿宋_GB2312" w:hAnsi="仿宋_GB2312" w:eastAsia="仿宋_GB2312" w:cs="仿宋_GB2312"/>
          <w:sz w:val="32"/>
          <w:szCs w:val="32"/>
        </w:rPr>
        <w:t>-2016）</w:t>
      </w:r>
    </w:p>
    <w:p w14:paraId="1BEF1A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4、《城市桥梁养护技术标准》</w:t>
      </w:r>
      <w:r>
        <w:rPr>
          <w:rFonts w:hint="eastAsia" w:ascii="仿宋_GB2312" w:hAnsi="仿宋_GB2312" w:eastAsia="仿宋_GB2312" w:cs="仿宋_GB2312"/>
          <w:sz w:val="32"/>
          <w:szCs w:val="32"/>
        </w:rPr>
        <w:t>（CJJ</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w:t>
      </w:r>
    </w:p>
    <w:p w14:paraId="5D4D04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《湖南省城市市政公用设施管理办法》(1997修订)</w:t>
      </w:r>
    </w:p>
    <w:p w14:paraId="3195675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eastAsia="zh-CN"/>
        </w:rPr>
        <w:t>二、项目资金使用及管理情况</w:t>
      </w:r>
    </w:p>
    <w:p w14:paraId="0EA321A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sz w:val="32"/>
          <w:szCs w:val="32"/>
        </w:rPr>
        <w:t>（一）项目资金情况分析</w:t>
      </w:r>
    </w:p>
    <w:p w14:paraId="26BA93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市财政预算批复</w:t>
      </w:r>
      <w:r>
        <w:rPr>
          <w:rFonts w:hint="eastAsia" w:ascii="仿宋_GB2312" w:hAnsi="仿宋_GB2312" w:eastAsia="仿宋_GB2312" w:cs="仿宋_GB2312"/>
          <w:color w:val="auto"/>
          <w:sz w:val="32"/>
          <w:szCs w:val="32"/>
          <w:lang w:val="en-US" w:eastAsia="zh-CN"/>
        </w:rPr>
        <w:t>中心</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val="en-US" w:eastAsia="zh-CN"/>
        </w:rPr>
        <w:t>经费预算总额为5793.58万元，实际支出总金额为5782.90万元（其中一般公共预算资金4400.32万元、政府基金预算资金754.64万元、非财政专项资金627.94万元），其中</w:t>
      </w:r>
      <w:r>
        <w:rPr>
          <w:rFonts w:hint="eastAsia" w:ascii="仿宋_GB2312" w:hAnsi="仿宋_GB2312" w:eastAsia="仿宋_GB2312" w:cs="仿宋_GB2312"/>
          <w:sz w:val="32"/>
          <w:szCs w:val="32"/>
          <w:highlight w:val="none"/>
        </w:rPr>
        <w:t>市</w:t>
      </w:r>
      <w:r>
        <w:rPr>
          <w:rFonts w:hint="eastAsia" w:ascii="仿宋_GB2312" w:hAnsi="仿宋_GB2312" w:eastAsia="仿宋_GB2312" w:cs="仿宋_GB2312"/>
          <w:sz w:val="32"/>
          <w:szCs w:val="32"/>
          <w:highlight w:val="none"/>
          <w:lang w:eastAsia="zh-CN"/>
        </w:rPr>
        <w:t>政维护专项</w:t>
      </w:r>
      <w:r>
        <w:rPr>
          <w:rFonts w:hint="eastAsia" w:ascii="仿宋_GB2312" w:hAnsi="仿宋_GB2312" w:eastAsia="仿宋_GB2312" w:cs="仿宋_GB2312"/>
          <w:sz w:val="32"/>
          <w:szCs w:val="32"/>
          <w:highlight w:val="none"/>
        </w:rPr>
        <w:t>经费</w:t>
      </w:r>
      <w:r>
        <w:rPr>
          <w:rFonts w:hint="eastAsia" w:ascii="仿宋_GB2312" w:hAnsi="仿宋_GB2312" w:eastAsia="仿宋_GB2312" w:cs="仿宋_GB2312"/>
          <w:sz w:val="32"/>
          <w:szCs w:val="32"/>
          <w:highlight w:val="none"/>
          <w:lang w:eastAsia="zh-CN"/>
        </w:rPr>
        <w:t>（含日常工作经费）支出</w:t>
      </w:r>
      <w:r>
        <w:rPr>
          <w:rFonts w:hint="eastAsia" w:ascii="仿宋_GB2312" w:hAnsi="仿宋_GB2312" w:eastAsia="仿宋_GB2312" w:cs="仿宋_GB2312"/>
          <w:color w:val="auto"/>
          <w:sz w:val="32"/>
          <w:szCs w:val="32"/>
          <w:highlight w:val="none"/>
          <w:lang w:val="en-US" w:eastAsia="zh-CN"/>
        </w:rPr>
        <w:t>2631.50</w:t>
      </w:r>
      <w:r>
        <w:rPr>
          <w:rFonts w:hint="eastAsia" w:ascii="仿宋_GB2312" w:hAnsi="仿宋_GB2312" w:eastAsia="仿宋_GB2312" w:cs="仿宋_GB2312"/>
          <w:color w:val="auto"/>
          <w:sz w:val="32"/>
          <w:szCs w:val="32"/>
          <w:highlight w:val="none"/>
          <w:lang w:val="en" w:eastAsia="zh-CN"/>
        </w:rPr>
        <w:t>万元、</w:t>
      </w:r>
      <w:r>
        <w:rPr>
          <w:rFonts w:hint="eastAsia" w:ascii="仿宋_GB2312" w:hAnsi="仿宋_GB2312" w:eastAsia="仿宋_GB2312" w:cs="仿宋_GB2312"/>
          <w:sz w:val="32"/>
          <w:szCs w:val="32"/>
          <w:highlight w:val="none"/>
        </w:rPr>
        <w:t>泵站运行</w:t>
      </w:r>
      <w:r>
        <w:rPr>
          <w:rFonts w:hint="eastAsia" w:ascii="仿宋_GB2312" w:hAnsi="仿宋_GB2312" w:eastAsia="仿宋_GB2312" w:cs="仿宋_GB2312"/>
          <w:sz w:val="32"/>
          <w:szCs w:val="32"/>
          <w:highlight w:val="none"/>
          <w:lang w:eastAsia="zh-CN"/>
        </w:rPr>
        <w:t>费</w:t>
      </w:r>
      <w:r>
        <w:rPr>
          <w:rFonts w:hint="eastAsia" w:ascii="仿宋_GB2312" w:hAnsi="仿宋_GB2312" w:eastAsia="仿宋_GB2312" w:cs="仿宋_GB2312"/>
          <w:sz w:val="32"/>
          <w:szCs w:val="32"/>
          <w:highlight w:val="none"/>
        </w:rPr>
        <w:t>及电费</w:t>
      </w:r>
      <w:r>
        <w:rPr>
          <w:rFonts w:hint="eastAsia" w:ascii="仿宋_GB2312" w:hAnsi="仿宋_GB2312" w:eastAsia="仿宋_GB2312" w:cs="仿宋_GB2312"/>
          <w:sz w:val="32"/>
          <w:szCs w:val="32"/>
          <w:highlight w:val="none"/>
          <w:lang w:eastAsia="zh-CN"/>
        </w:rPr>
        <w:t>支出</w:t>
      </w:r>
      <w:r>
        <w:rPr>
          <w:rFonts w:hint="eastAsia" w:ascii="仿宋_GB2312" w:hAnsi="仿宋_GB2312" w:eastAsia="仿宋_GB2312" w:cs="仿宋_GB2312"/>
          <w:sz w:val="32"/>
          <w:szCs w:val="32"/>
          <w:highlight w:val="none"/>
          <w:lang w:val="en-US" w:eastAsia="zh-CN"/>
        </w:rPr>
        <w:t>1240.00万元（含</w:t>
      </w:r>
      <w:r>
        <w:rPr>
          <w:rFonts w:hint="eastAsia" w:ascii="仿宋_GB2312" w:hAnsi="仿宋_GB2312" w:eastAsia="仿宋_GB2312" w:cs="仿宋_GB2312"/>
          <w:sz w:val="32"/>
          <w:szCs w:val="32"/>
          <w:highlight w:val="none"/>
        </w:rPr>
        <w:t>城东南路泵站</w:t>
      </w:r>
      <w:r>
        <w:rPr>
          <w:rFonts w:hint="eastAsia" w:ascii="仿宋_GB2312" w:hAnsi="仿宋_GB2312" w:eastAsia="仿宋_GB2312" w:cs="仿宋_GB2312"/>
          <w:sz w:val="32"/>
          <w:szCs w:val="32"/>
          <w:highlight w:val="none"/>
          <w:lang w:val="en-US" w:eastAsia="zh-CN"/>
        </w:rPr>
        <w:t>费用）、</w:t>
      </w:r>
      <w:r>
        <w:rPr>
          <w:rFonts w:hint="eastAsia" w:ascii="仿宋_GB2312" w:hAnsi="仿宋_GB2312" w:eastAsia="仿宋_GB2312" w:cs="仿宋_GB2312"/>
          <w:sz w:val="32"/>
          <w:szCs w:val="32"/>
          <w:highlight w:val="none"/>
        </w:rPr>
        <w:t>原市政建设总公司改制经费</w:t>
      </w:r>
      <w:r>
        <w:rPr>
          <w:rFonts w:hint="eastAsia" w:ascii="仿宋_GB2312" w:hAnsi="仿宋_GB2312" w:eastAsia="仿宋_GB2312" w:cs="仿宋_GB2312"/>
          <w:sz w:val="32"/>
          <w:szCs w:val="32"/>
          <w:highlight w:val="none"/>
          <w:lang w:eastAsia="zh-CN"/>
        </w:rPr>
        <w:t>支出</w:t>
      </w:r>
      <w:r>
        <w:rPr>
          <w:rFonts w:hint="eastAsia" w:ascii="仿宋_GB2312" w:hAnsi="仿宋_GB2312" w:eastAsia="仿宋_GB2312" w:cs="仿宋_GB2312"/>
          <w:sz w:val="32"/>
          <w:szCs w:val="32"/>
          <w:highlight w:val="none"/>
          <w:lang w:val="en-US" w:eastAsia="zh-CN"/>
        </w:rPr>
        <w:t>259.90万元、旅发大会桥梁隧道涂装翻新256.94万元；非税执收经费11.98万元；</w:t>
      </w:r>
      <w:r>
        <w:rPr>
          <w:rFonts w:hint="eastAsia" w:ascii="仿宋_GB2312" w:hAnsi="仿宋_GB2312" w:eastAsia="仿宋_GB2312" w:cs="仿宋_GB2312"/>
          <w:color w:val="auto"/>
          <w:sz w:val="32"/>
          <w:szCs w:val="32"/>
          <w:lang w:val="en-US" w:eastAsia="zh-CN"/>
        </w:rPr>
        <w:t>中心城区</w:t>
      </w:r>
      <w:r>
        <w:rPr>
          <w:rFonts w:hint="eastAsia" w:ascii="仿宋_GB2312" w:hAnsi="仿宋_GB2312" w:eastAsia="仿宋_GB2312" w:cs="仿宋_GB2312"/>
          <w:color w:val="auto"/>
          <w:sz w:val="32"/>
          <w:szCs w:val="32"/>
          <w:highlight w:val="none"/>
          <w:lang w:val="en-US" w:eastAsia="zh-CN"/>
        </w:rPr>
        <w:t>青年堤、下王组等四条城市排水主涵清淤支出299.33万元；巴陵石化公司老厂区原泵站维修改造项目支出455.31万元；</w:t>
      </w:r>
      <w:r>
        <w:rPr>
          <w:rFonts w:hint="eastAsia" w:ascii="仿宋_GB2312" w:hAnsi="仿宋_GB2312" w:eastAsia="仿宋_GB2312" w:cs="仿宋_GB2312"/>
          <w:sz w:val="32"/>
          <w:szCs w:val="32"/>
          <w:highlight w:val="none"/>
        </w:rPr>
        <w:t>业务工作经费</w:t>
      </w:r>
      <w:r>
        <w:rPr>
          <w:rFonts w:hint="eastAsia" w:ascii="仿宋_GB2312" w:hAnsi="仿宋_GB2312" w:eastAsia="仿宋_GB2312" w:cs="仿宋_GB2312"/>
          <w:sz w:val="32"/>
          <w:szCs w:val="32"/>
          <w:highlight w:val="none"/>
          <w:lang w:eastAsia="zh-CN"/>
        </w:rPr>
        <w:t>支出</w:t>
      </w:r>
      <w:r>
        <w:rPr>
          <w:rFonts w:hint="eastAsia" w:ascii="仿宋_GB2312" w:hAnsi="仿宋_GB2312" w:eastAsia="仿宋_GB2312" w:cs="仿宋_GB2312"/>
          <w:sz w:val="32"/>
          <w:szCs w:val="32"/>
          <w:highlight w:val="none"/>
          <w:lang w:val="en-US" w:eastAsia="zh-CN"/>
        </w:rPr>
        <w:t>627.94万元，</w:t>
      </w:r>
      <w:r>
        <w:rPr>
          <w:rFonts w:hint="eastAsia" w:ascii="仿宋_GB2312" w:hAnsi="仿宋_GB2312" w:eastAsia="仿宋_GB2312" w:cs="仿宋_GB2312"/>
          <w:sz w:val="32"/>
          <w:szCs w:val="32"/>
          <w:lang w:val="en-US" w:eastAsia="zh-CN"/>
        </w:rPr>
        <w:t>主要用于</w:t>
      </w:r>
      <w:r>
        <w:rPr>
          <w:rFonts w:hint="eastAsia" w:ascii="仿宋_GB2312" w:hAnsi="仿宋_GB2312" w:eastAsia="仿宋_GB2312" w:cs="仿宋_GB2312"/>
          <w:color w:val="000000"/>
          <w:sz w:val="32"/>
          <w:szCs w:val="32"/>
          <w:lang w:val="en-US" w:eastAsia="zh-CN"/>
        </w:rPr>
        <w:t>中心城区市政基础设施</w:t>
      </w:r>
      <w:r>
        <w:rPr>
          <w:rFonts w:hint="eastAsia" w:ascii="仿宋_GB2312" w:hAnsi="仿宋_GB2312" w:eastAsia="仿宋_GB2312" w:cs="仿宋_GB2312"/>
          <w:sz w:val="32"/>
          <w:szCs w:val="32"/>
        </w:rPr>
        <w:t>维</w:t>
      </w:r>
      <w:r>
        <w:rPr>
          <w:rFonts w:hint="eastAsia" w:ascii="仿宋_GB2312" w:hAnsi="仿宋_GB2312" w:eastAsia="仿宋_GB2312" w:cs="仿宋_GB2312"/>
          <w:sz w:val="32"/>
          <w:szCs w:val="32"/>
          <w:lang w:val="en-US" w:eastAsia="zh-CN"/>
        </w:rPr>
        <w:t>护的</w:t>
      </w:r>
      <w:r>
        <w:rPr>
          <w:rFonts w:hint="eastAsia" w:ascii="仿宋_GB2312" w:hAnsi="仿宋_GB2312" w:eastAsia="仿宋_GB2312" w:cs="仿宋_GB2312"/>
          <w:sz w:val="32"/>
          <w:szCs w:val="32"/>
        </w:rPr>
        <w:t>劳务费、机械台班费、大型机械租赁费、机械油料费、集中维修采购水泥混凝土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沥青、砂、水泥</w:t>
      </w:r>
      <w:r>
        <w:rPr>
          <w:rFonts w:hint="eastAsia" w:ascii="仿宋_GB2312" w:hAnsi="仿宋_GB2312" w:eastAsia="仿宋_GB2312" w:cs="仿宋_GB2312"/>
          <w:sz w:val="32"/>
          <w:szCs w:val="32"/>
          <w:lang w:eastAsia="zh-CN"/>
        </w:rPr>
        <w:t>、雨雪冰冻灾害应对物资采购</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highlight w:val="none"/>
          <w:lang w:val="en-US" w:eastAsia="zh-CN"/>
        </w:rPr>
        <w:t>旅发大会桥梁隧道涂装翻新，</w:t>
      </w:r>
      <w:r>
        <w:rPr>
          <w:rFonts w:hint="eastAsia" w:ascii="仿宋_GB2312" w:hAnsi="仿宋_GB2312" w:eastAsia="仿宋_GB2312" w:cs="仿宋_GB2312"/>
          <w:sz w:val="32"/>
          <w:szCs w:val="32"/>
          <w:lang w:eastAsia="zh-CN"/>
        </w:rPr>
        <w:t>泵站运行电费及设备日常维护支出，</w:t>
      </w:r>
      <w:r>
        <w:rPr>
          <w:rFonts w:hint="eastAsia" w:ascii="仿宋_GB2312" w:hAnsi="仿宋_GB2312" w:eastAsia="仿宋_GB2312" w:cs="仿宋_GB2312"/>
          <w:sz w:val="32"/>
          <w:szCs w:val="32"/>
        </w:rPr>
        <w:t>以及项目设计费</w:t>
      </w:r>
      <w:r>
        <w:rPr>
          <w:rFonts w:hint="eastAsia" w:ascii="仿宋_GB2312" w:hAnsi="仿宋_GB2312" w:eastAsia="仿宋_GB2312" w:cs="仿宋_GB2312"/>
          <w:sz w:val="32"/>
          <w:szCs w:val="32"/>
          <w:lang w:val="en-US" w:eastAsia="zh-CN"/>
        </w:rPr>
        <w:t>等相关支出。</w:t>
      </w:r>
    </w:p>
    <w:p w14:paraId="292B4F4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（二）项目资金管理情况</w:t>
      </w:r>
    </w:p>
    <w:p w14:paraId="14B6FA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SA"/>
        </w:rPr>
        <w:t>根据《预算法》、《政府会计制度》和岳阳市财政局《关于进一步规范专项资金使用流程的通知》（岳财发〔2024〕8号）等文件精神，</w:t>
      </w:r>
      <w:r>
        <w:rPr>
          <w:rFonts w:hint="eastAsia" w:ascii="仿宋_GB2312" w:hAnsi="仿宋_GB2312" w:eastAsia="仿宋_GB2312" w:cs="仿宋_GB2312"/>
          <w:sz w:val="32"/>
          <w:szCs w:val="32"/>
        </w:rPr>
        <w:t>为确保资金</w:t>
      </w:r>
      <w:r>
        <w:rPr>
          <w:rFonts w:hint="eastAsia" w:ascii="仿宋_GB2312" w:hAnsi="仿宋_GB2312" w:eastAsia="仿宋_GB2312" w:cs="仿宋_GB2312"/>
          <w:sz w:val="32"/>
          <w:szCs w:val="32"/>
          <w:lang w:val="en-US" w:eastAsia="zh-CN"/>
        </w:rPr>
        <w:t>使用</w:t>
      </w:r>
      <w:r>
        <w:rPr>
          <w:rFonts w:hint="eastAsia" w:ascii="仿宋_GB2312" w:hAnsi="仿宋_GB2312" w:eastAsia="仿宋_GB2312" w:cs="仿宋_GB2312"/>
          <w:sz w:val="32"/>
          <w:szCs w:val="32"/>
        </w:rPr>
        <w:t>合理、合规，</w:t>
      </w:r>
      <w:r>
        <w:rPr>
          <w:rFonts w:hint="eastAsia" w:ascii="仿宋_GB2312" w:hAnsi="仿宋_GB2312" w:eastAsia="仿宋_GB2312" w:cs="仿宋_GB2312"/>
          <w:sz w:val="32"/>
          <w:szCs w:val="32"/>
          <w:lang w:val="en-US" w:eastAsia="zh-CN"/>
        </w:rPr>
        <w:t>发挥财政资金使用效益。中心</w:t>
      </w:r>
      <w:r>
        <w:rPr>
          <w:rFonts w:hint="eastAsia" w:ascii="仿宋_GB2312" w:hAnsi="仿宋_GB2312" w:eastAsia="仿宋_GB2312" w:cs="仿宋_GB2312"/>
          <w:sz w:val="32"/>
          <w:szCs w:val="32"/>
        </w:rPr>
        <w:t>建立了《专项资金管理办法》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《市政维护</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成本控制办法》、《市政维护</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安全管理办法》</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《市政维护</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考评办法》</w:t>
      </w:r>
      <w:r>
        <w:rPr>
          <w:rFonts w:hint="eastAsia" w:ascii="仿宋_GB2312" w:hAnsi="仿宋_GB2312" w:eastAsia="仿宋_GB2312" w:cs="仿宋_GB2312"/>
          <w:sz w:val="32"/>
          <w:szCs w:val="32"/>
          <w:lang w:val="en-US" w:eastAsia="zh-CN"/>
        </w:rPr>
        <w:t>等制度，为项目管理提供了制度保障。并依据</w:t>
      </w:r>
      <w:r>
        <w:rPr>
          <w:rFonts w:hint="eastAsia" w:ascii="仿宋_GB2312" w:hAnsi="仿宋_GB2312" w:eastAsia="仿宋_GB2312" w:cs="仿宋_GB2312"/>
          <w:sz w:val="32"/>
          <w:szCs w:val="32"/>
        </w:rPr>
        <w:t>《专项资金绩效评价办法》、《项目实施管理办法》、《项目实施细则》、《岗位责任制度》等制度对项目实施全过程进行制度化、程序化管理。</w:t>
      </w:r>
    </w:p>
    <w:p w14:paraId="12E1C2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从支付流程分析，每一笔</w:t>
      </w:r>
      <w:r>
        <w:rPr>
          <w:rFonts w:hint="eastAsia" w:ascii="仿宋_GB2312" w:hAnsi="仿宋_GB2312" w:eastAsia="仿宋_GB2312" w:cs="仿宋_GB2312"/>
          <w:sz w:val="32"/>
          <w:szCs w:val="32"/>
          <w:lang w:eastAsia="zh-CN"/>
        </w:rPr>
        <w:t>费用</w:t>
      </w:r>
      <w:r>
        <w:rPr>
          <w:rFonts w:hint="eastAsia" w:ascii="仿宋_GB2312" w:hAnsi="仿宋_GB2312" w:eastAsia="仿宋_GB2312" w:cs="仿宋_GB2312"/>
          <w:sz w:val="32"/>
          <w:szCs w:val="32"/>
        </w:rPr>
        <w:t>支出经过经办人、部门负责人证明签字，资金支付经财务负责人</w:t>
      </w:r>
      <w:r>
        <w:rPr>
          <w:rFonts w:hint="eastAsia" w:ascii="仿宋_GB2312" w:hAnsi="仿宋_GB2312" w:eastAsia="仿宋_GB2312" w:cs="仿宋_GB2312"/>
          <w:sz w:val="32"/>
          <w:szCs w:val="32"/>
          <w:lang w:val="en-US" w:eastAsia="zh-CN"/>
        </w:rPr>
        <w:t>审</w:t>
      </w:r>
      <w:r>
        <w:rPr>
          <w:rFonts w:hint="eastAsia" w:ascii="仿宋_GB2312" w:hAnsi="仿宋_GB2312" w:eastAsia="仿宋_GB2312" w:cs="仿宋_GB2312"/>
          <w:sz w:val="32"/>
          <w:szCs w:val="32"/>
        </w:rPr>
        <w:t>核</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主管领导审批同意</w:t>
      </w:r>
      <w:r>
        <w:rPr>
          <w:rFonts w:hint="eastAsia" w:ascii="仿宋_GB2312" w:hAnsi="仿宋_GB2312" w:eastAsia="仿宋_GB2312" w:cs="仿宋_GB2312"/>
          <w:sz w:val="32"/>
          <w:szCs w:val="32"/>
          <w:lang w:val="en-US" w:eastAsia="zh-CN"/>
        </w:rPr>
        <w:t>后进行结算</w:t>
      </w:r>
      <w:r>
        <w:rPr>
          <w:rFonts w:hint="eastAsia" w:ascii="仿宋_GB2312" w:hAnsi="仿宋_GB2312" w:eastAsia="仿宋_GB2312" w:cs="仿宋_GB2312"/>
          <w:sz w:val="32"/>
          <w:szCs w:val="32"/>
        </w:rPr>
        <w:t>，并严格执行支出审核控制，重点审核单据来源是否合法，内容是否真实、完整，使用是否准确，是否符合预算，审批手续是否齐全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保证了整个项目组织工作的高效性、约束性、风险控制性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另外，</w:t>
      </w:r>
      <w:r>
        <w:rPr>
          <w:rFonts w:hint="eastAsia" w:ascii="仿宋_GB2312" w:hAnsi="仿宋_GB2312" w:eastAsia="仿宋_GB2312" w:cs="仿宋_GB2312"/>
          <w:sz w:val="32"/>
          <w:szCs w:val="32"/>
        </w:rPr>
        <w:t>制订了收支业务等内部控制操作规程，规范专项资金的使用和管理，单独核算，专款专用，严禁挤占和挪用项目资金。确保专项支出从“事前、事中、事后”全过程监控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确保了经费支出效益</w:t>
      </w:r>
      <w:r>
        <w:rPr>
          <w:rFonts w:hint="eastAsia" w:ascii="仿宋_GB2312" w:hAnsi="仿宋_GB2312" w:eastAsia="仿宋_GB2312" w:cs="仿宋_GB2312"/>
          <w:sz w:val="32"/>
          <w:szCs w:val="32"/>
        </w:rPr>
        <w:t>。</w:t>
      </w:r>
    </w:p>
    <w:p w14:paraId="07CA7BCE">
      <w:pPr>
        <w:spacing w:line="560" w:lineRule="exact"/>
        <w:ind w:firstLine="643" w:firstLineChars="200"/>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三</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项目组织实施情况分析</w:t>
      </w:r>
    </w:p>
    <w:p w14:paraId="1BBCEF6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 xml:space="preserve">项目组织情况分析 </w:t>
      </w:r>
    </w:p>
    <w:p w14:paraId="557DFCD8">
      <w:pPr>
        <w:keepNext w:val="0"/>
        <w:keepLines w:val="0"/>
        <w:pageBreakBefore w:val="0"/>
        <w:widowControl w:val="0"/>
        <w:kinsoku/>
        <w:wordWrap/>
        <w:overflowPunct/>
        <w:topLinePunct w:val="0"/>
        <w:autoSpaceDE/>
        <w:autoSpaceDN/>
        <w:bidi w:val="0"/>
        <w:adjustRightInd/>
        <w:snapToGrid/>
        <w:spacing w:line="600" w:lineRule="exact"/>
        <w:ind w:left="2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内设</w:t>
      </w:r>
      <w:r>
        <w:rPr>
          <w:rFonts w:hint="eastAsia" w:ascii="仿宋_GB2312" w:hAnsi="仿宋_GB2312" w:eastAsia="仿宋_GB2312" w:cs="仿宋_GB2312"/>
          <w:sz w:val="32"/>
          <w:szCs w:val="32"/>
          <w:lang w:val="en-US" w:eastAsia="zh-CN"/>
        </w:rPr>
        <w:t>6个内设机构：综合部、财务内审部、人事部、安全技术部、计划服务部、信息考评部；下设5个副科级分支机构：市政道路桥梁管理所、市政排水泵站管理所、市政设备管理所、市政维护科研所、城陵矶新港区管理所5个下属单位</w:t>
      </w:r>
      <w:r>
        <w:rPr>
          <w:rFonts w:hint="eastAsia" w:ascii="仿宋_GB2312" w:hAnsi="仿宋_GB2312" w:eastAsia="仿宋_GB2312" w:cs="仿宋_GB2312"/>
          <w:sz w:val="32"/>
          <w:szCs w:val="32"/>
        </w:rPr>
        <w:t>。各科室分工明确，其中</w:t>
      </w:r>
      <w:r>
        <w:rPr>
          <w:rFonts w:hint="eastAsia" w:ascii="仿宋_GB2312" w:hAnsi="仿宋_GB2312" w:eastAsia="仿宋_GB2312" w:cs="仿宋_GB2312"/>
          <w:sz w:val="32"/>
          <w:szCs w:val="32"/>
          <w:lang w:eastAsia="zh-CN"/>
        </w:rPr>
        <w:t>市政</w:t>
      </w:r>
      <w:r>
        <w:rPr>
          <w:rFonts w:hint="eastAsia" w:ascii="仿宋_GB2312" w:hAnsi="仿宋_GB2312" w:eastAsia="仿宋_GB2312" w:cs="仿宋_GB2312"/>
          <w:sz w:val="32"/>
          <w:szCs w:val="32"/>
        </w:rPr>
        <w:t>道路桥梁</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rPr>
        <w:t>所负责道路维修整治的具体实施，</w:t>
      </w:r>
      <w:r>
        <w:rPr>
          <w:rFonts w:hint="eastAsia" w:ascii="仿宋_GB2312" w:hAnsi="仿宋_GB2312" w:eastAsia="仿宋_GB2312" w:cs="仿宋_GB2312"/>
          <w:sz w:val="32"/>
          <w:szCs w:val="32"/>
          <w:lang w:val="en-US" w:eastAsia="zh-CN"/>
        </w:rPr>
        <w:t>计划服务</w:t>
      </w:r>
      <w:r>
        <w:rPr>
          <w:rFonts w:hint="eastAsia" w:ascii="仿宋_GB2312" w:hAnsi="仿宋_GB2312" w:eastAsia="仿宋_GB2312" w:cs="仿宋_GB2312"/>
          <w:sz w:val="32"/>
          <w:szCs w:val="32"/>
          <w:lang w:eastAsia="zh-CN"/>
        </w:rPr>
        <w:t>部</w:t>
      </w:r>
      <w:r>
        <w:rPr>
          <w:rFonts w:hint="eastAsia" w:ascii="仿宋_GB2312" w:hAnsi="仿宋_GB2312" w:eastAsia="仿宋_GB2312" w:cs="仿宋_GB2312"/>
          <w:sz w:val="32"/>
          <w:szCs w:val="32"/>
        </w:rPr>
        <w:t>负责维修所需材料的采购，</w:t>
      </w:r>
      <w:r>
        <w:rPr>
          <w:rFonts w:hint="eastAsia" w:ascii="仿宋_GB2312" w:hAnsi="仿宋_GB2312" w:eastAsia="仿宋_GB2312" w:cs="仿宋_GB2312"/>
          <w:sz w:val="32"/>
          <w:szCs w:val="32"/>
          <w:lang w:val="en-US" w:eastAsia="zh-CN"/>
        </w:rPr>
        <w:t>市政</w:t>
      </w:r>
      <w:r>
        <w:rPr>
          <w:rFonts w:hint="eastAsia" w:ascii="仿宋_GB2312" w:hAnsi="仿宋_GB2312" w:eastAsia="仿宋_GB2312" w:cs="仿宋_GB2312"/>
          <w:sz w:val="32"/>
          <w:szCs w:val="32"/>
        </w:rPr>
        <w:t>设备</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rPr>
        <w:t>所负责施工设备的</w:t>
      </w:r>
      <w:r>
        <w:rPr>
          <w:rFonts w:hint="eastAsia" w:ascii="仿宋_GB2312" w:hAnsi="仿宋_GB2312" w:eastAsia="仿宋_GB2312" w:cs="仿宋_GB2312"/>
          <w:sz w:val="32"/>
          <w:szCs w:val="32"/>
          <w:lang w:eastAsia="zh-CN"/>
        </w:rPr>
        <w:t>日常维护保养及</w:t>
      </w:r>
      <w:r>
        <w:rPr>
          <w:rFonts w:hint="eastAsia" w:ascii="仿宋_GB2312" w:hAnsi="仿宋_GB2312" w:eastAsia="仿宋_GB2312" w:cs="仿宋_GB2312"/>
          <w:sz w:val="32"/>
          <w:szCs w:val="32"/>
        </w:rPr>
        <w:t>调度调配，</w:t>
      </w:r>
      <w:r>
        <w:rPr>
          <w:rFonts w:hint="eastAsia" w:ascii="仿宋_GB2312" w:hAnsi="仿宋_GB2312" w:eastAsia="仿宋_GB2312" w:cs="仿宋_GB2312"/>
          <w:sz w:val="32"/>
          <w:szCs w:val="32"/>
          <w:lang w:val="en-US" w:eastAsia="zh-CN"/>
        </w:rPr>
        <w:t>市政排水泵站管理所负责排水设施的疏通、维修与管理及泵站的日常运行管理与维护，市政维护科研所主要负责市政设施的大中型维修，城陵矶新港区管理所负责城陵矶新港区市政设施维护（含小型改造）和市政设施的防汛排涝等突击应急工作任务，安全技术</w:t>
      </w:r>
      <w:r>
        <w:rPr>
          <w:rFonts w:hint="eastAsia" w:ascii="仿宋_GB2312" w:hAnsi="仿宋_GB2312" w:eastAsia="仿宋_GB2312" w:cs="仿宋_GB2312"/>
          <w:sz w:val="32"/>
          <w:szCs w:val="32"/>
          <w:lang w:eastAsia="zh-CN"/>
        </w:rPr>
        <w:t>部</w:t>
      </w:r>
      <w:r>
        <w:rPr>
          <w:rFonts w:hint="eastAsia" w:ascii="仿宋_GB2312" w:hAnsi="仿宋_GB2312" w:eastAsia="仿宋_GB2312" w:cs="仿宋_GB2312"/>
          <w:sz w:val="32"/>
          <w:szCs w:val="32"/>
        </w:rPr>
        <w:t>负责维修成本的核算及报评审等工作。</w:t>
      </w:r>
    </w:p>
    <w:p w14:paraId="740A604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项目管理情况分析</w:t>
      </w:r>
    </w:p>
    <w:p w14:paraId="58DD6C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项目档案管理</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规范化为项目管理提供了技术保证</w:t>
      </w:r>
    </w:p>
    <w:p w14:paraId="1AB4F9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项目完工后，对项目执行了一系列的验收程序，</w:t>
      </w:r>
      <w:r>
        <w:rPr>
          <w:rFonts w:hint="eastAsia" w:ascii="仿宋_GB2312" w:hAnsi="仿宋_GB2312" w:eastAsia="仿宋_GB2312" w:cs="仿宋_GB2312"/>
          <w:sz w:val="32"/>
          <w:szCs w:val="32"/>
          <w:lang w:val="en-US" w:eastAsia="zh-CN"/>
        </w:rPr>
        <w:t>为项目管理目标的实现提供了有力支持。</w:t>
      </w:r>
      <w:r>
        <w:rPr>
          <w:rFonts w:hint="eastAsia" w:ascii="仿宋_GB2312" w:hAnsi="仿宋_GB2312" w:eastAsia="仿宋_GB2312" w:cs="仿宋_GB2312"/>
          <w:sz w:val="32"/>
          <w:szCs w:val="32"/>
        </w:rPr>
        <w:t>相关管理制度健全，资金专款专用，未出现截留、挪用等违纪违规使用情况，确保了</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资金</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安全。</w:t>
      </w:r>
    </w:p>
    <w:p w14:paraId="0810C8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绩效管理、整章建制为项目管理提供了制度保证</w:t>
      </w:r>
    </w:p>
    <w:p w14:paraId="2DAA50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中心修订</w:t>
      </w:r>
      <w:r>
        <w:rPr>
          <w:rFonts w:hint="eastAsia" w:ascii="仿宋_GB2312" w:hAnsi="仿宋_GB2312" w:eastAsia="仿宋_GB2312" w:cs="仿宋_GB2312"/>
          <w:sz w:val="32"/>
          <w:szCs w:val="32"/>
        </w:rPr>
        <w:t>了《部门目标管理考核细则方案 》、《绩效考核方案》等系列管理制度，为确保市政设施安全运行提供了制度保证。对各部门一年的目标任务进行细化、量化，并成立了目标管理考核小组，每月在各部门自查的基础上，目标管理考核小组采取不定期的查、看、督等方式对各部门的工作进行全面考核和综合打分，并以此作为年终目标考核评优评先的重要依据。</w:t>
      </w:r>
    </w:p>
    <w:p w14:paraId="7A74F750">
      <w:pPr>
        <w:pStyle w:val="2"/>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val="en-US" w:eastAsia="zh-CN"/>
        </w:rPr>
        <w:t>中心</w:t>
      </w:r>
      <w:r>
        <w:rPr>
          <w:rFonts w:hint="eastAsia" w:ascii="仿宋_GB2312" w:hAnsi="仿宋_GB2312" w:eastAsia="仿宋_GB2312" w:cs="仿宋_GB2312"/>
          <w:color w:val="000000"/>
          <w:sz w:val="32"/>
          <w:szCs w:val="32"/>
        </w:rPr>
        <w:t>项目</w:t>
      </w:r>
      <w:r>
        <w:rPr>
          <w:rFonts w:hint="eastAsia" w:ascii="仿宋_GB2312" w:hAnsi="仿宋_GB2312" w:eastAsia="仿宋_GB2312" w:cs="仿宋_GB2312"/>
          <w:sz w:val="32"/>
          <w:szCs w:val="32"/>
        </w:rPr>
        <w:t>资金的使用和管理做到了分工明确，工作流程实施合理，在执行风险控制方面有良好的约束机制</w:t>
      </w:r>
      <w:r>
        <w:rPr>
          <w:rFonts w:hint="eastAsia" w:ascii="仿宋_GB2312" w:hAnsi="仿宋_GB2312" w:eastAsia="仿宋_GB2312" w:cs="仿宋_GB2312"/>
          <w:sz w:val="32"/>
          <w:szCs w:val="32"/>
          <w:lang w:eastAsia="zh-CN"/>
        </w:rPr>
        <w:t>，为各项目绩效目标的实现提供了有力保障。</w:t>
      </w:r>
    </w:p>
    <w:p w14:paraId="1ADBB3F6">
      <w:pPr>
        <w:spacing w:line="56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综合评价情况及评价结论</w:t>
      </w:r>
    </w:p>
    <w:p w14:paraId="505EC6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评价小组依</w:t>
      </w:r>
      <w:r>
        <w:rPr>
          <w:rFonts w:hint="eastAsia" w:ascii="仿宋_GB2312" w:hAnsi="仿宋_GB2312" w:eastAsia="仿宋_GB2312" w:cs="仿宋_GB2312"/>
          <w:sz w:val="32"/>
          <w:szCs w:val="32"/>
        </w:rPr>
        <w:t>据</w:t>
      </w:r>
      <w:r>
        <w:rPr>
          <w:rFonts w:hint="eastAsia" w:ascii="仿宋_GB2312" w:hAnsi="仿宋_GB2312" w:eastAsia="仿宋_GB2312" w:cs="仿宋_GB2312"/>
          <w:sz w:val="32"/>
          <w:szCs w:val="32"/>
          <w:lang w:val="en-US" w:eastAsia="zh-CN"/>
        </w:rPr>
        <w:t>岳阳市财政局《关于印发&lt;岳阳市市级预算部门绩效自评操作规程&gt;的通知》岳财函〔2022〕209号文件规定相关</w:t>
      </w:r>
      <w:r>
        <w:rPr>
          <w:rFonts w:hint="eastAsia" w:ascii="仿宋_GB2312" w:hAnsi="仿宋_GB2312" w:eastAsia="仿宋_GB2312" w:cs="仿宋_GB2312"/>
          <w:sz w:val="32"/>
          <w:szCs w:val="32"/>
        </w:rPr>
        <w:t>评价指标</w:t>
      </w:r>
      <w:r>
        <w:rPr>
          <w:rFonts w:hint="eastAsia" w:ascii="仿宋_GB2312" w:hAnsi="仿宋_GB2312" w:eastAsia="仿宋_GB2312" w:cs="仿宋_GB2312"/>
          <w:sz w:val="32"/>
          <w:szCs w:val="32"/>
          <w:lang w:val="en-US" w:eastAsia="zh-CN"/>
        </w:rPr>
        <w:t>和标准进行了分析与</w:t>
      </w:r>
      <w:r>
        <w:rPr>
          <w:rFonts w:hint="eastAsia" w:ascii="仿宋_GB2312" w:hAnsi="仿宋_GB2312" w:eastAsia="仿宋_GB2312" w:cs="仿宋_GB2312"/>
          <w:sz w:val="32"/>
          <w:szCs w:val="32"/>
        </w:rPr>
        <w:t>评分，</w:t>
      </w:r>
      <w:r>
        <w:rPr>
          <w:rFonts w:hint="eastAsia" w:ascii="仿宋_GB2312" w:hAnsi="仿宋_GB2312" w:eastAsia="仿宋_GB2312" w:cs="仿宋_GB2312"/>
          <w:sz w:val="32"/>
          <w:szCs w:val="32"/>
          <w:lang w:eastAsia="zh-CN"/>
        </w:rPr>
        <w:t>一致认为中心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color w:val="000000"/>
          <w:sz w:val="32"/>
          <w:szCs w:val="32"/>
        </w:rPr>
        <w:t>项目</w:t>
      </w:r>
      <w:r>
        <w:rPr>
          <w:rFonts w:hint="eastAsia" w:ascii="仿宋_GB2312" w:hAnsi="仿宋_GB2312" w:eastAsia="仿宋_GB2312" w:cs="仿宋_GB2312"/>
          <w:color w:val="000000"/>
          <w:sz w:val="32"/>
          <w:szCs w:val="32"/>
          <w:lang w:eastAsia="zh-CN"/>
        </w:rPr>
        <w:t>资金</w:t>
      </w:r>
      <w:r>
        <w:rPr>
          <w:rFonts w:hint="eastAsia" w:ascii="仿宋_GB2312" w:hAnsi="仿宋_GB2312" w:eastAsia="仿宋_GB2312" w:cs="仿宋_GB2312"/>
          <w:sz w:val="32"/>
          <w:szCs w:val="32"/>
        </w:rPr>
        <w:t>管</w:t>
      </w:r>
      <w:r>
        <w:rPr>
          <w:rFonts w:hint="eastAsia" w:ascii="仿宋_GB2312" w:hAnsi="仿宋_GB2312" w:eastAsia="仿宋_GB2312" w:cs="仿宋_GB2312"/>
          <w:sz w:val="32"/>
          <w:szCs w:val="32"/>
          <w:lang w:val="en-US" w:eastAsia="zh-CN"/>
        </w:rPr>
        <w:t>理和使用规范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遵守了相关法规</w:t>
      </w:r>
      <w:r>
        <w:rPr>
          <w:rFonts w:hint="eastAsia" w:ascii="仿宋_GB2312" w:hAnsi="仿宋_GB2312" w:eastAsia="仿宋_GB2312" w:cs="仿宋_GB2312"/>
          <w:sz w:val="32"/>
          <w:szCs w:val="32"/>
        </w:rPr>
        <w:t>政策，</w:t>
      </w:r>
      <w:r>
        <w:rPr>
          <w:rFonts w:hint="eastAsia" w:ascii="仿宋_GB2312" w:hAnsi="仿宋_GB2312" w:eastAsia="仿宋_GB2312" w:cs="仿宋_GB2312"/>
          <w:sz w:val="32"/>
          <w:szCs w:val="32"/>
          <w:lang w:eastAsia="zh-CN"/>
        </w:rPr>
        <w:t>预算执行率高，资金使用规范，</w:t>
      </w:r>
      <w:r>
        <w:rPr>
          <w:rFonts w:hint="eastAsia" w:ascii="仿宋_GB2312" w:hAnsi="仿宋_GB2312" w:eastAsia="仿宋_GB2312" w:cs="仿宋_GB2312"/>
          <w:sz w:val="32"/>
          <w:szCs w:val="32"/>
        </w:rPr>
        <w:t>有效发挥了</w:t>
      </w:r>
      <w:r>
        <w:rPr>
          <w:rFonts w:hint="eastAsia" w:ascii="仿宋_GB2312" w:hAnsi="仿宋_GB2312" w:eastAsia="仿宋_GB2312" w:cs="仿宋_GB2312"/>
          <w:sz w:val="32"/>
          <w:szCs w:val="32"/>
          <w:lang w:eastAsia="zh-CN"/>
        </w:rPr>
        <w:t>预算</w:t>
      </w:r>
      <w:r>
        <w:rPr>
          <w:rFonts w:hint="eastAsia" w:ascii="仿宋_GB2312" w:hAnsi="仿宋_GB2312" w:eastAsia="仿宋_GB2312" w:cs="仿宋_GB2312"/>
          <w:sz w:val="32"/>
          <w:szCs w:val="32"/>
        </w:rPr>
        <w:t>资金的使用效</w:t>
      </w:r>
      <w:r>
        <w:rPr>
          <w:rFonts w:hint="eastAsia" w:ascii="仿宋_GB2312" w:hAnsi="仿宋_GB2312" w:eastAsia="仿宋_GB2312" w:cs="仿宋_GB2312"/>
          <w:sz w:val="32"/>
          <w:szCs w:val="32"/>
          <w:lang w:eastAsia="zh-CN"/>
        </w:rPr>
        <w:t>益，</w:t>
      </w:r>
      <w:r>
        <w:rPr>
          <w:rFonts w:hint="eastAsia" w:ascii="仿宋_GB2312" w:hAnsi="仿宋_GB2312" w:eastAsia="仿宋_GB2312" w:cs="仿宋_GB2312"/>
          <w:sz w:val="32"/>
          <w:szCs w:val="32"/>
          <w:lang w:val="en-US" w:eastAsia="zh-CN"/>
        </w:rPr>
        <w:t>各项目</w:t>
      </w:r>
      <w:r>
        <w:rPr>
          <w:rFonts w:hint="eastAsia" w:ascii="仿宋_GB2312" w:hAnsi="仿宋_GB2312" w:eastAsia="仿宋_GB2312" w:cs="仿宋_GB2312"/>
          <w:sz w:val="32"/>
          <w:szCs w:val="32"/>
          <w:lang w:eastAsia="zh-CN"/>
        </w:rPr>
        <w:t>绩效</w:t>
      </w:r>
      <w:r>
        <w:rPr>
          <w:rFonts w:hint="eastAsia" w:ascii="仿宋_GB2312" w:hAnsi="仿宋_GB2312" w:eastAsia="仿宋_GB2312" w:cs="仿宋_GB2312"/>
          <w:sz w:val="32"/>
          <w:szCs w:val="32"/>
          <w:lang w:val="en-US" w:eastAsia="zh-CN"/>
        </w:rPr>
        <w:t>自评得分均在</w:t>
      </w:r>
      <w:r>
        <w:rPr>
          <w:rFonts w:hint="eastAsia" w:ascii="仿宋_GB2312" w:hAnsi="仿宋_GB2312" w:eastAsia="仿宋_GB2312" w:cs="仿宋_GB2312"/>
          <w:color w:val="auto"/>
          <w:sz w:val="32"/>
          <w:szCs w:val="32"/>
          <w:lang w:val="en-US" w:eastAsia="zh-CN"/>
        </w:rPr>
        <w:t>97</w:t>
      </w:r>
      <w:r>
        <w:rPr>
          <w:rFonts w:hint="eastAsia" w:ascii="仿宋_GB2312" w:hAnsi="仿宋_GB2312" w:eastAsia="仿宋_GB2312" w:cs="仿宋_GB2312"/>
          <w:sz w:val="32"/>
          <w:szCs w:val="32"/>
          <w:lang w:val="en-US" w:eastAsia="zh-CN"/>
        </w:rPr>
        <w:t>分以上，</w:t>
      </w:r>
      <w:r>
        <w:rPr>
          <w:rFonts w:hint="eastAsia" w:ascii="仿宋_GB2312" w:hAnsi="仿宋_GB2312" w:eastAsia="仿宋_GB2312" w:cs="仿宋_GB2312"/>
          <w:sz w:val="32"/>
          <w:szCs w:val="32"/>
        </w:rPr>
        <w:t>考评等级</w:t>
      </w:r>
      <w:r>
        <w:rPr>
          <w:rFonts w:hint="eastAsia" w:ascii="仿宋_GB2312" w:hAnsi="仿宋_GB2312" w:eastAsia="仿宋_GB2312" w:cs="仿宋_GB2312"/>
          <w:sz w:val="32"/>
          <w:szCs w:val="32"/>
          <w:lang w:eastAsia="zh-CN"/>
        </w:rPr>
        <w:t>均</w:t>
      </w:r>
      <w:r>
        <w:rPr>
          <w:rFonts w:hint="eastAsia" w:ascii="仿宋_GB2312" w:hAnsi="仿宋_GB2312" w:eastAsia="仿宋_GB2312" w:cs="仿宋_GB2312"/>
          <w:sz w:val="32"/>
          <w:szCs w:val="32"/>
        </w:rPr>
        <w:t>为优</w:t>
      </w:r>
      <w:r>
        <w:rPr>
          <w:rFonts w:hint="eastAsia" w:ascii="仿宋_GB2312" w:hAnsi="仿宋_GB2312" w:eastAsia="仿宋_GB2312" w:cs="仿宋_GB2312"/>
          <w:sz w:val="32"/>
          <w:szCs w:val="32"/>
          <w:lang w:eastAsia="zh-CN"/>
        </w:rPr>
        <w:t>秀</w:t>
      </w:r>
      <w:r>
        <w:rPr>
          <w:rFonts w:hint="eastAsia" w:ascii="仿宋_GB2312" w:hAnsi="仿宋_GB2312" w:eastAsia="仿宋_GB2312" w:cs="仿宋_GB2312"/>
          <w:sz w:val="32"/>
          <w:szCs w:val="32"/>
        </w:rPr>
        <w:t>。</w:t>
      </w:r>
    </w:p>
    <w:p w14:paraId="3945C1ED">
      <w:pPr>
        <w:pStyle w:val="2"/>
        <w:numPr>
          <w:ilvl w:val="0"/>
          <w:numId w:val="0"/>
        </w:numPr>
        <w:ind w:left="640" w:leftChars="0"/>
        <w:rPr>
          <w:rFonts w:hint="eastAsia" w:ascii="楷体_GB2312" w:hAnsi="楷体_GB2312" w:eastAsia="楷体_GB2312" w:cs="楷体_GB2312"/>
          <w:b/>
          <w:bCs/>
          <w:color w:val="FF0000"/>
          <w:sz w:val="32"/>
          <w:szCs w:val="32"/>
          <w:lang w:val="en-US" w:eastAsia="zh-CN"/>
        </w:rPr>
      </w:pPr>
      <w:r>
        <w:rPr>
          <w:rFonts w:hint="eastAsia" w:ascii="楷体_GB2312" w:hAnsi="楷体_GB2312" w:eastAsia="楷体_GB2312" w:cs="楷体_GB2312"/>
          <w:b/>
          <w:bCs/>
          <w:color w:val="auto"/>
          <w:sz w:val="32"/>
          <w:szCs w:val="32"/>
          <w:lang w:val="en-US" w:eastAsia="zh-CN"/>
        </w:rPr>
        <w:t>五、项目主要绩效情况分析</w:t>
      </w:r>
    </w:p>
    <w:p w14:paraId="041C445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中心党委聚焦主责主业，团结带领全体干部职工以“钉钉子”精神狠抓落实，在设施维护、民生服务、重点保障等方面取得了一系列扎实成效。</w:t>
      </w:r>
    </w:p>
    <w:p w14:paraId="7C4B899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一</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设施维护提质增效，城市运行基础不断夯实。</w:t>
      </w:r>
      <w:r>
        <w:rPr>
          <w:rFonts w:hint="eastAsia" w:ascii="仿宋_GB2312" w:hAnsi="仿宋_GB2312" w:eastAsia="仿宋_GB2312" w:cs="仿宋_GB2312"/>
          <w:b w:val="0"/>
          <w:bCs w:val="0"/>
          <w:sz w:val="32"/>
          <w:szCs w:val="32"/>
          <w:lang w:val="en-US" w:eastAsia="zh-CN"/>
        </w:rPr>
        <w:t>一是</w:t>
      </w:r>
      <w:r>
        <w:rPr>
          <w:rFonts w:hint="eastAsia" w:ascii="仿宋_GB2312" w:hAnsi="仿宋_GB2312" w:eastAsia="仿宋_GB2312" w:cs="仿宋_GB2312"/>
          <w:b w:val="0"/>
          <w:bCs w:val="0"/>
          <w:sz w:val="32"/>
          <w:szCs w:val="32"/>
        </w:rPr>
        <w:t>道路桥梁养护方面</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sz w:val="32"/>
          <w:szCs w:val="32"/>
        </w:rPr>
        <w:t>全年累计完成中心城区路面维修1.6万平方米、人行道维修3.7万平方米，维修更换各类检查井、雨水窗1400套，清理桥梁伸缩缝超3.9万米，处置桥梁安全隐患26处。高效完成琵琶王立交桥等47座桥梁隧道技术状况评定，</w:t>
      </w:r>
      <w:r>
        <w:rPr>
          <w:rFonts w:hint="eastAsia" w:ascii="仿宋_GB2312" w:hAnsi="仿宋_GB2312" w:eastAsia="仿宋_GB2312" w:cs="仿宋_GB2312"/>
          <w:sz w:val="32"/>
          <w:szCs w:val="32"/>
          <w:lang w:val="en-US" w:eastAsia="zh-CN"/>
        </w:rPr>
        <w:t>完成了</w:t>
      </w:r>
      <w:r>
        <w:rPr>
          <w:rFonts w:hint="eastAsia" w:ascii="仿宋_GB2312" w:hAnsi="仿宋_GB2312" w:eastAsia="仿宋_GB2312" w:cs="仿宋_GB2312"/>
          <w:sz w:val="32"/>
          <w:szCs w:val="32"/>
        </w:rPr>
        <w:t>王家河二桥护栏维修、巴陵大桥人行道翻新、琵琶王立交桥等10座桥梁涂装翻新等一批提质工程。</w:t>
      </w:r>
      <w:r>
        <w:rPr>
          <w:rFonts w:hint="eastAsia" w:ascii="仿宋_GB2312" w:hAnsi="仿宋_GB2312" w:eastAsia="仿宋_GB2312" w:cs="仿宋_GB2312"/>
          <w:b w:val="0"/>
          <w:bCs w:val="0"/>
          <w:sz w:val="32"/>
          <w:szCs w:val="32"/>
          <w:lang w:val="en-US" w:eastAsia="zh-CN"/>
        </w:rPr>
        <w:t>二是</w:t>
      </w:r>
      <w:r>
        <w:rPr>
          <w:rFonts w:hint="eastAsia" w:ascii="仿宋_GB2312" w:hAnsi="仿宋_GB2312" w:eastAsia="仿宋_GB2312" w:cs="仿宋_GB2312"/>
          <w:b w:val="0"/>
          <w:bCs w:val="0"/>
          <w:sz w:val="32"/>
          <w:szCs w:val="32"/>
        </w:rPr>
        <w:t>排水系统运行方面</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sz w:val="32"/>
          <w:szCs w:val="32"/>
        </w:rPr>
        <w:t>全年累计完成排水管网清淤疏浚超23万米，外运淤泥4000立方米。泵站管理规范有序，完成各泵站设备检修维护210余次，及时对桐子岭、城东南路等泵站关键设备进行大修升级，保障了抽排系统高效运转。</w:t>
      </w:r>
    </w:p>
    <w:p w14:paraId="3D8A99A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eastAsia="zh-CN"/>
        </w:rPr>
        <w:t>（二）民生福祉持续改善，群众急难愁盼有效回应。</w:t>
      </w:r>
      <w:r>
        <w:rPr>
          <w:rFonts w:hint="eastAsia" w:ascii="仿宋_GB2312" w:hAnsi="仿宋_GB2312" w:eastAsia="仿宋_GB2312" w:cs="仿宋_GB2312"/>
          <w:b w:val="0"/>
          <w:bCs w:val="0"/>
          <w:sz w:val="32"/>
          <w:szCs w:val="32"/>
        </w:rPr>
        <w:t>一是主动破解“出行难”。</w:t>
      </w:r>
      <w:r>
        <w:rPr>
          <w:rFonts w:hint="eastAsia" w:ascii="仿宋_GB2312" w:hAnsi="仿宋_GB2312" w:eastAsia="仿宋_GB2312" w:cs="仿宋_GB2312"/>
          <w:sz w:val="32"/>
          <w:szCs w:val="32"/>
        </w:rPr>
        <w:t>把解决群众反映强烈的道路破损、积水、井盖异响等问题作为重中之重。除了系统性积水点整治，还专项开展了窨井专项整治，更换“五防井”307套，提升了道路平顺度和安全性。快速响应处置“市长信箱”、12345热线、数字城管等平台诉求上万件，办结率、回复率均达100%。</w:t>
      </w:r>
      <w:r>
        <w:rPr>
          <w:rFonts w:hint="eastAsia" w:ascii="仿宋_GB2312" w:hAnsi="仿宋_GB2312" w:eastAsia="仿宋_GB2312" w:cs="仿宋_GB2312"/>
          <w:b w:val="0"/>
          <w:bCs w:val="0"/>
          <w:sz w:val="32"/>
          <w:szCs w:val="32"/>
        </w:rPr>
        <w:t>二是扎实推进“便民化”</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在实施道路改造时，充分考虑市民出行需求，优化施工组织和交通疏导。完成五里牌路、邕园路等人行道透水</w:t>
      </w:r>
      <w:r>
        <w:rPr>
          <w:rFonts w:hint="eastAsia" w:ascii="仿宋_GB2312" w:hAnsi="仿宋_GB2312" w:eastAsia="仿宋_GB2312" w:cs="仿宋_GB2312"/>
          <w:sz w:val="32"/>
          <w:szCs w:val="32"/>
          <w:lang w:eastAsia="zh-CN"/>
        </w:rPr>
        <w:t>砼</w:t>
      </w:r>
      <w:r>
        <w:rPr>
          <w:rFonts w:hint="eastAsia" w:ascii="仿宋_GB2312" w:hAnsi="仿宋_GB2312" w:eastAsia="仿宋_GB2312" w:cs="仿宋_GB2312"/>
          <w:sz w:val="32"/>
          <w:szCs w:val="32"/>
        </w:rPr>
        <w:t>铺装改造，既美化了环境，又增强了道路海绵功能。联合城管支队开展人行道障碍物清理行动，还路于民，获得了市民好评。</w:t>
      </w:r>
      <w:r>
        <w:rPr>
          <w:rFonts w:hint="eastAsia" w:ascii="仿宋_GB2312" w:hAnsi="仿宋_GB2312" w:eastAsia="仿宋_GB2312" w:cs="仿宋_GB2312"/>
          <w:b w:val="0"/>
          <w:bCs w:val="0"/>
          <w:sz w:val="32"/>
          <w:szCs w:val="32"/>
        </w:rPr>
        <w:t>三是全力保障“安全感”。</w:t>
      </w:r>
      <w:r>
        <w:rPr>
          <w:rFonts w:hint="eastAsia" w:ascii="仿宋_GB2312" w:hAnsi="仿宋_GB2312" w:eastAsia="仿宋_GB2312" w:cs="仿宋_GB2312"/>
          <w:sz w:val="32"/>
          <w:szCs w:val="32"/>
        </w:rPr>
        <w:t>持续开展市政设施安全隐患大排查，对检查井、桥梁、主涵、泵站等进行重点排查。完成了梅溪桥洞口雨水窗升级、南湖大道等重点路段地下空洞检测与修复等工作，努力做到防患于未然。</w:t>
      </w:r>
    </w:p>
    <w:p w14:paraId="62BDAD5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围绕中心服务大局</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，重大任务圆满完成。</w:t>
      </w:r>
      <w:r>
        <w:rPr>
          <w:rFonts w:hint="eastAsia" w:ascii="仿宋_GB2312" w:hAnsi="仿宋_GB2312" w:eastAsia="仿宋_GB2312" w:cs="仿宋_GB2312"/>
          <w:b w:val="0"/>
          <w:bCs w:val="0"/>
          <w:color w:val="000000" w:themeColor="text1"/>
          <w:sz w:val="32"/>
          <w:szCs w:val="32"/>
          <w14:textFill>
            <w14:solidFill>
              <w14:schemeClr w14:val="tx1"/>
            </w14:solidFill>
          </w14:textFill>
        </w:rPr>
        <w:t>一</w:t>
      </w:r>
      <w:r>
        <w:rPr>
          <w:rFonts w:hint="eastAsia" w:ascii="仿宋_GB2312" w:hAnsi="仿宋_GB2312" w:eastAsia="仿宋_GB2312" w:cs="仿宋_GB2312"/>
          <w:b w:val="0"/>
          <w:bCs w:val="0"/>
          <w:sz w:val="32"/>
          <w:szCs w:val="32"/>
        </w:rPr>
        <w:t>是决胜旅发大会保障。</w:t>
      </w:r>
      <w:r>
        <w:rPr>
          <w:rFonts w:hint="eastAsia" w:ascii="仿宋_GB2312" w:hAnsi="仿宋_GB2312" w:eastAsia="仿宋_GB2312" w:cs="仿宋_GB2312"/>
          <w:sz w:val="32"/>
          <w:szCs w:val="32"/>
        </w:rPr>
        <w:t>把服务保障湖南省第四届旅游发展大会作为压倒一切的政治任务。领导班子靠前指挥，统筹调度，带领全体干部职工倒排工期、挂图作战，优质高效完成东茅岭、花板桥等路面改造、南翔万商天桥翻新、南湖大道龙柱及文化墙翻新等系列项目；完成10座桥梁护栏涂装翻新4万平方米以及一系列重点区域精细化改造项目，以一流的设施面貌迎接八方来客，得到了上级和社会各界的充分肯定。</w:t>
      </w:r>
      <w:r>
        <w:rPr>
          <w:rFonts w:hint="eastAsia" w:ascii="仿宋_GB2312" w:hAnsi="仿宋_GB2312" w:eastAsia="仿宋_GB2312" w:cs="仿宋_GB2312"/>
          <w:b w:val="0"/>
          <w:bCs w:val="0"/>
          <w:sz w:val="32"/>
          <w:szCs w:val="32"/>
        </w:rPr>
        <w:t>二是助力文明城市创建。</w:t>
      </w:r>
      <w:r>
        <w:rPr>
          <w:rFonts w:hint="eastAsia" w:ascii="仿宋_GB2312" w:hAnsi="仿宋_GB2312" w:eastAsia="仿宋_GB2312" w:cs="仿宋_GB2312"/>
          <w:sz w:val="32"/>
          <w:szCs w:val="32"/>
        </w:rPr>
        <w:t>制定</w:t>
      </w:r>
      <w:r>
        <w:rPr>
          <w:rFonts w:hint="eastAsia" w:ascii="仿宋_GB2312" w:hAnsi="仿宋_GB2312" w:eastAsia="仿宋_GB2312" w:cs="仿宋_GB2312"/>
          <w:sz w:val="32"/>
          <w:szCs w:val="32"/>
          <w:lang w:val="en-US" w:eastAsia="zh-CN"/>
        </w:rPr>
        <w:t>深化建设</w:t>
      </w:r>
      <w:r>
        <w:rPr>
          <w:rFonts w:hint="eastAsia" w:ascii="仿宋_GB2312" w:hAnsi="仿宋_GB2312" w:eastAsia="仿宋_GB2312" w:cs="仿宋_GB2312"/>
          <w:sz w:val="32"/>
          <w:szCs w:val="32"/>
        </w:rPr>
        <w:t>全国文明城市</w:t>
      </w:r>
      <w:r>
        <w:rPr>
          <w:rFonts w:hint="eastAsia" w:ascii="仿宋_GB2312" w:hAnsi="仿宋_GB2312" w:eastAsia="仿宋_GB2312" w:cs="仿宋_GB2312"/>
          <w:sz w:val="32"/>
          <w:szCs w:val="32"/>
          <w:lang w:val="en-US" w:eastAsia="zh-CN"/>
        </w:rPr>
        <w:t>测评工作</w:t>
      </w:r>
      <w:r>
        <w:rPr>
          <w:rFonts w:hint="eastAsia" w:ascii="仿宋_GB2312" w:hAnsi="仿宋_GB2312" w:eastAsia="仿宋_GB2312" w:cs="仿宋_GB2312"/>
          <w:sz w:val="32"/>
          <w:szCs w:val="32"/>
        </w:rPr>
        <w:t>实施方案及责任分解表，将创建标准融入日常维护管理。加强巡查督查，确保市政设施完好、环境整洁；选派骨干加入创建工作小组，圆满完成各项创建任务，为我市文明城市建设贡献了市政力量。</w:t>
      </w:r>
      <w:r>
        <w:rPr>
          <w:rFonts w:hint="eastAsia" w:ascii="仿宋_GB2312" w:hAnsi="仿宋_GB2312" w:eastAsia="仿宋_GB2312" w:cs="仿宋_GB2312"/>
          <w:b w:val="0"/>
          <w:bCs w:val="0"/>
          <w:sz w:val="32"/>
          <w:szCs w:val="32"/>
        </w:rPr>
        <w:t>三是做好重大活动服务。</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两会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“湘超”等重大</w:t>
      </w:r>
      <w:r>
        <w:rPr>
          <w:rFonts w:hint="eastAsia" w:ascii="仿宋_GB2312" w:hAnsi="仿宋_GB2312" w:eastAsia="仿宋_GB2312" w:cs="仿宋_GB2312"/>
          <w:sz w:val="32"/>
          <w:szCs w:val="32"/>
          <w:lang w:val="en-US" w:eastAsia="zh-CN"/>
        </w:rPr>
        <w:t>会议</w:t>
      </w:r>
      <w:r>
        <w:rPr>
          <w:rFonts w:hint="eastAsia" w:ascii="仿宋_GB2312" w:hAnsi="仿宋_GB2312" w:eastAsia="仿宋_GB2312" w:cs="仿宋_GB2312"/>
          <w:sz w:val="32"/>
          <w:szCs w:val="32"/>
        </w:rPr>
        <w:t>活动</w:t>
      </w:r>
      <w:r>
        <w:rPr>
          <w:rFonts w:hint="eastAsia" w:ascii="仿宋_GB2312" w:hAnsi="仿宋_GB2312" w:eastAsia="仿宋_GB2312" w:cs="仿宋_GB2312"/>
          <w:sz w:val="32"/>
          <w:szCs w:val="32"/>
          <w:lang w:val="en-US" w:eastAsia="zh-CN"/>
        </w:rPr>
        <w:t>举办</w:t>
      </w:r>
      <w:r>
        <w:rPr>
          <w:rFonts w:hint="eastAsia" w:ascii="仿宋_GB2312" w:hAnsi="仿宋_GB2312" w:eastAsia="仿宋_GB2312" w:cs="仿宋_GB2312"/>
          <w:sz w:val="32"/>
          <w:szCs w:val="32"/>
        </w:rPr>
        <w:t>期间，加强场馆及周边酒店区域的设施巡查与维护力度，确保市政设施运行万无一失，保障了活动顺利举行，维护了城市形象。</w:t>
      </w:r>
    </w:p>
    <w:p w14:paraId="5D12F0C5">
      <w:pPr>
        <w:numPr>
          <w:ilvl w:val="0"/>
          <w:numId w:val="0"/>
        </w:numPr>
        <w:ind w:firstLine="643" w:firstLineChars="200"/>
        <w:rPr>
          <w:rFonts w:hint="eastAsia" w:ascii="楷体_GB2312" w:hAnsi="楷体_GB2312" w:eastAsia="楷体_GB2312" w:cs="楷体_GB2312"/>
          <w:b/>
          <w:bCs/>
          <w:color w:val="000000"/>
          <w:sz w:val="32"/>
          <w:szCs w:val="32"/>
          <w:highlight w:val="none"/>
          <w:lang w:val="en-US" w:eastAsia="zh-CN"/>
        </w:rPr>
      </w:pPr>
      <w:r>
        <w:rPr>
          <w:rFonts w:hint="eastAsia" w:ascii="楷体_GB2312" w:hAnsi="楷体_GB2312" w:eastAsia="楷体_GB2312" w:cs="楷体_GB2312"/>
          <w:b/>
          <w:bCs/>
          <w:color w:val="000000"/>
          <w:sz w:val="32"/>
          <w:szCs w:val="32"/>
          <w:highlight w:val="none"/>
          <w:lang w:val="en-US" w:eastAsia="zh-CN"/>
        </w:rPr>
        <w:t>六、存在的问题和改进措施</w:t>
      </w:r>
    </w:p>
    <w:p w14:paraId="5561A43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b w:val="0"/>
          <w:bCs w:val="0"/>
          <w:sz w:val="32"/>
          <w:szCs w:val="32"/>
          <w:lang w:eastAsia="zh-CN"/>
        </w:rPr>
        <w:t>设施老化问题日益凸显，</w:t>
      </w:r>
      <w:r>
        <w:rPr>
          <w:rFonts w:hint="eastAsia" w:ascii="仿宋_GB2312" w:hAnsi="仿宋_GB2312" w:eastAsia="仿宋_GB2312" w:cs="仿宋_GB2312"/>
          <w:sz w:val="32"/>
          <w:szCs w:val="32"/>
        </w:rPr>
        <w:t>部分道路（如巴陵东路、冷水铺路）、排水主涵（如金鹗西路主涵体育馆段）超期服役，破损沉降严重，常规维护难以根治，系统性改造需求迫切。部分泵站设备陈旧，亟待更新。</w:t>
      </w:r>
    </w:p>
    <w:p w14:paraId="24A9EA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spacing w:val="0"/>
          <w:kern w:val="2"/>
          <w:sz w:val="32"/>
          <w:szCs w:val="32"/>
          <w:lang w:val="en-US" w:eastAsia="zh-CN" w:bidi="ar-SA"/>
        </w:rPr>
      </w:pPr>
      <w:r>
        <w:rPr>
          <w:rFonts w:hint="eastAsia" w:ascii="仿宋_GB2312" w:hAnsi="仿宋_GB2312" w:eastAsia="仿宋_GB2312" w:cs="仿宋_GB2312"/>
          <w:i w:val="0"/>
          <w:iCs w:val="0"/>
          <w:caps w:val="0"/>
          <w:spacing w:val="0"/>
          <w:kern w:val="2"/>
          <w:sz w:val="32"/>
          <w:szCs w:val="32"/>
          <w:lang w:val="en-US" w:eastAsia="zh-CN" w:bidi="ar-SA"/>
        </w:rPr>
        <w:t>下一步，中心将争取专项资金，按照轻重缓急的原则统筹调配资金，对市中心城区老旧道路、</w:t>
      </w:r>
      <w:r>
        <w:rPr>
          <w:rFonts w:hint="eastAsia" w:ascii="仿宋_GB2312" w:hAnsi="仿宋_GB2312" w:eastAsia="仿宋_GB2312" w:cs="仿宋_GB2312"/>
          <w:sz w:val="32"/>
          <w:szCs w:val="32"/>
        </w:rPr>
        <w:t>排水主涵</w:t>
      </w:r>
      <w:r>
        <w:rPr>
          <w:rFonts w:hint="eastAsia" w:ascii="仿宋_GB2312" w:hAnsi="仿宋_GB2312" w:eastAsia="仿宋_GB2312" w:cs="仿宋_GB2312"/>
          <w:i w:val="0"/>
          <w:iCs w:val="0"/>
          <w:caps w:val="0"/>
          <w:spacing w:val="0"/>
          <w:kern w:val="2"/>
          <w:sz w:val="32"/>
          <w:szCs w:val="32"/>
          <w:lang w:val="en-US" w:eastAsia="zh-CN" w:bidi="ar-SA"/>
        </w:rPr>
        <w:t>等市政设施开展专项整治工作，及时解决急需维护的市政设施破损</w:t>
      </w:r>
      <w:r>
        <w:rPr>
          <w:rFonts w:hint="eastAsia" w:ascii="仿宋_GB2312" w:hAnsi="仿宋_GB2312" w:eastAsia="仿宋_GB2312" w:cs="仿宋_GB2312"/>
          <w:color w:val="auto"/>
          <w:sz w:val="32"/>
          <w:szCs w:val="32"/>
          <w:lang w:val="en-US" w:eastAsia="zh-CN"/>
        </w:rPr>
        <w:t>和坍塌等现象，保障市政设施功能完好，实现管养高效处置。</w:t>
      </w:r>
    </w:p>
    <w:p w14:paraId="0A26E12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b w:val="0"/>
          <w:bCs w:val="0"/>
          <w:sz w:val="32"/>
          <w:szCs w:val="32"/>
          <w:lang w:eastAsia="zh-CN"/>
        </w:rPr>
        <w:t>破道恢复管理仍存难题，</w:t>
      </w:r>
      <w:r>
        <w:rPr>
          <w:rFonts w:hint="eastAsia" w:ascii="仿宋_GB2312" w:hAnsi="仿宋_GB2312" w:eastAsia="仿宋_GB2312" w:cs="仿宋_GB2312"/>
          <w:sz w:val="32"/>
          <w:szCs w:val="32"/>
        </w:rPr>
        <w:t>各管线单位破道施工恢复质量参差不齐，遗留“疤痕路”，影响市容和交通安全，长效协同管理机制需进一步完善。</w:t>
      </w:r>
    </w:p>
    <w:p w14:paraId="3D1EA39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下一步，中心将</w:t>
      </w:r>
      <w:r>
        <w:rPr>
          <w:rFonts w:hint="eastAsia" w:ascii="仿宋_GB2312" w:hAnsi="仿宋_GB2312" w:eastAsia="仿宋_GB2312" w:cs="仿宋_GB2312"/>
          <w:sz w:val="32"/>
          <w:szCs w:val="32"/>
          <w:lang w:eastAsia="zh-CN"/>
        </w:rPr>
        <w:t>加大对市政设施的监管与处置力度，加大对破道施工恢复的规范</w:t>
      </w:r>
      <w:r>
        <w:rPr>
          <w:rFonts w:hint="eastAsia" w:ascii="仿宋_GB2312" w:hAnsi="仿宋_GB2312" w:eastAsia="仿宋_GB2312" w:cs="仿宋_GB2312"/>
          <w:sz w:val="32"/>
          <w:szCs w:val="32"/>
          <w:lang w:val="en-US" w:eastAsia="zh-CN"/>
        </w:rPr>
        <w:t>化</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lang w:val="en-US" w:eastAsia="zh-CN"/>
        </w:rPr>
        <w:t>提升市政设施管养的整体效果。</w:t>
      </w:r>
    </w:p>
    <w:p w14:paraId="03F93334">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p>
    <w:p w14:paraId="341CC142">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color w:val="000000"/>
          <w:sz w:val="32"/>
          <w:szCs w:val="32"/>
          <w:highlight w:val="none"/>
        </w:rPr>
        <w:t>202</w:t>
      </w:r>
      <w:r>
        <w:rPr>
          <w:rFonts w:hint="eastAsia" w:ascii="仿宋_GB2312" w:hAnsi="仿宋_GB2312" w:eastAsia="仿宋_GB2312" w:cs="仿宋_GB2312"/>
          <w:color w:val="000000"/>
          <w:sz w:val="32"/>
          <w:szCs w:val="32"/>
          <w:highlight w:val="none"/>
          <w:lang w:val="en-US" w:eastAsia="zh-CN"/>
        </w:rPr>
        <w:t>5</w:t>
      </w:r>
      <w:r>
        <w:rPr>
          <w:rFonts w:hint="eastAsia" w:ascii="仿宋_GB2312" w:hAnsi="仿宋_GB2312" w:eastAsia="仿宋_GB2312" w:cs="仿宋_GB2312"/>
          <w:color w:val="000000"/>
          <w:sz w:val="32"/>
          <w:szCs w:val="32"/>
          <w:highlight w:val="none"/>
        </w:rPr>
        <w:t>年度</w:t>
      </w:r>
      <w:r>
        <w:rPr>
          <w:rFonts w:hint="eastAsia" w:ascii="仿宋_GB2312" w:hAnsi="仿宋_GB2312" w:eastAsia="仿宋_GB2312" w:cs="仿宋_GB2312"/>
          <w:sz w:val="32"/>
          <w:szCs w:val="32"/>
        </w:rPr>
        <w:t>项目支出绩效自评表（</w:t>
      </w:r>
      <w:r>
        <w:rPr>
          <w:rFonts w:hint="eastAsia" w:ascii="仿宋_GB2312" w:hAnsi="仿宋_GB2312" w:eastAsia="仿宋_GB2312" w:cs="仿宋_GB2312"/>
          <w:sz w:val="32"/>
          <w:szCs w:val="32"/>
          <w:lang w:val="en-US" w:eastAsia="zh-CN"/>
        </w:rPr>
        <w:t>1-1至1-7</w:t>
      </w:r>
      <w:r>
        <w:rPr>
          <w:rFonts w:hint="eastAsia" w:ascii="仿宋_GB2312" w:hAnsi="仿宋_GB2312" w:eastAsia="仿宋_GB2312" w:cs="仿宋_GB2312"/>
          <w:sz w:val="32"/>
          <w:szCs w:val="32"/>
        </w:rPr>
        <w:t>表）</w:t>
      </w:r>
    </w:p>
    <w:p w14:paraId="20D1C8D7">
      <w:pPr>
        <w:pStyle w:val="2"/>
        <w:keepNext w:val="0"/>
        <w:keepLines w:val="0"/>
        <w:pageBreakBefore w:val="0"/>
        <w:wordWrap/>
        <w:overflowPunct/>
        <w:topLinePunct w:val="0"/>
        <w:bidi w:val="0"/>
        <w:spacing w:line="600" w:lineRule="exact"/>
        <w:rPr>
          <w:rFonts w:hint="eastAsia" w:ascii="仿宋_GB2312" w:hAnsi="仿宋_GB2312" w:eastAsia="仿宋_GB2312" w:cs="仿宋_GB2312"/>
          <w:sz w:val="32"/>
          <w:szCs w:val="32"/>
          <w:lang w:eastAsia="zh-CN"/>
        </w:rPr>
      </w:pPr>
    </w:p>
    <w:p w14:paraId="06F347F0">
      <w:pPr>
        <w:keepNext w:val="0"/>
        <w:keepLines w:val="0"/>
        <w:pageBreakBefore w:val="0"/>
        <w:wordWrap/>
        <w:overflowPunct/>
        <w:topLinePunct w:val="0"/>
        <w:bidi w:val="0"/>
        <w:spacing w:line="600" w:lineRule="exact"/>
        <w:rPr>
          <w:rFonts w:hint="eastAsia" w:ascii="仿宋_GB2312" w:hAnsi="仿宋_GB2312" w:eastAsia="仿宋_GB2312" w:cs="仿宋_GB2312"/>
          <w:sz w:val="32"/>
          <w:szCs w:val="32"/>
          <w:lang w:eastAsia="zh-CN"/>
        </w:rPr>
      </w:pPr>
    </w:p>
    <w:p w14:paraId="42BF7D80">
      <w:pPr>
        <w:pStyle w:val="2"/>
        <w:keepNext w:val="0"/>
        <w:keepLines w:val="0"/>
        <w:pageBreakBefore w:val="0"/>
        <w:wordWrap/>
        <w:overflowPunct/>
        <w:topLinePunct w:val="0"/>
        <w:bidi w:val="0"/>
        <w:spacing w:line="600" w:lineRule="exact"/>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 xml:space="preserve">                             岳阳市市政维护管理中心</w:t>
      </w:r>
    </w:p>
    <w:p w14:paraId="7A4B9865">
      <w:pPr>
        <w:keepNext w:val="0"/>
        <w:keepLines w:val="0"/>
        <w:pageBreakBefore w:val="0"/>
        <w:wordWrap/>
        <w:overflowPunct/>
        <w:topLinePunct w:val="0"/>
        <w:bidi w:val="0"/>
        <w:spacing w:after="120" w:afterLines="50" w:line="600" w:lineRule="exact"/>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2026年6月23日</w:t>
      </w:r>
    </w:p>
    <w:p w14:paraId="5ACBF3FC">
      <w:pPr>
        <w:widowControl/>
        <w:spacing w:line="600" w:lineRule="exact"/>
        <w:jc w:val="lef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1-1</w:t>
      </w:r>
    </w:p>
    <w:p w14:paraId="52035C69">
      <w:pPr>
        <w:pStyle w:val="2"/>
        <w:rPr>
          <w:rFonts w:hint="default"/>
          <w:sz w:val="21"/>
          <w:szCs w:val="21"/>
          <w:lang w:val="en-US" w:eastAsia="zh-CN"/>
        </w:rPr>
      </w:pPr>
    </w:p>
    <w:p w14:paraId="4B4AE4ED">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p w14:paraId="70B376A6">
      <w:pPr>
        <w:pStyle w:val="2"/>
        <w:rPr>
          <w:rFonts w:hint="eastAsia"/>
        </w:rPr>
      </w:pPr>
    </w:p>
    <w:tbl>
      <w:tblPr>
        <w:tblStyle w:val="10"/>
        <w:tblW w:w="9851" w:type="dxa"/>
        <w:jc w:val="center"/>
        <w:tblLayout w:type="fixed"/>
        <w:tblCellMar>
          <w:top w:w="0" w:type="dxa"/>
          <w:left w:w="108" w:type="dxa"/>
          <w:bottom w:w="0" w:type="dxa"/>
          <w:right w:w="108" w:type="dxa"/>
        </w:tblCellMar>
      </w:tblPr>
      <w:tblGrid>
        <w:gridCol w:w="972"/>
        <w:gridCol w:w="1006"/>
        <w:gridCol w:w="944"/>
        <w:gridCol w:w="1551"/>
        <w:gridCol w:w="1311"/>
        <w:gridCol w:w="1220"/>
        <w:gridCol w:w="755"/>
        <w:gridCol w:w="671"/>
        <w:gridCol w:w="1421"/>
      </w:tblGrid>
      <w:tr w14:paraId="2EADB5E9">
        <w:tblPrEx>
          <w:tblCellMar>
            <w:top w:w="0" w:type="dxa"/>
            <w:left w:w="108" w:type="dxa"/>
            <w:bottom w:w="0" w:type="dxa"/>
            <w:right w:w="108" w:type="dxa"/>
          </w:tblCellMar>
        </w:tblPrEx>
        <w:trPr>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621485C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00C029A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879" w:type="dxa"/>
            <w:gridSpan w:val="8"/>
            <w:tcBorders>
              <w:top w:val="single" w:color="auto" w:sz="4" w:space="0"/>
              <w:left w:val="single" w:color="auto" w:sz="4" w:space="0"/>
              <w:bottom w:val="single" w:color="auto" w:sz="4" w:space="0"/>
              <w:right w:val="single" w:color="auto" w:sz="4" w:space="0"/>
            </w:tcBorders>
            <w:noWrap w:val="0"/>
            <w:vAlign w:val="center"/>
          </w:tcPr>
          <w:p w14:paraId="6C8205F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highlight w:val="none"/>
              </w:rPr>
              <w:t>市</w:t>
            </w:r>
            <w:r>
              <w:rPr>
                <w:rFonts w:hint="eastAsia" w:ascii="仿宋_GB2312" w:hAnsi="仿宋_GB2312" w:eastAsia="仿宋_GB2312" w:cs="仿宋_GB2312"/>
                <w:sz w:val="20"/>
                <w:szCs w:val="20"/>
                <w:highlight w:val="none"/>
                <w:lang w:eastAsia="zh-CN"/>
              </w:rPr>
              <w:t>政维护专项</w:t>
            </w:r>
            <w:r>
              <w:rPr>
                <w:rFonts w:hint="eastAsia" w:ascii="仿宋_GB2312" w:hAnsi="仿宋_GB2312" w:eastAsia="仿宋_GB2312" w:cs="仿宋_GB2312"/>
                <w:sz w:val="20"/>
                <w:szCs w:val="20"/>
                <w:highlight w:val="none"/>
              </w:rPr>
              <w:t>经费</w:t>
            </w:r>
            <w:r>
              <w:rPr>
                <w:rFonts w:hint="eastAsia" w:ascii="仿宋_GB2312" w:hAnsi="仿宋_GB2312" w:eastAsia="仿宋_GB2312" w:cs="仿宋_GB2312"/>
                <w:sz w:val="20"/>
                <w:szCs w:val="20"/>
                <w:highlight w:val="none"/>
                <w:lang w:eastAsia="zh-CN"/>
              </w:rPr>
              <w:t>（含日常工作经费）</w:t>
            </w:r>
            <w:r>
              <w:rPr>
                <w:rFonts w:hint="eastAsia" w:ascii="仿宋_GB2312" w:hAnsi="仿宋_GB2312" w:eastAsia="仿宋_GB2312" w:cs="仿宋_GB2312"/>
                <w:color w:val="000000"/>
                <w:sz w:val="20"/>
                <w:szCs w:val="20"/>
                <w:highlight w:val="none"/>
              </w:rPr>
              <w:t>　</w:t>
            </w:r>
          </w:p>
        </w:tc>
      </w:tr>
      <w:tr w14:paraId="6872CC95">
        <w:tblPrEx>
          <w:tblCellMar>
            <w:top w:w="0" w:type="dxa"/>
            <w:left w:w="108" w:type="dxa"/>
            <w:bottom w:w="0" w:type="dxa"/>
            <w:right w:w="108" w:type="dxa"/>
          </w:tblCellMar>
        </w:tblPrEx>
        <w:trPr>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6A1F0AE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812" w:type="dxa"/>
            <w:gridSpan w:val="4"/>
            <w:tcBorders>
              <w:top w:val="single" w:color="auto" w:sz="4" w:space="0"/>
              <w:left w:val="single" w:color="auto" w:sz="4" w:space="0"/>
              <w:bottom w:val="single" w:color="auto" w:sz="4" w:space="0"/>
              <w:right w:val="single" w:color="auto" w:sz="4" w:space="0"/>
            </w:tcBorders>
            <w:noWrap w:val="0"/>
            <w:vAlign w:val="center"/>
          </w:tcPr>
          <w:p w14:paraId="69DBC3C6">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lang w:eastAsia="zh-CN"/>
                <w14:textFill>
                  <w14:solidFill>
                    <w14:schemeClr w14:val="tx1"/>
                  </w14:solidFill>
                </w14:textFill>
              </w:rPr>
              <w:t>岳阳市城市管理和综合执法局</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3C62B260">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14:textFill>
                  <w14:solidFill>
                    <w14:schemeClr w14:val="tx1"/>
                  </w14:solidFill>
                </w14:textFill>
              </w:rPr>
              <w:t>实施单位</w:t>
            </w:r>
          </w:p>
        </w:tc>
        <w:tc>
          <w:tcPr>
            <w:tcW w:w="2847" w:type="dxa"/>
            <w:gridSpan w:val="3"/>
            <w:tcBorders>
              <w:top w:val="single" w:color="auto" w:sz="4" w:space="0"/>
              <w:left w:val="single" w:color="auto" w:sz="4" w:space="0"/>
              <w:bottom w:val="single" w:color="auto" w:sz="4" w:space="0"/>
              <w:right w:val="single" w:color="auto" w:sz="4" w:space="0"/>
            </w:tcBorders>
            <w:noWrap w:val="0"/>
            <w:vAlign w:val="center"/>
          </w:tcPr>
          <w:p w14:paraId="78789EDB">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lang w:eastAsia="zh-CN"/>
                <w14:textFill>
                  <w14:solidFill>
                    <w14:schemeClr w14:val="tx1"/>
                  </w14:solidFill>
                </w14:textFill>
              </w:rPr>
              <w:t>岳阳市市政维护管理中心</w:t>
            </w:r>
          </w:p>
        </w:tc>
      </w:tr>
      <w:tr w14:paraId="01F4426F">
        <w:tblPrEx>
          <w:tblCellMar>
            <w:top w:w="0" w:type="dxa"/>
            <w:left w:w="108" w:type="dxa"/>
            <w:bottom w:w="0" w:type="dxa"/>
            <w:right w:w="108" w:type="dxa"/>
          </w:tblCellMar>
        </w:tblPrEx>
        <w:trPr>
          <w:jc w:val="center"/>
        </w:trPr>
        <w:tc>
          <w:tcPr>
            <w:tcW w:w="972" w:type="dxa"/>
            <w:vMerge w:val="restart"/>
            <w:tcBorders>
              <w:top w:val="single" w:color="auto" w:sz="4" w:space="0"/>
              <w:left w:val="single" w:color="auto" w:sz="4" w:space="0"/>
              <w:bottom w:val="single" w:color="auto" w:sz="4" w:space="0"/>
              <w:right w:val="single" w:color="auto" w:sz="4" w:space="0"/>
            </w:tcBorders>
            <w:noWrap w:val="0"/>
            <w:vAlign w:val="center"/>
          </w:tcPr>
          <w:p w14:paraId="1D11610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1950" w:type="dxa"/>
            <w:gridSpan w:val="2"/>
            <w:tcBorders>
              <w:top w:val="single" w:color="auto" w:sz="4" w:space="0"/>
              <w:left w:val="single" w:color="auto" w:sz="4" w:space="0"/>
              <w:bottom w:val="single" w:color="auto" w:sz="4" w:space="0"/>
              <w:right w:val="single" w:color="auto" w:sz="4" w:space="0"/>
            </w:tcBorders>
            <w:noWrap w:val="0"/>
            <w:vAlign w:val="center"/>
          </w:tcPr>
          <w:p w14:paraId="309452F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551" w:type="dxa"/>
            <w:tcBorders>
              <w:top w:val="single" w:color="auto" w:sz="4" w:space="0"/>
              <w:left w:val="single" w:color="auto" w:sz="4" w:space="0"/>
              <w:bottom w:val="single" w:color="auto" w:sz="4" w:space="0"/>
              <w:right w:val="single" w:color="auto" w:sz="4" w:space="0"/>
            </w:tcBorders>
            <w:noWrap w:val="0"/>
            <w:vAlign w:val="center"/>
          </w:tcPr>
          <w:p w14:paraId="3CBCB60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2A433A6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7ABED39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5C9C9EC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74AEDE9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627907F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7CE14F3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76E8098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69F0F66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79CB6AC1">
        <w:tblPrEx>
          <w:tblCellMar>
            <w:top w:w="0" w:type="dxa"/>
            <w:left w:w="108" w:type="dxa"/>
            <w:bottom w:w="0" w:type="dxa"/>
            <w:right w:w="108" w:type="dxa"/>
          </w:tblCellMar>
        </w:tblPrEx>
        <w:trPr>
          <w:trHeight w:val="415" w:hRule="atLeast"/>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3FA2A91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950" w:type="dxa"/>
            <w:gridSpan w:val="2"/>
            <w:tcBorders>
              <w:top w:val="single" w:color="auto" w:sz="4" w:space="0"/>
              <w:left w:val="single" w:color="auto" w:sz="4" w:space="0"/>
              <w:bottom w:val="single" w:color="auto" w:sz="4" w:space="0"/>
              <w:right w:val="single" w:color="auto" w:sz="4" w:space="0"/>
            </w:tcBorders>
            <w:noWrap w:val="0"/>
            <w:vAlign w:val="center"/>
          </w:tcPr>
          <w:p w14:paraId="76C7DE0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551" w:type="dxa"/>
            <w:tcBorders>
              <w:top w:val="single" w:color="auto" w:sz="4" w:space="0"/>
              <w:left w:val="single" w:color="auto" w:sz="4" w:space="0"/>
              <w:bottom w:val="single" w:color="auto" w:sz="4" w:space="0"/>
              <w:right w:val="single" w:color="auto" w:sz="4" w:space="0"/>
            </w:tcBorders>
            <w:noWrap w:val="0"/>
            <w:vAlign w:val="center"/>
          </w:tcPr>
          <w:p w14:paraId="698368F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2631.50</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067C0E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2631.50</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4E3D099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2631.50</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7E03B33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10</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169DB42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162DBDD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r>
      <w:tr w14:paraId="02735EEE">
        <w:tblPrEx>
          <w:tblCellMar>
            <w:top w:w="0" w:type="dxa"/>
            <w:left w:w="108" w:type="dxa"/>
            <w:bottom w:w="0" w:type="dxa"/>
            <w:right w:w="108" w:type="dxa"/>
          </w:tblCellMar>
        </w:tblPrEx>
        <w:trPr>
          <w:trHeight w:val="475" w:hRule="atLeast"/>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427B8E0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950" w:type="dxa"/>
            <w:gridSpan w:val="2"/>
            <w:tcBorders>
              <w:top w:val="single" w:color="auto" w:sz="4" w:space="0"/>
              <w:left w:val="single" w:color="auto" w:sz="4" w:space="0"/>
              <w:bottom w:val="single" w:color="auto" w:sz="4" w:space="0"/>
              <w:right w:val="single" w:color="auto" w:sz="4" w:space="0"/>
            </w:tcBorders>
            <w:noWrap w:val="0"/>
            <w:vAlign w:val="center"/>
          </w:tcPr>
          <w:p w14:paraId="3DC95A2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551" w:type="dxa"/>
            <w:tcBorders>
              <w:top w:val="single" w:color="auto" w:sz="4" w:space="0"/>
              <w:left w:val="single" w:color="auto" w:sz="4" w:space="0"/>
              <w:bottom w:val="single" w:color="auto" w:sz="4" w:space="0"/>
              <w:right w:val="single" w:color="auto" w:sz="4" w:space="0"/>
            </w:tcBorders>
            <w:noWrap w:val="0"/>
            <w:vAlign w:val="center"/>
          </w:tcPr>
          <w:p w14:paraId="343305C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2631.50</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382AF43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2631.50</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774C2A9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2631.50</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115FC21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2FAB451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0699A69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BBEE4ED">
        <w:tblPrEx>
          <w:tblCellMar>
            <w:top w:w="0" w:type="dxa"/>
            <w:left w:w="108" w:type="dxa"/>
            <w:bottom w:w="0" w:type="dxa"/>
            <w:right w:w="108" w:type="dxa"/>
          </w:tblCellMar>
        </w:tblPrEx>
        <w:trPr>
          <w:trHeight w:val="430" w:hRule="atLeast"/>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0F4E072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950" w:type="dxa"/>
            <w:gridSpan w:val="2"/>
            <w:tcBorders>
              <w:top w:val="single" w:color="auto" w:sz="4" w:space="0"/>
              <w:left w:val="single" w:color="auto" w:sz="4" w:space="0"/>
              <w:bottom w:val="single" w:color="auto" w:sz="4" w:space="0"/>
              <w:right w:val="single" w:color="auto" w:sz="4" w:space="0"/>
            </w:tcBorders>
            <w:noWrap w:val="0"/>
            <w:vAlign w:val="center"/>
          </w:tcPr>
          <w:p w14:paraId="3E8755B3">
            <w:pPr>
              <w:keepNext w:val="0"/>
              <w:keepLines w:val="0"/>
              <w:pageBreakBefore w:val="0"/>
              <w:widowControl/>
              <w:kinsoku/>
              <w:wordWrap/>
              <w:overflowPunct/>
              <w:topLinePunct w:val="0"/>
              <w:autoSpaceDE/>
              <w:autoSpaceDN/>
              <w:bidi w:val="0"/>
              <w:adjustRightInd/>
              <w:snapToGrid/>
              <w:spacing w:line="32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551" w:type="dxa"/>
            <w:tcBorders>
              <w:top w:val="single" w:color="auto" w:sz="4" w:space="0"/>
              <w:left w:val="single" w:color="auto" w:sz="4" w:space="0"/>
              <w:bottom w:val="single" w:color="auto" w:sz="4" w:space="0"/>
              <w:right w:val="single" w:color="auto" w:sz="4" w:space="0"/>
            </w:tcBorders>
            <w:noWrap w:val="0"/>
            <w:vAlign w:val="center"/>
          </w:tcPr>
          <w:p w14:paraId="59CAA8E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0B0DCDB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6600FFD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0680AF1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3487110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234A2CD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FDBF059">
        <w:tblPrEx>
          <w:tblCellMar>
            <w:top w:w="0" w:type="dxa"/>
            <w:left w:w="108" w:type="dxa"/>
            <w:bottom w:w="0" w:type="dxa"/>
            <w:right w:w="108" w:type="dxa"/>
          </w:tblCellMar>
        </w:tblPrEx>
        <w:trPr>
          <w:trHeight w:val="505" w:hRule="atLeast"/>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1145D42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950" w:type="dxa"/>
            <w:gridSpan w:val="2"/>
            <w:tcBorders>
              <w:top w:val="single" w:color="auto" w:sz="4" w:space="0"/>
              <w:left w:val="single" w:color="auto" w:sz="4" w:space="0"/>
              <w:bottom w:val="single" w:color="auto" w:sz="4" w:space="0"/>
              <w:right w:val="single" w:color="auto" w:sz="4" w:space="0"/>
            </w:tcBorders>
            <w:noWrap w:val="0"/>
            <w:vAlign w:val="center"/>
          </w:tcPr>
          <w:p w14:paraId="6D51C121">
            <w:pPr>
              <w:keepNext w:val="0"/>
              <w:keepLines w:val="0"/>
              <w:pageBreakBefore w:val="0"/>
              <w:widowControl/>
              <w:kinsoku/>
              <w:wordWrap/>
              <w:overflowPunct/>
              <w:topLinePunct w:val="0"/>
              <w:autoSpaceDE/>
              <w:autoSpaceDN/>
              <w:bidi w:val="0"/>
              <w:adjustRightInd/>
              <w:snapToGrid/>
              <w:spacing w:line="320" w:lineRule="exact"/>
              <w:ind w:firstLine="800" w:firstLineChars="4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551" w:type="dxa"/>
            <w:tcBorders>
              <w:top w:val="single" w:color="auto" w:sz="4" w:space="0"/>
              <w:left w:val="single" w:color="auto" w:sz="4" w:space="0"/>
              <w:bottom w:val="single" w:color="auto" w:sz="4" w:space="0"/>
              <w:right w:val="single" w:color="auto" w:sz="4" w:space="0"/>
            </w:tcBorders>
            <w:noWrap w:val="0"/>
            <w:vAlign w:val="center"/>
          </w:tcPr>
          <w:p w14:paraId="769F282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140EA51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46E8CDD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386581A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26E14FA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6561431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DC1439D">
        <w:tblPrEx>
          <w:tblCellMar>
            <w:top w:w="0" w:type="dxa"/>
            <w:left w:w="108" w:type="dxa"/>
            <w:bottom w:w="0" w:type="dxa"/>
            <w:right w:w="108" w:type="dxa"/>
          </w:tblCellMar>
        </w:tblPrEx>
        <w:trPr>
          <w:trHeight w:val="540" w:hRule="atLeast"/>
          <w:jc w:val="center"/>
        </w:trPr>
        <w:tc>
          <w:tcPr>
            <w:tcW w:w="972" w:type="dxa"/>
            <w:vMerge w:val="restart"/>
            <w:tcBorders>
              <w:top w:val="single" w:color="auto" w:sz="4" w:space="0"/>
              <w:left w:val="single" w:color="auto" w:sz="4" w:space="0"/>
              <w:bottom w:val="single" w:color="auto" w:sz="4" w:space="0"/>
              <w:right w:val="single" w:color="auto" w:sz="4" w:space="0"/>
            </w:tcBorders>
            <w:noWrap w:val="0"/>
            <w:vAlign w:val="center"/>
          </w:tcPr>
          <w:p w14:paraId="3A5BDAE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812" w:type="dxa"/>
            <w:gridSpan w:val="4"/>
            <w:tcBorders>
              <w:top w:val="single" w:color="auto" w:sz="4" w:space="0"/>
              <w:left w:val="single" w:color="auto" w:sz="4" w:space="0"/>
              <w:bottom w:val="single" w:color="auto" w:sz="4" w:space="0"/>
              <w:right w:val="single" w:color="auto" w:sz="4" w:space="0"/>
            </w:tcBorders>
            <w:noWrap w:val="0"/>
            <w:vAlign w:val="center"/>
          </w:tcPr>
          <w:p w14:paraId="4363ED6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067" w:type="dxa"/>
            <w:gridSpan w:val="4"/>
            <w:tcBorders>
              <w:top w:val="single" w:color="auto" w:sz="4" w:space="0"/>
              <w:left w:val="single" w:color="auto" w:sz="4" w:space="0"/>
              <w:bottom w:val="single" w:color="auto" w:sz="4" w:space="0"/>
              <w:right w:val="single" w:color="auto" w:sz="4" w:space="0"/>
            </w:tcBorders>
            <w:noWrap w:val="0"/>
            <w:vAlign w:val="center"/>
          </w:tcPr>
          <w:p w14:paraId="38FB62E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591B8ED0">
        <w:tblPrEx>
          <w:tblCellMar>
            <w:top w:w="0" w:type="dxa"/>
            <w:left w:w="108" w:type="dxa"/>
            <w:bottom w:w="0" w:type="dxa"/>
            <w:right w:w="108" w:type="dxa"/>
          </w:tblCellMar>
        </w:tblPrEx>
        <w:trPr>
          <w:trHeight w:val="2105" w:hRule="atLeast"/>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75CB571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4812" w:type="dxa"/>
            <w:gridSpan w:val="4"/>
            <w:tcBorders>
              <w:top w:val="single" w:color="auto" w:sz="4" w:space="0"/>
              <w:left w:val="single" w:color="auto" w:sz="4" w:space="0"/>
              <w:bottom w:val="single" w:color="auto" w:sz="4" w:space="0"/>
              <w:right w:val="single" w:color="auto" w:sz="4" w:space="0"/>
            </w:tcBorders>
            <w:noWrap w:val="0"/>
            <w:vAlign w:val="center"/>
          </w:tcPr>
          <w:p w14:paraId="64BEA49F">
            <w:pPr>
              <w:keepNext w:val="0"/>
              <w:keepLines w:val="0"/>
              <w:pageBreakBefore w:val="0"/>
              <w:widowControl/>
              <w:kinsoku/>
              <w:wordWrap/>
              <w:overflowPunct/>
              <w:topLinePunct w:val="0"/>
              <w:autoSpaceDE/>
              <w:autoSpaceDN/>
              <w:bidi w:val="0"/>
              <w:adjustRightInd/>
              <w:snapToGrid/>
              <w:spacing w:line="320" w:lineRule="exact"/>
              <w:ind w:firstLine="400" w:firstLineChars="200"/>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对管理的中心城区</w:t>
            </w:r>
            <w:r>
              <w:rPr>
                <w:rFonts w:hint="eastAsia" w:ascii="仿宋_GB2312" w:hAnsi="仿宋_GB2312" w:eastAsia="仿宋_GB2312" w:cs="仿宋_GB2312"/>
                <w:color w:val="auto"/>
                <w:sz w:val="20"/>
                <w:szCs w:val="20"/>
                <w:highlight w:val="none"/>
                <w:lang w:val="en-US" w:eastAsia="zh-CN"/>
              </w:rPr>
              <w:t>123</w:t>
            </w:r>
            <w:r>
              <w:rPr>
                <w:rFonts w:hint="eastAsia" w:ascii="仿宋_GB2312" w:hAnsi="仿宋_GB2312" w:eastAsia="仿宋_GB2312" w:cs="仿宋_GB2312"/>
                <w:color w:val="auto"/>
                <w:sz w:val="20"/>
                <w:szCs w:val="20"/>
                <w:highlight w:val="none"/>
              </w:rPr>
              <w:t>条道路及3个广场（道路总面积</w:t>
            </w:r>
            <w:r>
              <w:rPr>
                <w:rFonts w:hint="eastAsia" w:ascii="仿宋_GB2312" w:hAnsi="仿宋_GB2312" w:eastAsia="仿宋_GB2312" w:cs="仿宋_GB2312"/>
                <w:color w:val="auto"/>
                <w:sz w:val="20"/>
                <w:szCs w:val="20"/>
                <w:highlight w:val="none"/>
                <w:lang w:val="en-US" w:eastAsia="zh-CN"/>
              </w:rPr>
              <w:t>6271151</w:t>
            </w:r>
            <w:r>
              <w:rPr>
                <w:rFonts w:hint="eastAsia" w:ascii="仿宋_GB2312" w:hAnsi="仿宋_GB2312" w:eastAsia="仿宋_GB2312" w:cs="仿宋_GB2312"/>
                <w:color w:val="auto"/>
                <w:sz w:val="20"/>
                <w:szCs w:val="20"/>
                <w:highlight w:val="none"/>
              </w:rPr>
              <w:t>㎡、人行道总面积</w:t>
            </w:r>
            <w:r>
              <w:rPr>
                <w:rFonts w:hint="eastAsia" w:ascii="仿宋_GB2312" w:hAnsi="仿宋_GB2312" w:eastAsia="仿宋_GB2312" w:cs="仿宋_GB2312"/>
                <w:color w:val="auto"/>
                <w:sz w:val="20"/>
                <w:szCs w:val="20"/>
                <w:highlight w:val="none"/>
                <w:lang w:val="en-US" w:eastAsia="zh-CN"/>
              </w:rPr>
              <w:t>2485345</w:t>
            </w:r>
            <w:r>
              <w:rPr>
                <w:rFonts w:hint="eastAsia" w:ascii="仿宋_GB2312" w:hAnsi="仿宋_GB2312" w:eastAsia="仿宋_GB2312" w:cs="仿宋_GB2312"/>
                <w:color w:val="auto"/>
                <w:sz w:val="20"/>
                <w:szCs w:val="20"/>
                <w:highlight w:val="none"/>
              </w:rPr>
              <w:t>㎡）；27027</w:t>
            </w:r>
            <w:r>
              <w:rPr>
                <w:rFonts w:hint="eastAsia" w:ascii="方正仿宋_GBK" w:hAnsi="方正仿宋_GBK" w:eastAsia="方正仿宋_GBK" w:cs="方正仿宋_GBK"/>
                <w:color w:val="auto"/>
                <w:sz w:val="20"/>
                <w:szCs w:val="20"/>
                <w:highlight w:val="none"/>
              </w:rPr>
              <w:t>㎥</w:t>
            </w:r>
            <w:r>
              <w:rPr>
                <w:rFonts w:hint="eastAsia" w:ascii="仿宋_GB2312" w:hAnsi="仿宋_GB2312" w:eastAsia="仿宋_GB2312" w:cs="仿宋_GB2312"/>
                <w:color w:val="auto"/>
                <w:sz w:val="20"/>
                <w:szCs w:val="20"/>
                <w:highlight w:val="none"/>
              </w:rPr>
              <w:t>片石墙、4000根中心城区隔离桩；</w:t>
            </w:r>
            <w:r>
              <w:rPr>
                <w:rFonts w:hint="eastAsia" w:ascii="仿宋_GB2312" w:hAnsi="仿宋_GB2312" w:eastAsia="仿宋_GB2312" w:cs="仿宋_GB2312"/>
                <w:color w:val="auto"/>
                <w:sz w:val="20"/>
                <w:szCs w:val="20"/>
                <w:highlight w:val="none"/>
                <w:lang w:val="en-US" w:eastAsia="zh-CN"/>
              </w:rPr>
              <w:t>49</w:t>
            </w:r>
            <w:r>
              <w:rPr>
                <w:rFonts w:hint="eastAsia" w:ascii="仿宋_GB2312" w:hAnsi="仿宋_GB2312" w:eastAsia="仿宋_GB2312" w:cs="仿宋_GB2312"/>
                <w:color w:val="auto"/>
                <w:sz w:val="20"/>
                <w:szCs w:val="20"/>
                <w:highlight w:val="none"/>
              </w:rPr>
              <w:t>座桥梁；1条隧道和6座涵洞；</w:t>
            </w:r>
            <w:r>
              <w:rPr>
                <w:rFonts w:hint="eastAsia" w:ascii="仿宋_GB2312" w:hAnsi="仿宋_GB2312" w:eastAsia="仿宋_GB2312" w:cs="仿宋_GB2312"/>
                <w:color w:val="auto"/>
                <w:sz w:val="20"/>
                <w:szCs w:val="20"/>
                <w:highlight w:val="none"/>
                <w:lang w:val="en-US" w:eastAsia="zh-CN"/>
              </w:rPr>
              <w:t>12</w:t>
            </w:r>
            <w:r>
              <w:rPr>
                <w:rFonts w:hint="eastAsia" w:ascii="仿宋_GB2312" w:hAnsi="仿宋_GB2312" w:eastAsia="仿宋_GB2312" w:cs="仿宋_GB2312"/>
                <w:color w:val="auto"/>
                <w:sz w:val="20"/>
                <w:szCs w:val="20"/>
                <w:highlight w:val="none"/>
              </w:rPr>
              <w:t>座地下人行通道；排水主涵1</w:t>
            </w:r>
            <w:r>
              <w:rPr>
                <w:rFonts w:hint="eastAsia" w:ascii="仿宋_GB2312" w:hAnsi="仿宋_GB2312" w:eastAsia="仿宋_GB2312" w:cs="仿宋_GB2312"/>
                <w:color w:val="auto"/>
                <w:sz w:val="20"/>
                <w:szCs w:val="20"/>
                <w:highlight w:val="none"/>
                <w:lang w:val="en-US" w:eastAsia="zh-CN"/>
              </w:rPr>
              <w:t>31834</w:t>
            </w:r>
            <w:r>
              <w:rPr>
                <w:rFonts w:hint="eastAsia" w:ascii="仿宋_GB2312" w:hAnsi="仿宋_GB2312" w:eastAsia="仿宋_GB2312" w:cs="仿宋_GB2312"/>
                <w:color w:val="auto"/>
                <w:sz w:val="20"/>
                <w:szCs w:val="20"/>
                <w:highlight w:val="none"/>
              </w:rPr>
              <w:t>m；道路排水管道</w:t>
            </w:r>
            <w:r>
              <w:rPr>
                <w:rFonts w:hint="eastAsia" w:ascii="仿宋_GB2312" w:hAnsi="仿宋_GB2312" w:eastAsia="仿宋_GB2312" w:cs="仿宋_GB2312"/>
                <w:color w:val="auto"/>
                <w:sz w:val="20"/>
                <w:szCs w:val="20"/>
                <w:highlight w:val="none"/>
                <w:lang w:val="en-US" w:eastAsia="zh-CN"/>
              </w:rPr>
              <w:t>368284</w:t>
            </w:r>
            <w:r>
              <w:rPr>
                <w:rFonts w:hint="eastAsia" w:ascii="仿宋_GB2312" w:hAnsi="仿宋_GB2312" w:eastAsia="仿宋_GB2312" w:cs="仿宋_GB2312"/>
                <w:color w:val="auto"/>
                <w:sz w:val="20"/>
                <w:szCs w:val="20"/>
                <w:highlight w:val="none"/>
              </w:rPr>
              <w:t>m的日常维护及管理，保障设施应修尽修，保障设施完好率及正常运行。</w:t>
            </w:r>
          </w:p>
        </w:tc>
        <w:tc>
          <w:tcPr>
            <w:tcW w:w="4067" w:type="dxa"/>
            <w:gridSpan w:val="4"/>
            <w:tcBorders>
              <w:top w:val="single" w:color="auto" w:sz="4" w:space="0"/>
              <w:left w:val="single" w:color="auto" w:sz="4" w:space="0"/>
              <w:bottom w:val="single" w:color="auto" w:sz="4" w:space="0"/>
              <w:right w:val="single" w:color="auto" w:sz="4" w:space="0"/>
            </w:tcBorders>
            <w:noWrap w:val="0"/>
            <w:vAlign w:val="center"/>
          </w:tcPr>
          <w:p w14:paraId="2361995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 xml:space="preserve"> </w:t>
            </w:r>
            <w:r>
              <w:rPr>
                <w:rFonts w:hint="eastAsia" w:ascii="仿宋_GB2312" w:hAnsi="仿宋_GB2312" w:eastAsia="仿宋_GB2312" w:cs="仿宋_GB2312"/>
                <w:color w:val="auto"/>
                <w:sz w:val="20"/>
                <w:szCs w:val="20"/>
                <w:highlight w:val="none"/>
              </w:rPr>
              <w:t>破损的路面及人行道得</w:t>
            </w:r>
            <w:r>
              <w:rPr>
                <w:rFonts w:hint="eastAsia" w:ascii="仿宋_GB2312" w:hAnsi="仿宋_GB2312" w:eastAsia="仿宋_GB2312" w:cs="仿宋_GB2312"/>
                <w:color w:val="auto"/>
                <w:sz w:val="20"/>
                <w:szCs w:val="20"/>
                <w:highlight w:val="none"/>
                <w:lang w:val="en-US" w:eastAsia="zh-CN"/>
              </w:rPr>
              <w:t>了</w:t>
            </w:r>
            <w:r>
              <w:rPr>
                <w:rFonts w:hint="eastAsia" w:ascii="仿宋_GB2312" w:hAnsi="仿宋_GB2312" w:eastAsia="仿宋_GB2312" w:cs="仿宋_GB2312"/>
                <w:color w:val="auto"/>
                <w:sz w:val="20"/>
                <w:szCs w:val="20"/>
                <w:highlight w:val="none"/>
              </w:rPr>
              <w:t>到</w:t>
            </w:r>
            <w:r>
              <w:rPr>
                <w:rFonts w:hint="eastAsia" w:ascii="仿宋_GB2312" w:hAnsi="仿宋_GB2312" w:eastAsia="仿宋_GB2312" w:cs="仿宋_GB2312"/>
                <w:color w:val="auto"/>
                <w:sz w:val="20"/>
                <w:szCs w:val="20"/>
                <w:highlight w:val="none"/>
                <w:lang w:val="en-US" w:eastAsia="zh-CN"/>
              </w:rPr>
              <w:t>及时的</w:t>
            </w:r>
            <w:r>
              <w:rPr>
                <w:rFonts w:hint="eastAsia" w:ascii="仿宋_GB2312" w:hAnsi="仿宋_GB2312" w:eastAsia="仿宋_GB2312" w:cs="仿宋_GB2312"/>
                <w:color w:val="auto"/>
                <w:sz w:val="20"/>
                <w:szCs w:val="20"/>
                <w:highlight w:val="none"/>
              </w:rPr>
              <w:t>修复，保障道路积水及时排放，</w:t>
            </w:r>
            <w:r>
              <w:rPr>
                <w:rFonts w:hint="eastAsia" w:ascii="仿宋_GB2312" w:hAnsi="仿宋_GB2312" w:eastAsia="仿宋_GB2312" w:cs="仿宋_GB2312"/>
                <w:color w:val="auto"/>
                <w:sz w:val="20"/>
                <w:szCs w:val="20"/>
                <w:highlight w:val="none"/>
                <w:lang w:eastAsia="zh-CN"/>
              </w:rPr>
              <w:t>道路、广场等</w:t>
            </w:r>
            <w:r>
              <w:rPr>
                <w:rFonts w:hint="eastAsia" w:ascii="仿宋_GB2312" w:hAnsi="仿宋_GB2312" w:eastAsia="仿宋_GB2312" w:cs="仿宋_GB2312"/>
                <w:color w:val="auto"/>
                <w:sz w:val="20"/>
                <w:szCs w:val="20"/>
                <w:highlight w:val="none"/>
              </w:rPr>
              <w:t>排放</w:t>
            </w:r>
            <w:r>
              <w:rPr>
                <w:rFonts w:hint="eastAsia" w:ascii="仿宋_GB2312" w:hAnsi="仿宋_GB2312" w:eastAsia="仿宋_GB2312" w:cs="仿宋_GB2312"/>
                <w:color w:val="auto"/>
                <w:sz w:val="20"/>
                <w:szCs w:val="20"/>
                <w:highlight w:val="none"/>
                <w:lang w:val="en-US" w:eastAsia="zh-CN"/>
              </w:rPr>
              <w:t>管道</w:t>
            </w:r>
            <w:r>
              <w:rPr>
                <w:rFonts w:hint="eastAsia" w:ascii="仿宋_GB2312" w:hAnsi="仿宋_GB2312" w:eastAsia="仿宋_GB2312" w:cs="仿宋_GB2312"/>
                <w:color w:val="auto"/>
                <w:sz w:val="20"/>
                <w:szCs w:val="20"/>
                <w:highlight w:val="none"/>
              </w:rPr>
              <w:t>畅通，中心城区市政设施完好率</w:t>
            </w:r>
            <w:r>
              <w:rPr>
                <w:rFonts w:hint="eastAsia" w:ascii="仿宋_GB2312" w:hAnsi="仿宋_GB2312" w:eastAsia="仿宋_GB2312" w:cs="仿宋_GB2312"/>
                <w:color w:val="auto"/>
                <w:sz w:val="20"/>
                <w:szCs w:val="20"/>
                <w:highlight w:val="none"/>
                <w:lang w:val="en-US" w:eastAsia="zh-CN"/>
              </w:rPr>
              <w:t>不断提升</w:t>
            </w:r>
            <w:r>
              <w:rPr>
                <w:rFonts w:hint="eastAsia" w:ascii="仿宋_GB2312" w:hAnsi="仿宋_GB2312" w:eastAsia="仿宋_GB2312" w:cs="仿宋_GB2312"/>
                <w:color w:val="auto"/>
                <w:sz w:val="20"/>
                <w:szCs w:val="20"/>
                <w:highlight w:val="none"/>
              </w:rPr>
              <w:t>。</w:t>
            </w:r>
          </w:p>
        </w:tc>
      </w:tr>
      <w:tr w14:paraId="36B024DC">
        <w:tblPrEx>
          <w:tblCellMar>
            <w:top w:w="0" w:type="dxa"/>
            <w:left w:w="108" w:type="dxa"/>
            <w:bottom w:w="0" w:type="dxa"/>
            <w:right w:w="108" w:type="dxa"/>
          </w:tblCellMar>
        </w:tblPrEx>
        <w:trPr>
          <w:jc w:val="center"/>
        </w:trPr>
        <w:tc>
          <w:tcPr>
            <w:tcW w:w="972" w:type="dxa"/>
            <w:vMerge w:val="restart"/>
            <w:tcBorders>
              <w:top w:val="single" w:color="auto" w:sz="4" w:space="0"/>
              <w:left w:val="single" w:color="auto" w:sz="4" w:space="0"/>
              <w:bottom w:val="single" w:color="auto" w:sz="4" w:space="0"/>
              <w:right w:val="single" w:color="auto" w:sz="4" w:space="0"/>
            </w:tcBorders>
            <w:noWrap w:val="0"/>
            <w:vAlign w:val="center"/>
          </w:tcPr>
          <w:p w14:paraId="0417966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05BED74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15BB0EE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51CC2DB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06" w:type="dxa"/>
            <w:tcBorders>
              <w:top w:val="single" w:color="auto" w:sz="4" w:space="0"/>
              <w:left w:val="single" w:color="auto" w:sz="4" w:space="0"/>
              <w:bottom w:val="single" w:color="auto" w:sz="4" w:space="0"/>
              <w:right w:val="single" w:color="auto" w:sz="4" w:space="0"/>
            </w:tcBorders>
            <w:noWrap w:val="0"/>
            <w:vAlign w:val="center"/>
          </w:tcPr>
          <w:p w14:paraId="4E5621B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16EDA7D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551" w:type="dxa"/>
            <w:tcBorders>
              <w:top w:val="single" w:color="auto" w:sz="4" w:space="0"/>
              <w:left w:val="single" w:color="auto" w:sz="4" w:space="0"/>
              <w:bottom w:val="single" w:color="auto" w:sz="4" w:space="0"/>
              <w:right w:val="single" w:color="auto" w:sz="4" w:space="0"/>
            </w:tcBorders>
            <w:noWrap w:val="0"/>
            <w:vAlign w:val="center"/>
          </w:tcPr>
          <w:p w14:paraId="55CBFF0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8CFFB1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7D4C5DA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7D302ED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36A4674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1A9F07D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671C9F3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6032E48E">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3CC648A2">
        <w:tblPrEx>
          <w:tblCellMar>
            <w:top w:w="0" w:type="dxa"/>
            <w:left w:w="108" w:type="dxa"/>
            <w:bottom w:w="0" w:type="dxa"/>
            <w:right w:w="108" w:type="dxa"/>
          </w:tblCellMar>
        </w:tblPrEx>
        <w:trPr>
          <w:trHeight w:val="460" w:hRule="atLeast"/>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29429536">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restart"/>
            <w:tcBorders>
              <w:top w:val="single" w:color="auto" w:sz="4" w:space="0"/>
              <w:left w:val="single" w:color="auto" w:sz="4" w:space="0"/>
              <w:bottom w:val="single" w:color="auto" w:sz="4" w:space="0"/>
              <w:right w:val="single" w:color="auto" w:sz="4" w:space="0"/>
            </w:tcBorders>
            <w:noWrap w:val="0"/>
            <w:vAlign w:val="center"/>
          </w:tcPr>
          <w:p w14:paraId="584A7EE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761C74A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p w14:paraId="42A4A9E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944" w:type="dxa"/>
            <w:vMerge w:val="restart"/>
            <w:tcBorders>
              <w:top w:val="single" w:color="auto" w:sz="4" w:space="0"/>
              <w:left w:val="single" w:color="auto" w:sz="4" w:space="0"/>
              <w:bottom w:val="single" w:color="auto" w:sz="4" w:space="0"/>
              <w:right w:val="single" w:color="auto" w:sz="4" w:space="0"/>
            </w:tcBorders>
            <w:noWrap w:val="0"/>
            <w:vAlign w:val="center"/>
          </w:tcPr>
          <w:p w14:paraId="0B7713A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551" w:type="dxa"/>
            <w:tcBorders>
              <w:top w:val="single" w:color="auto" w:sz="4" w:space="0"/>
              <w:left w:val="single" w:color="auto" w:sz="4" w:space="0"/>
              <w:bottom w:val="single" w:color="auto" w:sz="4" w:space="0"/>
              <w:right w:val="single" w:color="auto" w:sz="4" w:space="0"/>
            </w:tcBorders>
            <w:noWrap w:val="0"/>
            <w:vAlign w:val="center"/>
          </w:tcPr>
          <w:p w14:paraId="2F46EA7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路面</w:t>
            </w:r>
            <w:r>
              <w:rPr>
                <w:rFonts w:hint="eastAsia" w:ascii="仿宋_GB2312" w:hAnsi="仿宋_GB2312" w:eastAsia="仿宋_GB2312" w:cs="仿宋_GB2312"/>
                <w:color w:val="000000"/>
                <w:sz w:val="20"/>
                <w:szCs w:val="20"/>
                <w:highlight w:val="none"/>
              </w:rPr>
              <w:t>维修</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1CE981B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627.11万</w:t>
            </w:r>
            <w:r>
              <w:rPr>
                <w:rFonts w:hint="eastAsia" w:ascii="方正仿宋_GBK" w:hAnsi="方正仿宋_GBK" w:eastAsia="方正仿宋_GBK" w:cs="方正仿宋_GBK"/>
                <w:color w:val="000000"/>
                <w:sz w:val="20"/>
                <w:szCs w:val="20"/>
                <w:highlight w:val="none"/>
                <w:lang w:val="en-US" w:eastAsia="zh-CN"/>
              </w:rPr>
              <w:t>㎡</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6A75DEA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627.11万</w:t>
            </w:r>
            <w:r>
              <w:rPr>
                <w:rFonts w:hint="eastAsia" w:ascii="方正仿宋_GBK" w:hAnsi="方正仿宋_GBK" w:eastAsia="方正仿宋_GBK" w:cs="方正仿宋_GBK"/>
                <w:color w:val="000000"/>
                <w:sz w:val="20"/>
                <w:szCs w:val="20"/>
                <w:highlight w:val="none"/>
                <w:lang w:val="en-US" w:eastAsia="zh-CN"/>
              </w:rPr>
              <w:t>㎡</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1172678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446CBB5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5FDF299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469A8D1">
        <w:tblPrEx>
          <w:tblCellMar>
            <w:top w:w="0" w:type="dxa"/>
            <w:left w:w="108" w:type="dxa"/>
            <w:bottom w:w="0" w:type="dxa"/>
            <w:right w:w="108" w:type="dxa"/>
          </w:tblCellMar>
        </w:tblPrEx>
        <w:trPr>
          <w:trHeight w:val="590" w:hRule="atLeast"/>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583CAA0D">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094BB274">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5D84EE0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551" w:type="dxa"/>
            <w:tcBorders>
              <w:top w:val="single" w:color="auto" w:sz="4" w:space="0"/>
              <w:left w:val="single" w:color="auto" w:sz="4" w:space="0"/>
              <w:bottom w:val="single" w:color="auto" w:sz="4" w:space="0"/>
              <w:right w:val="single" w:color="auto" w:sz="4" w:space="0"/>
            </w:tcBorders>
            <w:noWrap w:val="0"/>
            <w:vAlign w:val="center"/>
          </w:tcPr>
          <w:p w14:paraId="6E653FE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人行道维修</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3BD605C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2</w:t>
            </w:r>
            <w:r>
              <w:rPr>
                <w:rFonts w:hint="eastAsia" w:ascii="仿宋_GB2312" w:hAnsi="仿宋_GB2312" w:eastAsia="仿宋_GB2312" w:cs="仿宋_GB2312"/>
                <w:color w:val="000000"/>
                <w:sz w:val="20"/>
                <w:szCs w:val="20"/>
                <w:highlight w:val="none"/>
                <w:lang w:val="en-US" w:eastAsia="zh-CN"/>
              </w:rPr>
              <w:t>48.53</w:t>
            </w:r>
            <w:r>
              <w:rPr>
                <w:rFonts w:hint="eastAsia" w:ascii="仿宋_GB2312" w:hAnsi="仿宋_GB2312" w:eastAsia="仿宋_GB2312" w:cs="仿宋_GB2312"/>
                <w:color w:val="000000"/>
                <w:sz w:val="20"/>
                <w:szCs w:val="20"/>
                <w:highlight w:val="none"/>
              </w:rPr>
              <w:t>万㎡</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0C910DD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2</w:t>
            </w:r>
            <w:r>
              <w:rPr>
                <w:rFonts w:hint="eastAsia" w:ascii="仿宋_GB2312" w:hAnsi="仿宋_GB2312" w:eastAsia="仿宋_GB2312" w:cs="仿宋_GB2312"/>
                <w:color w:val="000000"/>
                <w:sz w:val="20"/>
                <w:szCs w:val="20"/>
                <w:highlight w:val="none"/>
                <w:lang w:val="en-US" w:eastAsia="zh-CN"/>
              </w:rPr>
              <w:t>48.53</w:t>
            </w:r>
            <w:r>
              <w:rPr>
                <w:rFonts w:hint="eastAsia" w:ascii="仿宋_GB2312" w:hAnsi="仿宋_GB2312" w:eastAsia="仿宋_GB2312" w:cs="仿宋_GB2312"/>
                <w:color w:val="000000"/>
                <w:sz w:val="20"/>
                <w:szCs w:val="20"/>
                <w:highlight w:val="none"/>
              </w:rPr>
              <w:t>万㎡</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44D6BBA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4F72721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40ECBD0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r>
      <w:tr w14:paraId="7DC017F7">
        <w:tblPrEx>
          <w:tblCellMar>
            <w:top w:w="0" w:type="dxa"/>
            <w:left w:w="108" w:type="dxa"/>
            <w:bottom w:w="0" w:type="dxa"/>
            <w:right w:w="108" w:type="dxa"/>
          </w:tblCellMar>
        </w:tblPrEx>
        <w:trPr>
          <w:trHeight w:val="445" w:hRule="atLeast"/>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608DE6A2">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5999A174">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77A33FE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551" w:type="dxa"/>
            <w:tcBorders>
              <w:top w:val="single" w:color="auto" w:sz="4" w:space="0"/>
              <w:left w:val="single" w:color="auto" w:sz="4" w:space="0"/>
              <w:bottom w:val="single" w:color="auto" w:sz="4" w:space="0"/>
              <w:right w:val="single" w:color="auto" w:sz="4" w:space="0"/>
            </w:tcBorders>
            <w:noWrap w:val="0"/>
            <w:vAlign w:val="center"/>
          </w:tcPr>
          <w:p w14:paraId="01DC426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片石</w:t>
            </w:r>
            <w:r>
              <w:rPr>
                <w:rFonts w:hint="eastAsia" w:ascii="仿宋_GB2312" w:hAnsi="仿宋_GB2312" w:eastAsia="仿宋_GB2312" w:cs="仿宋_GB2312"/>
                <w:color w:val="auto"/>
                <w:sz w:val="20"/>
                <w:szCs w:val="20"/>
                <w:highlight w:val="none"/>
              </w:rPr>
              <w:t>墙</w:t>
            </w:r>
            <w:r>
              <w:rPr>
                <w:rFonts w:hint="eastAsia" w:ascii="仿宋_GB2312" w:hAnsi="仿宋_GB2312" w:eastAsia="仿宋_GB2312" w:cs="仿宋_GB2312"/>
                <w:color w:val="000000"/>
                <w:sz w:val="20"/>
                <w:szCs w:val="20"/>
                <w:highlight w:val="none"/>
              </w:rPr>
              <w:t>维修</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1BA5829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27027</w:t>
            </w:r>
            <w:r>
              <w:rPr>
                <w:rFonts w:hint="eastAsia" w:ascii="方正仿宋_GBK" w:hAnsi="方正仿宋_GBK" w:eastAsia="方正仿宋_GBK" w:cs="方正仿宋_GBK"/>
                <w:color w:val="000000"/>
                <w:sz w:val="20"/>
                <w:szCs w:val="20"/>
                <w:highlight w:val="none"/>
              </w:rPr>
              <w:t>㎥</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1E2A819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27027</w:t>
            </w:r>
            <w:r>
              <w:rPr>
                <w:rFonts w:hint="eastAsia" w:ascii="方正仿宋_GBK" w:hAnsi="方正仿宋_GBK" w:eastAsia="方正仿宋_GBK" w:cs="方正仿宋_GBK"/>
                <w:color w:val="000000"/>
                <w:sz w:val="20"/>
                <w:szCs w:val="20"/>
                <w:highlight w:val="none"/>
              </w:rPr>
              <w:t>㎥</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66496FE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32A2DB6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7B6FED8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r>
      <w:tr w14:paraId="74F6AE16">
        <w:tblPrEx>
          <w:tblCellMar>
            <w:top w:w="0" w:type="dxa"/>
            <w:left w:w="108" w:type="dxa"/>
            <w:bottom w:w="0" w:type="dxa"/>
            <w:right w:w="108" w:type="dxa"/>
          </w:tblCellMar>
        </w:tblPrEx>
        <w:trPr>
          <w:trHeight w:val="585" w:hRule="atLeast"/>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68B0008E">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0BB8D11B">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78A02B1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551" w:type="dxa"/>
            <w:tcBorders>
              <w:top w:val="single" w:color="auto" w:sz="4" w:space="0"/>
              <w:left w:val="single" w:color="auto" w:sz="4" w:space="0"/>
              <w:bottom w:val="single" w:color="auto" w:sz="4" w:space="0"/>
              <w:right w:val="single" w:color="auto" w:sz="4" w:space="0"/>
            </w:tcBorders>
            <w:noWrap w:val="0"/>
            <w:vAlign w:val="center"/>
          </w:tcPr>
          <w:p w14:paraId="04850F6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排水主涵维护</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3CA1FC9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w:t>
            </w:r>
            <w:r>
              <w:rPr>
                <w:rFonts w:hint="eastAsia" w:ascii="仿宋_GB2312" w:hAnsi="仿宋_GB2312" w:eastAsia="仿宋_GB2312" w:cs="仿宋_GB2312"/>
                <w:color w:val="000000"/>
                <w:sz w:val="20"/>
                <w:szCs w:val="20"/>
                <w:highlight w:val="none"/>
                <w:lang w:val="en-US" w:eastAsia="zh-CN"/>
              </w:rPr>
              <w:t>31.834</w:t>
            </w:r>
            <w:r>
              <w:rPr>
                <w:rFonts w:hint="eastAsia" w:ascii="仿宋_GB2312" w:hAnsi="仿宋_GB2312" w:eastAsia="仿宋_GB2312" w:cs="仿宋_GB2312"/>
                <w:color w:val="000000"/>
                <w:sz w:val="20"/>
                <w:szCs w:val="20"/>
                <w:highlight w:val="none"/>
              </w:rPr>
              <w:t>km</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433C7D7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1</w:t>
            </w:r>
            <w:r>
              <w:rPr>
                <w:rFonts w:hint="eastAsia" w:ascii="仿宋_GB2312" w:hAnsi="仿宋_GB2312" w:eastAsia="仿宋_GB2312" w:cs="仿宋_GB2312"/>
                <w:color w:val="000000"/>
                <w:sz w:val="20"/>
                <w:szCs w:val="20"/>
                <w:highlight w:val="none"/>
                <w:lang w:val="en-US" w:eastAsia="zh-CN"/>
              </w:rPr>
              <w:t>31.834</w:t>
            </w:r>
            <w:r>
              <w:rPr>
                <w:rFonts w:hint="eastAsia" w:ascii="仿宋_GB2312" w:hAnsi="仿宋_GB2312" w:eastAsia="仿宋_GB2312" w:cs="仿宋_GB2312"/>
                <w:color w:val="000000"/>
                <w:sz w:val="20"/>
                <w:szCs w:val="20"/>
                <w:highlight w:val="none"/>
              </w:rPr>
              <w:t>km</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064E817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6CFA295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6A53F96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8755976">
        <w:tblPrEx>
          <w:tblCellMar>
            <w:top w:w="0" w:type="dxa"/>
            <w:left w:w="108" w:type="dxa"/>
            <w:bottom w:w="0" w:type="dxa"/>
            <w:right w:w="108" w:type="dxa"/>
          </w:tblCellMar>
        </w:tblPrEx>
        <w:trPr>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558E4B00">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00CD580B">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5EA7481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551" w:type="dxa"/>
            <w:tcBorders>
              <w:top w:val="single" w:color="auto" w:sz="4" w:space="0"/>
              <w:left w:val="single" w:color="auto" w:sz="4" w:space="0"/>
              <w:bottom w:val="single" w:color="auto" w:sz="4" w:space="0"/>
              <w:right w:val="single" w:color="auto" w:sz="4" w:space="0"/>
            </w:tcBorders>
            <w:noWrap w:val="0"/>
            <w:vAlign w:val="center"/>
          </w:tcPr>
          <w:p w14:paraId="4BC4E87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道路排水管道维护</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03EFFD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368.284</w:t>
            </w:r>
            <w:r>
              <w:rPr>
                <w:rFonts w:hint="eastAsia" w:ascii="仿宋_GB2312" w:hAnsi="仿宋_GB2312" w:eastAsia="仿宋_GB2312" w:cs="仿宋_GB2312"/>
                <w:color w:val="000000"/>
                <w:sz w:val="20"/>
                <w:szCs w:val="20"/>
                <w:highlight w:val="none"/>
              </w:rPr>
              <w:t>km</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0AF1CB8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368.284</w:t>
            </w:r>
            <w:r>
              <w:rPr>
                <w:rFonts w:hint="eastAsia" w:ascii="仿宋_GB2312" w:hAnsi="仿宋_GB2312" w:eastAsia="仿宋_GB2312" w:cs="仿宋_GB2312"/>
                <w:color w:val="000000"/>
                <w:sz w:val="20"/>
                <w:szCs w:val="20"/>
                <w:highlight w:val="none"/>
              </w:rPr>
              <w:t>km</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4879291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4830BFE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2C0412D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r>
      <w:tr w14:paraId="657233D5">
        <w:tblPrEx>
          <w:tblCellMar>
            <w:top w:w="0" w:type="dxa"/>
            <w:left w:w="108" w:type="dxa"/>
            <w:bottom w:w="0" w:type="dxa"/>
            <w:right w:w="108" w:type="dxa"/>
          </w:tblCellMar>
        </w:tblPrEx>
        <w:trPr>
          <w:trHeight w:val="510" w:hRule="atLeast"/>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3A7DE822">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07BEC445">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02D4E41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551" w:type="dxa"/>
            <w:tcBorders>
              <w:top w:val="single" w:color="auto" w:sz="4" w:space="0"/>
              <w:left w:val="single" w:color="auto" w:sz="4" w:space="0"/>
              <w:bottom w:val="single" w:color="auto" w:sz="4" w:space="0"/>
              <w:right w:val="single" w:color="auto" w:sz="4" w:space="0"/>
            </w:tcBorders>
            <w:noWrap w:val="0"/>
            <w:vAlign w:val="center"/>
          </w:tcPr>
          <w:p w14:paraId="0430829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桥梁</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76E364D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49座</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6C5E392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49座</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392EE53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17F22EB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78B57AB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r>
      <w:tr w14:paraId="65425A9A">
        <w:tblPrEx>
          <w:tblCellMar>
            <w:top w:w="0" w:type="dxa"/>
            <w:left w:w="108" w:type="dxa"/>
            <w:bottom w:w="0" w:type="dxa"/>
            <w:right w:w="108" w:type="dxa"/>
          </w:tblCellMar>
        </w:tblPrEx>
        <w:trPr>
          <w:trHeight w:val="655" w:hRule="atLeast"/>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6301F341">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14A6B1AE">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262F2D1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551" w:type="dxa"/>
            <w:tcBorders>
              <w:top w:val="single" w:color="auto" w:sz="4" w:space="0"/>
              <w:left w:val="single" w:color="auto" w:sz="4" w:space="0"/>
              <w:bottom w:val="single" w:color="auto" w:sz="4" w:space="0"/>
              <w:right w:val="single" w:color="auto" w:sz="4" w:space="0"/>
            </w:tcBorders>
            <w:noWrap w:val="0"/>
            <w:vAlign w:val="center"/>
          </w:tcPr>
          <w:p w14:paraId="181559E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auto"/>
                <w:sz w:val="20"/>
                <w:szCs w:val="20"/>
                <w:highlight w:val="none"/>
              </w:rPr>
              <w:t>隧道</w:t>
            </w:r>
            <w:r>
              <w:rPr>
                <w:rFonts w:hint="eastAsia" w:ascii="仿宋_GB2312" w:hAnsi="仿宋_GB2312" w:eastAsia="仿宋_GB2312" w:cs="仿宋_GB2312"/>
                <w:color w:val="auto"/>
                <w:sz w:val="20"/>
                <w:szCs w:val="20"/>
                <w:highlight w:val="none"/>
                <w:lang w:eastAsia="zh-CN"/>
              </w:rPr>
              <w:t>、</w:t>
            </w:r>
            <w:r>
              <w:rPr>
                <w:rFonts w:hint="eastAsia" w:ascii="仿宋_GB2312" w:hAnsi="仿宋_GB2312" w:eastAsia="仿宋_GB2312" w:cs="仿宋_GB2312"/>
                <w:color w:val="auto"/>
                <w:sz w:val="20"/>
                <w:szCs w:val="20"/>
                <w:highlight w:val="none"/>
              </w:rPr>
              <w:t>涵洞</w:t>
            </w:r>
            <w:r>
              <w:rPr>
                <w:rFonts w:hint="eastAsia" w:ascii="仿宋_GB2312" w:hAnsi="仿宋_GB2312" w:eastAsia="仿宋_GB2312" w:cs="仿宋_GB2312"/>
                <w:color w:val="auto"/>
                <w:sz w:val="20"/>
                <w:szCs w:val="20"/>
                <w:highlight w:val="none"/>
                <w:lang w:eastAsia="zh-CN"/>
              </w:rPr>
              <w:t>维护</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60F9FE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auto"/>
                <w:sz w:val="20"/>
                <w:szCs w:val="20"/>
                <w:highlight w:val="none"/>
                <w:lang w:val="en-US" w:eastAsia="zh-CN"/>
              </w:rPr>
              <w:t>1条</w:t>
            </w:r>
            <w:r>
              <w:rPr>
                <w:rFonts w:hint="eastAsia" w:ascii="仿宋_GB2312" w:hAnsi="仿宋_GB2312" w:eastAsia="仿宋_GB2312" w:cs="仿宋_GB2312"/>
                <w:color w:val="auto"/>
                <w:sz w:val="20"/>
                <w:szCs w:val="20"/>
                <w:highlight w:val="none"/>
              </w:rPr>
              <w:t>隧道和6座涵洞</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698AC2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1条</w:t>
            </w:r>
            <w:r>
              <w:rPr>
                <w:rFonts w:hint="eastAsia" w:ascii="仿宋_GB2312" w:hAnsi="仿宋_GB2312" w:eastAsia="仿宋_GB2312" w:cs="仿宋_GB2312"/>
                <w:color w:val="auto"/>
                <w:sz w:val="20"/>
                <w:szCs w:val="20"/>
                <w:highlight w:val="none"/>
              </w:rPr>
              <w:t>隧道和6座涵洞</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055CC54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445FC4F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129EF04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r>
      <w:tr w14:paraId="18613C56">
        <w:tblPrEx>
          <w:tblCellMar>
            <w:top w:w="0" w:type="dxa"/>
            <w:left w:w="108" w:type="dxa"/>
            <w:bottom w:w="0" w:type="dxa"/>
            <w:right w:w="108" w:type="dxa"/>
          </w:tblCellMar>
        </w:tblPrEx>
        <w:trPr>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6DE9A70A">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5C7AB3E0">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4BFE3A5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551" w:type="dxa"/>
            <w:tcBorders>
              <w:top w:val="single" w:color="auto" w:sz="4" w:space="0"/>
              <w:left w:val="single" w:color="auto" w:sz="4" w:space="0"/>
              <w:bottom w:val="single" w:color="auto" w:sz="4" w:space="0"/>
              <w:right w:val="single" w:color="auto" w:sz="4" w:space="0"/>
            </w:tcBorders>
            <w:noWrap w:val="0"/>
            <w:vAlign w:val="center"/>
          </w:tcPr>
          <w:p w14:paraId="2B77B66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地下人行通道维护</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0A5FEE1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12座</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208533E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12座</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0D91C8E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103AB9C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74ACC22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r>
      <w:tr w14:paraId="52FB4F14">
        <w:tblPrEx>
          <w:tblCellMar>
            <w:top w:w="0" w:type="dxa"/>
            <w:left w:w="108" w:type="dxa"/>
            <w:bottom w:w="0" w:type="dxa"/>
            <w:right w:w="108" w:type="dxa"/>
          </w:tblCellMar>
        </w:tblPrEx>
        <w:trPr>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180E6D8F">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7EEC41D8">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restart"/>
            <w:tcBorders>
              <w:top w:val="single" w:color="auto" w:sz="4" w:space="0"/>
              <w:left w:val="single" w:color="auto" w:sz="4" w:space="0"/>
              <w:bottom w:val="single" w:color="auto" w:sz="4" w:space="0"/>
              <w:right w:val="single" w:color="auto" w:sz="4" w:space="0"/>
            </w:tcBorders>
            <w:noWrap w:val="0"/>
            <w:vAlign w:val="center"/>
          </w:tcPr>
          <w:p w14:paraId="7CB994F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551" w:type="dxa"/>
            <w:tcBorders>
              <w:top w:val="single" w:color="auto" w:sz="4" w:space="0"/>
              <w:left w:val="single" w:color="auto" w:sz="4" w:space="0"/>
              <w:bottom w:val="single" w:color="auto" w:sz="4" w:space="0"/>
              <w:right w:val="single" w:color="auto" w:sz="4" w:space="0"/>
            </w:tcBorders>
            <w:noWrap w:val="0"/>
            <w:vAlign w:val="center"/>
          </w:tcPr>
          <w:p w14:paraId="06D74B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符合《城市桥梁工程施工与质量验收规范CJJ-2-2008》标准</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363D57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 xml:space="preserve"> 100%</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07F073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 xml:space="preserve"> 100%</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1A2501D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3F58039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1B700AD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342ABFF">
        <w:tblPrEx>
          <w:tblCellMar>
            <w:top w:w="0" w:type="dxa"/>
            <w:left w:w="108" w:type="dxa"/>
            <w:bottom w:w="0" w:type="dxa"/>
            <w:right w:w="108" w:type="dxa"/>
          </w:tblCellMar>
        </w:tblPrEx>
        <w:trPr>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2D43872B">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67FF5549">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198267A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551" w:type="dxa"/>
            <w:tcBorders>
              <w:top w:val="single" w:color="auto" w:sz="4" w:space="0"/>
              <w:left w:val="single" w:color="auto" w:sz="4" w:space="0"/>
              <w:bottom w:val="single" w:color="auto" w:sz="4" w:space="0"/>
              <w:right w:val="single" w:color="auto" w:sz="4" w:space="0"/>
            </w:tcBorders>
            <w:noWrap w:val="0"/>
            <w:vAlign w:val="center"/>
          </w:tcPr>
          <w:p w14:paraId="3CD665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符合《城市道路养护技术规程CJJ36-2016》标准</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5D4A2C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100%</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2072FD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100%</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3ACBF24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132BD75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2FFBFAF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r>
      <w:tr w14:paraId="1DABF393">
        <w:tblPrEx>
          <w:tblCellMar>
            <w:top w:w="0" w:type="dxa"/>
            <w:left w:w="108" w:type="dxa"/>
            <w:bottom w:w="0" w:type="dxa"/>
            <w:right w:w="108" w:type="dxa"/>
          </w:tblCellMar>
        </w:tblPrEx>
        <w:trPr>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514CEFB9">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57F3342F">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54C1608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551" w:type="dxa"/>
            <w:tcBorders>
              <w:top w:val="single" w:color="auto" w:sz="4" w:space="0"/>
              <w:left w:val="single" w:color="auto" w:sz="4" w:space="0"/>
              <w:bottom w:val="single" w:color="auto" w:sz="4" w:space="0"/>
              <w:right w:val="single" w:color="auto" w:sz="4" w:space="0"/>
            </w:tcBorders>
            <w:noWrap w:val="0"/>
            <w:vAlign w:val="center"/>
          </w:tcPr>
          <w:p w14:paraId="76027F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符合《城市给水排水技</w:t>
            </w:r>
            <w:r>
              <w:rPr>
                <w:rFonts w:hint="eastAsia" w:ascii="仿宋_GB2312" w:hAnsi="仿宋_GB2312" w:eastAsia="仿宋_GB2312" w:cs="仿宋_GB2312"/>
                <w:color w:val="000000"/>
                <w:sz w:val="20"/>
                <w:szCs w:val="20"/>
                <w:highlight w:val="none"/>
                <w:lang w:eastAsia="zh-CN"/>
              </w:rPr>
              <w:t>术</w:t>
            </w:r>
            <w:r>
              <w:rPr>
                <w:rFonts w:hint="eastAsia" w:ascii="仿宋_GB2312" w:hAnsi="仿宋_GB2312" w:eastAsia="仿宋_GB2312" w:cs="仿宋_GB2312"/>
                <w:color w:val="000000"/>
                <w:sz w:val="20"/>
                <w:szCs w:val="20"/>
                <w:highlight w:val="none"/>
              </w:rPr>
              <w:t>规范GB50788-2012》标准</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37BC30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 xml:space="preserve"> 100%</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1EF2EB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 xml:space="preserve"> 100%</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58D08BB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192A884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4975BB8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E33A8A9">
        <w:tblPrEx>
          <w:tblCellMar>
            <w:top w:w="0" w:type="dxa"/>
            <w:left w:w="108" w:type="dxa"/>
            <w:bottom w:w="0" w:type="dxa"/>
            <w:right w:w="108" w:type="dxa"/>
          </w:tblCellMar>
        </w:tblPrEx>
        <w:trPr>
          <w:trHeight w:val="780" w:hRule="atLeast"/>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0C89FFEB">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58A4AE7E">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restart"/>
            <w:tcBorders>
              <w:top w:val="single" w:color="auto" w:sz="4" w:space="0"/>
              <w:left w:val="single" w:color="auto" w:sz="4" w:space="0"/>
              <w:bottom w:val="single" w:color="auto" w:sz="4" w:space="0"/>
              <w:right w:val="single" w:color="auto" w:sz="4" w:space="0"/>
            </w:tcBorders>
            <w:noWrap w:val="0"/>
            <w:vAlign w:val="center"/>
          </w:tcPr>
          <w:p w14:paraId="7D05071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551" w:type="dxa"/>
            <w:tcBorders>
              <w:top w:val="single" w:color="auto" w:sz="4" w:space="0"/>
              <w:left w:val="single" w:color="auto" w:sz="4" w:space="0"/>
              <w:bottom w:val="single" w:color="auto" w:sz="4" w:space="0"/>
              <w:right w:val="single" w:color="auto" w:sz="4" w:space="0"/>
            </w:tcBorders>
            <w:noWrap w:val="0"/>
            <w:vAlign w:val="center"/>
          </w:tcPr>
          <w:p w14:paraId="40EA76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按项目实施进度及时完成</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5297FD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2025年12月31日前</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40CE53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均如期完成</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161897B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17E9BDD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127C4FD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328FD71">
        <w:tblPrEx>
          <w:tblCellMar>
            <w:top w:w="0" w:type="dxa"/>
            <w:left w:w="108" w:type="dxa"/>
            <w:bottom w:w="0" w:type="dxa"/>
            <w:right w:w="108" w:type="dxa"/>
          </w:tblCellMar>
        </w:tblPrEx>
        <w:trPr>
          <w:trHeight w:val="780" w:hRule="atLeast"/>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67E8800F">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145803EA">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0B9A79B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551" w:type="dxa"/>
            <w:tcBorders>
              <w:top w:val="single" w:color="auto" w:sz="4" w:space="0"/>
              <w:left w:val="single" w:color="auto" w:sz="4" w:space="0"/>
              <w:bottom w:val="single" w:color="auto" w:sz="4" w:space="0"/>
              <w:right w:val="single" w:color="auto" w:sz="4" w:space="0"/>
            </w:tcBorders>
            <w:noWrap w:val="0"/>
            <w:vAlign w:val="center"/>
          </w:tcPr>
          <w:p w14:paraId="148718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急需处置维护项目</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2E3204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及时进行维护处置</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0B5A95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均及时有效处置</w:t>
            </w:r>
            <w:r>
              <w:rPr>
                <w:rFonts w:hint="eastAsia" w:ascii="仿宋_GB2312" w:hAnsi="仿宋_GB2312" w:eastAsia="仿宋_GB2312" w:cs="仿宋_GB2312"/>
                <w:color w:val="000000"/>
                <w:sz w:val="20"/>
                <w:szCs w:val="20"/>
                <w:highlight w:val="none"/>
              </w:rPr>
              <w:t>　</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49E44D9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773BE53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5238529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83A223A">
        <w:tblPrEx>
          <w:tblCellMar>
            <w:top w:w="0" w:type="dxa"/>
            <w:left w:w="108" w:type="dxa"/>
            <w:bottom w:w="0" w:type="dxa"/>
            <w:right w:w="108" w:type="dxa"/>
          </w:tblCellMar>
        </w:tblPrEx>
        <w:trPr>
          <w:trHeight w:val="735" w:hRule="atLeast"/>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7F35F7E6">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0AF60092">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restart"/>
            <w:tcBorders>
              <w:top w:val="single" w:color="auto" w:sz="4" w:space="0"/>
              <w:left w:val="single" w:color="auto" w:sz="4" w:space="0"/>
              <w:bottom w:val="single" w:color="auto" w:sz="4" w:space="0"/>
              <w:right w:val="single" w:color="auto" w:sz="4" w:space="0"/>
            </w:tcBorders>
            <w:noWrap w:val="0"/>
            <w:vAlign w:val="center"/>
          </w:tcPr>
          <w:p w14:paraId="215F99E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551" w:type="dxa"/>
            <w:tcBorders>
              <w:top w:val="single" w:color="auto" w:sz="4" w:space="0"/>
              <w:left w:val="single" w:color="auto" w:sz="4" w:space="0"/>
              <w:bottom w:val="single" w:color="auto" w:sz="4" w:space="0"/>
              <w:right w:val="single" w:color="auto" w:sz="4" w:space="0"/>
            </w:tcBorders>
            <w:noWrap w:val="0"/>
            <w:vAlign w:val="center"/>
          </w:tcPr>
          <w:p w14:paraId="498ACC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经济成本指标</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2C6388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控制在年度预算金额内</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2A8A5A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未超预算</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1B7E359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6C2703D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5F742F7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E279137">
        <w:tblPrEx>
          <w:tblCellMar>
            <w:top w:w="0" w:type="dxa"/>
            <w:left w:w="108" w:type="dxa"/>
            <w:bottom w:w="0" w:type="dxa"/>
            <w:right w:w="108" w:type="dxa"/>
          </w:tblCellMar>
        </w:tblPrEx>
        <w:trPr>
          <w:trHeight w:val="1017" w:hRule="atLeast"/>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5E5A111C">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7643B829">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29DC73C3">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551" w:type="dxa"/>
            <w:tcBorders>
              <w:top w:val="single" w:color="auto" w:sz="4" w:space="0"/>
              <w:left w:val="single" w:color="auto" w:sz="4" w:space="0"/>
              <w:bottom w:val="single" w:color="auto" w:sz="4" w:space="0"/>
              <w:right w:val="single" w:color="auto" w:sz="4" w:space="0"/>
            </w:tcBorders>
            <w:noWrap w:val="0"/>
            <w:vAlign w:val="center"/>
          </w:tcPr>
          <w:p w14:paraId="560DE3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社会成本指标</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7C46DC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施工期间影响市民出行安全全年≤3起</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4BCB43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影响市民出行安全事项0起</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2466BC6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50AE8AB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202E17E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E890403">
        <w:tblPrEx>
          <w:tblCellMar>
            <w:top w:w="0" w:type="dxa"/>
            <w:left w:w="108" w:type="dxa"/>
            <w:bottom w:w="0" w:type="dxa"/>
            <w:right w:w="108" w:type="dxa"/>
          </w:tblCellMar>
        </w:tblPrEx>
        <w:trPr>
          <w:trHeight w:val="628" w:hRule="atLeast"/>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00F78C9F">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59F67A1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14AE0B3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551" w:type="dxa"/>
            <w:vMerge w:val="restart"/>
            <w:tcBorders>
              <w:top w:val="single" w:color="auto" w:sz="4" w:space="0"/>
              <w:left w:val="single" w:color="auto" w:sz="4" w:space="0"/>
              <w:right w:val="single" w:color="auto" w:sz="4" w:space="0"/>
            </w:tcBorders>
            <w:noWrap w:val="0"/>
            <w:vAlign w:val="center"/>
          </w:tcPr>
          <w:p w14:paraId="0995F5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生态环境成本指标</w:t>
            </w:r>
          </w:p>
          <w:p w14:paraId="3C5898F1">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0"/>
                <w:szCs w:val="20"/>
                <w:highlight w:val="none"/>
              </w:rPr>
            </w:pPr>
          </w:p>
        </w:tc>
        <w:tc>
          <w:tcPr>
            <w:tcW w:w="1311" w:type="dxa"/>
            <w:tcBorders>
              <w:top w:val="single" w:color="auto" w:sz="4" w:space="0"/>
              <w:left w:val="single" w:color="auto" w:sz="4" w:space="0"/>
              <w:bottom w:val="single" w:color="auto" w:sz="4" w:space="0"/>
              <w:right w:val="single" w:color="auto" w:sz="4" w:space="0"/>
            </w:tcBorders>
            <w:noWrap w:val="0"/>
            <w:vAlign w:val="center"/>
          </w:tcPr>
          <w:p w14:paraId="2F14C7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产生的建筑废渣≤5500m3</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1B0896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未超过预定值</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574517A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25A95EA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344B2F8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r>
      <w:tr w14:paraId="385E4C9B">
        <w:tblPrEx>
          <w:tblCellMar>
            <w:top w:w="0" w:type="dxa"/>
            <w:left w:w="108" w:type="dxa"/>
            <w:bottom w:w="0" w:type="dxa"/>
            <w:right w:w="108" w:type="dxa"/>
          </w:tblCellMar>
        </w:tblPrEx>
        <w:trPr>
          <w:trHeight w:val="628" w:hRule="atLeast"/>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35878FD6">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6A8DBBF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73C3805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551" w:type="dxa"/>
            <w:vMerge w:val="continue"/>
            <w:tcBorders>
              <w:left w:val="single" w:color="auto" w:sz="4" w:space="0"/>
              <w:bottom w:val="single" w:color="auto" w:sz="4" w:space="0"/>
              <w:right w:val="single" w:color="auto" w:sz="4" w:space="0"/>
            </w:tcBorders>
            <w:noWrap w:val="0"/>
            <w:vAlign w:val="center"/>
          </w:tcPr>
          <w:p w14:paraId="69E0EE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311" w:type="dxa"/>
            <w:tcBorders>
              <w:top w:val="single" w:color="auto" w:sz="4" w:space="0"/>
              <w:left w:val="single" w:color="auto" w:sz="4" w:space="0"/>
              <w:bottom w:val="single" w:color="auto" w:sz="4" w:space="0"/>
              <w:right w:val="single" w:color="auto" w:sz="4" w:space="0"/>
            </w:tcBorders>
            <w:noWrap w:val="0"/>
            <w:vAlign w:val="center"/>
          </w:tcPr>
          <w:p w14:paraId="153C4A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施工作业噪音白天＜80分贝 晚上＜65分贝</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70E9E5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未超过预定值</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60E51DC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08798F2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622040F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39AF3ED">
        <w:tblPrEx>
          <w:tblCellMar>
            <w:top w:w="0" w:type="dxa"/>
            <w:left w:w="108" w:type="dxa"/>
            <w:bottom w:w="0" w:type="dxa"/>
            <w:right w:w="108" w:type="dxa"/>
          </w:tblCellMar>
        </w:tblPrEx>
        <w:trPr>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1E539BEA">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restart"/>
            <w:tcBorders>
              <w:top w:val="single" w:color="auto" w:sz="4" w:space="0"/>
              <w:left w:val="single" w:color="auto" w:sz="4" w:space="0"/>
              <w:bottom w:val="single" w:color="auto" w:sz="4" w:space="0"/>
              <w:right w:val="single" w:color="auto" w:sz="4" w:space="0"/>
            </w:tcBorders>
            <w:noWrap w:val="0"/>
            <w:vAlign w:val="center"/>
          </w:tcPr>
          <w:p w14:paraId="61A0685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6BA46E6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p w14:paraId="2D5AC85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0F24B53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944" w:type="dxa"/>
            <w:vMerge w:val="restart"/>
            <w:tcBorders>
              <w:top w:val="single" w:color="auto" w:sz="4" w:space="0"/>
              <w:left w:val="single" w:color="auto" w:sz="4" w:space="0"/>
              <w:bottom w:val="single" w:color="auto" w:sz="4" w:space="0"/>
              <w:right w:val="single" w:color="auto" w:sz="4" w:space="0"/>
            </w:tcBorders>
            <w:noWrap w:val="0"/>
            <w:vAlign w:val="center"/>
          </w:tcPr>
          <w:p w14:paraId="590CE2F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7D6500F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551" w:type="dxa"/>
            <w:tcBorders>
              <w:top w:val="single" w:color="auto" w:sz="4" w:space="0"/>
              <w:left w:val="single" w:color="auto" w:sz="4" w:space="0"/>
              <w:bottom w:val="single" w:color="auto" w:sz="4" w:space="0"/>
              <w:right w:val="single" w:color="auto" w:sz="4" w:space="0"/>
            </w:tcBorders>
            <w:noWrap w:val="0"/>
            <w:vAlign w:val="center"/>
          </w:tcPr>
          <w:p w14:paraId="65EC49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本项目为公益项目，</w:t>
            </w:r>
            <w:r>
              <w:rPr>
                <w:rFonts w:hint="eastAsia" w:ascii="仿宋_GB2312" w:hAnsi="仿宋_GB2312" w:eastAsia="仿宋_GB2312" w:cs="仿宋_GB2312"/>
                <w:color w:val="000000"/>
                <w:sz w:val="20"/>
                <w:szCs w:val="20"/>
                <w:highlight w:val="none"/>
                <w:lang w:val="en-US" w:eastAsia="zh-CN"/>
              </w:rPr>
              <w:t>无直接经济收益。</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19B80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及时养护，减少次生维护成本。</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3C1D09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维护成本得到有效管控</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3B8BDA9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248276A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1B6E190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2969B6C">
        <w:tblPrEx>
          <w:tblCellMar>
            <w:top w:w="0" w:type="dxa"/>
            <w:left w:w="108" w:type="dxa"/>
            <w:bottom w:w="0" w:type="dxa"/>
            <w:right w:w="108" w:type="dxa"/>
          </w:tblCellMar>
        </w:tblPrEx>
        <w:trPr>
          <w:trHeight w:val="855" w:hRule="atLeast"/>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4DBE2ABF">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4C924D5E">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4ED3E48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551" w:type="dxa"/>
            <w:tcBorders>
              <w:top w:val="single" w:color="auto" w:sz="4" w:space="0"/>
              <w:left w:val="single" w:color="auto" w:sz="4" w:space="0"/>
              <w:bottom w:val="single" w:color="auto" w:sz="4" w:space="0"/>
              <w:right w:val="single" w:color="auto" w:sz="4" w:space="0"/>
            </w:tcBorders>
            <w:noWrap w:val="0"/>
            <w:vAlign w:val="center"/>
          </w:tcPr>
          <w:p w14:paraId="4F3673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是否有益于岳阳经济的发展</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C5E1A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auto"/>
                <w:sz w:val="20"/>
                <w:szCs w:val="20"/>
                <w:highlight w:val="none"/>
                <w:lang w:val="en-US" w:eastAsia="zh-CN"/>
              </w:rPr>
              <w:t>助力岳阳经济发展</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17E627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auto"/>
                <w:sz w:val="20"/>
                <w:szCs w:val="20"/>
                <w:highlight w:val="none"/>
                <w:lang w:val="en" w:eastAsia="zh-CN"/>
              </w:rPr>
              <w:t>有效助力岳阳经济发展</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1BCD3DD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068BE4B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7E109CF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AC5C1B8">
        <w:tblPrEx>
          <w:tblCellMar>
            <w:top w:w="0" w:type="dxa"/>
            <w:left w:w="108" w:type="dxa"/>
            <w:bottom w:w="0" w:type="dxa"/>
            <w:right w:w="108" w:type="dxa"/>
          </w:tblCellMar>
        </w:tblPrEx>
        <w:trPr>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44DFBBD0">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0E66048D">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restart"/>
            <w:tcBorders>
              <w:top w:val="single" w:color="auto" w:sz="4" w:space="0"/>
              <w:left w:val="single" w:color="auto" w:sz="4" w:space="0"/>
              <w:bottom w:val="single" w:color="auto" w:sz="4" w:space="0"/>
              <w:right w:val="single" w:color="auto" w:sz="4" w:space="0"/>
            </w:tcBorders>
            <w:noWrap w:val="0"/>
            <w:vAlign w:val="center"/>
          </w:tcPr>
          <w:p w14:paraId="7E33D5E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0D23982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551" w:type="dxa"/>
            <w:tcBorders>
              <w:top w:val="single" w:color="auto" w:sz="4" w:space="0"/>
              <w:left w:val="single" w:color="auto" w:sz="4" w:space="0"/>
              <w:bottom w:val="single" w:color="auto" w:sz="4" w:space="0"/>
              <w:right w:val="single" w:color="auto" w:sz="4" w:space="0"/>
            </w:tcBorders>
            <w:noWrap w:val="0"/>
            <w:vAlign w:val="center"/>
          </w:tcPr>
          <w:p w14:paraId="513C80E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方便市民出行</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722BB1F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改善市民出行环境</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1FB4835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有效改善</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5747A83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1F5DC5D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20D50EF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部分井盖维护及时性有待加强，下一步加强巡查，及时维护处置。</w:t>
            </w:r>
          </w:p>
        </w:tc>
      </w:tr>
      <w:tr w14:paraId="0B5D7089">
        <w:tblPrEx>
          <w:tblCellMar>
            <w:top w:w="0" w:type="dxa"/>
            <w:left w:w="108" w:type="dxa"/>
            <w:bottom w:w="0" w:type="dxa"/>
            <w:right w:w="108" w:type="dxa"/>
          </w:tblCellMar>
        </w:tblPrEx>
        <w:trPr>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2041C63B">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1116E45B">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21E6C08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551" w:type="dxa"/>
            <w:tcBorders>
              <w:top w:val="single" w:color="auto" w:sz="4" w:space="0"/>
              <w:left w:val="single" w:color="auto" w:sz="4" w:space="0"/>
              <w:bottom w:val="single" w:color="auto" w:sz="4" w:space="0"/>
              <w:right w:val="single" w:color="auto" w:sz="4" w:space="0"/>
            </w:tcBorders>
            <w:noWrap w:val="0"/>
            <w:vAlign w:val="center"/>
          </w:tcPr>
          <w:p w14:paraId="5E20E0F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改变城市面貌和提升城市形象</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0F4C2AA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提升城市形象</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711B105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城市形象得到不断提升</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13DA87D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58C1B94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5B3AF3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E2166DF">
        <w:tblPrEx>
          <w:tblCellMar>
            <w:top w:w="0" w:type="dxa"/>
            <w:left w:w="108" w:type="dxa"/>
            <w:bottom w:w="0" w:type="dxa"/>
            <w:right w:w="108" w:type="dxa"/>
          </w:tblCellMar>
        </w:tblPrEx>
        <w:trPr>
          <w:trHeight w:val="705" w:hRule="atLeast"/>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447B8ADB">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40A9329C">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restart"/>
            <w:tcBorders>
              <w:top w:val="single" w:color="auto" w:sz="4" w:space="0"/>
              <w:left w:val="single" w:color="auto" w:sz="4" w:space="0"/>
              <w:bottom w:val="single" w:color="auto" w:sz="4" w:space="0"/>
              <w:right w:val="single" w:color="auto" w:sz="4" w:space="0"/>
            </w:tcBorders>
            <w:noWrap w:val="0"/>
            <w:vAlign w:val="center"/>
          </w:tcPr>
          <w:p w14:paraId="0F9C3FA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2DA47A0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551" w:type="dxa"/>
            <w:tcBorders>
              <w:top w:val="single" w:color="auto" w:sz="4" w:space="0"/>
              <w:left w:val="single" w:color="auto" w:sz="4" w:space="0"/>
              <w:bottom w:val="single" w:color="auto" w:sz="4" w:space="0"/>
              <w:right w:val="single" w:color="auto" w:sz="4" w:space="0"/>
            </w:tcBorders>
            <w:noWrap w:val="0"/>
            <w:vAlign w:val="center"/>
          </w:tcPr>
          <w:p w14:paraId="2E64912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改善城市景观</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07F4DF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城市景观有所改善</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4F7B689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得到有效改善</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653824D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3DCCA31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7879243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95EA97E">
        <w:tblPrEx>
          <w:tblCellMar>
            <w:top w:w="0" w:type="dxa"/>
            <w:left w:w="108" w:type="dxa"/>
            <w:bottom w:w="0" w:type="dxa"/>
            <w:right w:w="108" w:type="dxa"/>
          </w:tblCellMar>
        </w:tblPrEx>
        <w:trPr>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57F9E085">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5294A39B">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004D8985">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551" w:type="dxa"/>
            <w:tcBorders>
              <w:top w:val="single" w:color="auto" w:sz="4" w:space="0"/>
              <w:left w:val="single" w:color="auto" w:sz="4" w:space="0"/>
              <w:bottom w:val="single" w:color="auto" w:sz="4" w:space="0"/>
              <w:right w:val="single" w:color="auto" w:sz="4" w:space="0"/>
            </w:tcBorders>
            <w:noWrap w:val="0"/>
            <w:vAlign w:val="center"/>
          </w:tcPr>
          <w:p w14:paraId="19445CF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及时维护市政道路，有效管控扬尘产生</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34573C5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减少因破损道路产生的扬尘</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778E038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损坏市政道路得到及时维护，减少了扬尘源。</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1F4F0F2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2C300E3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1A1F7DD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2A5E1A4">
        <w:tblPrEx>
          <w:tblCellMar>
            <w:top w:w="0" w:type="dxa"/>
            <w:left w:w="108" w:type="dxa"/>
            <w:bottom w:w="0" w:type="dxa"/>
            <w:right w:w="108" w:type="dxa"/>
          </w:tblCellMar>
        </w:tblPrEx>
        <w:trPr>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04C0D37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05927D3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restart"/>
            <w:tcBorders>
              <w:top w:val="single" w:color="auto" w:sz="4" w:space="0"/>
              <w:left w:val="single" w:color="auto" w:sz="4" w:space="0"/>
              <w:bottom w:val="single" w:color="auto" w:sz="4" w:space="0"/>
              <w:right w:val="single" w:color="auto" w:sz="4" w:space="0"/>
            </w:tcBorders>
            <w:noWrap w:val="0"/>
            <w:vAlign w:val="center"/>
          </w:tcPr>
          <w:p w14:paraId="16BD2CA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551" w:type="dxa"/>
            <w:tcBorders>
              <w:top w:val="single" w:color="auto" w:sz="4" w:space="0"/>
              <w:left w:val="single" w:color="auto" w:sz="4" w:space="0"/>
              <w:bottom w:val="single" w:color="auto" w:sz="4" w:space="0"/>
              <w:right w:val="single" w:color="auto" w:sz="4" w:space="0"/>
            </w:tcBorders>
            <w:noWrap w:val="0"/>
            <w:vAlign w:val="center"/>
          </w:tcPr>
          <w:p w14:paraId="64A23F7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保障市政设施处于良好的使用状态</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89DBF7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及时有效维护市政设施</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52AC943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市政设施的及时维护，延长了使用寿命</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214D674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049EC88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53FEFC4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2558A18">
        <w:tblPrEx>
          <w:tblCellMar>
            <w:top w:w="0" w:type="dxa"/>
            <w:left w:w="108" w:type="dxa"/>
            <w:bottom w:w="0" w:type="dxa"/>
            <w:right w:w="108" w:type="dxa"/>
          </w:tblCellMar>
        </w:tblPrEx>
        <w:trPr>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2782D8F1">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447A2714">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37B2B624">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551" w:type="dxa"/>
            <w:tcBorders>
              <w:top w:val="single" w:color="auto" w:sz="4" w:space="0"/>
              <w:left w:val="single" w:color="auto" w:sz="4" w:space="0"/>
              <w:bottom w:val="single" w:color="auto" w:sz="4" w:space="0"/>
              <w:right w:val="single" w:color="auto" w:sz="4" w:space="0"/>
            </w:tcBorders>
            <w:noWrap w:val="0"/>
            <w:vAlign w:val="center"/>
          </w:tcPr>
          <w:p w14:paraId="3E88CB6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改善城市居住环境</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3F1DE73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有效改善城市居住环境</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4091A9F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居住环境不断提升，增加了市民的幸福感、获得感。</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3CED853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2A5C652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28B1128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E166E81">
        <w:tblPrEx>
          <w:tblCellMar>
            <w:top w:w="0" w:type="dxa"/>
            <w:left w:w="108" w:type="dxa"/>
            <w:bottom w:w="0" w:type="dxa"/>
            <w:right w:w="108" w:type="dxa"/>
          </w:tblCellMar>
        </w:tblPrEx>
        <w:trPr>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5B142ADA">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0BCD0C7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6515628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551" w:type="dxa"/>
            <w:tcBorders>
              <w:top w:val="single" w:color="auto" w:sz="4" w:space="0"/>
              <w:left w:val="single" w:color="auto" w:sz="4" w:space="0"/>
              <w:bottom w:val="single" w:color="auto" w:sz="4" w:space="0"/>
              <w:right w:val="single" w:color="auto" w:sz="4" w:space="0"/>
            </w:tcBorders>
            <w:noWrap w:val="0"/>
            <w:vAlign w:val="center"/>
          </w:tcPr>
          <w:p w14:paraId="3BDC7B6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提升城市整体形象</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30E97DF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改善城市环境，提升城市形象</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4DA8BCA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城市整体形象得到不断提升</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740DE8D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7FD1A15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23BD7E8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少数</w:t>
            </w:r>
            <w:r>
              <w:rPr>
                <w:rFonts w:hint="eastAsia" w:ascii="仿宋_GB2312" w:hAnsi="仿宋_GB2312" w:eastAsia="仿宋_GB2312" w:cs="仿宋_GB2312"/>
                <w:color w:val="000000"/>
                <w:sz w:val="20"/>
                <w:szCs w:val="20"/>
                <w:highlight w:val="none"/>
                <w:lang w:eastAsia="zh-CN"/>
              </w:rPr>
              <w:t>人行道隔离桩损坏导致人行道违停车辆增加，加强巡查及时进行安装处置。</w:t>
            </w:r>
          </w:p>
        </w:tc>
      </w:tr>
      <w:tr w14:paraId="0666188C">
        <w:tblPrEx>
          <w:tblCellMar>
            <w:top w:w="0" w:type="dxa"/>
            <w:left w:w="108" w:type="dxa"/>
            <w:bottom w:w="0" w:type="dxa"/>
            <w:right w:w="108" w:type="dxa"/>
          </w:tblCellMar>
        </w:tblPrEx>
        <w:trPr>
          <w:jc w:val="center"/>
        </w:trPr>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3BEC1694">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06" w:type="dxa"/>
            <w:tcBorders>
              <w:top w:val="single" w:color="auto" w:sz="4" w:space="0"/>
              <w:left w:val="single" w:color="auto" w:sz="4" w:space="0"/>
              <w:bottom w:val="single" w:color="auto" w:sz="4" w:space="0"/>
              <w:right w:val="single" w:color="auto" w:sz="4" w:space="0"/>
            </w:tcBorders>
            <w:noWrap w:val="0"/>
            <w:vAlign w:val="center"/>
          </w:tcPr>
          <w:p w14:paraId="5CB685D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22EDC9C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5CB7739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1E9E393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551" w:type="dxa"/>
            <w:tcBorders>
              <w:top w:val="single" w:color="auto" w:sz="4" w:space="0"/>
              <w:left w:val="single" w:color="auto" w:sz="4" w:space="0"/>
              <w:bottom w:val="single" w:color="auto" w:sz="4" w:space="0"/>
              <w:right w:val="single" w:color="auto" w:sz="4" w:space="0"/>
            </w:tcBorders>
            <w:noWrap w:val="0"/>
            <w:vAlign w:val="center"/>
          </w:tcPr>
          <w:p w14:paraId="5EC0415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市民满意度</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3FAE2D9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满意率达95%</w:t>
            </w:r>
            <w:r>
              <w:rPr>
                <w:rFonts w:hint="eastAsia" w:ascii="仿宋_GB2312" w:hAnsi="仿宋_GB2312" w:eastAsia="仿宋_GB2312" w:cs="仿宋_GB2312"/>
                <w:color w:val="000000"/>
                <w:sz w:val="20"/>
                <w:szCs w:val="20"/>
                <w:highlight w:val="none"/>
                <w:lang w:val="en-US" w:eastAsia="zh-CN"/>
              </w:rPr>
              <w:t>以上</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5BFA843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97%</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17DF1C2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3801D21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7EA3CD0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3412FC5">
        <w:tblPrEx>
          <w:tblCellMar>
            <w:top w:w="0" w:type="dxa"/>
            <w:left w:w="108" w:type="dxa"/>
            <w:bottom w:w="0" w:type="dxa"/>
            <w:right w:w="108" w:type="dxa"/>
          </w:tblCellMar>
        </w:tblPrEx>
        <w:trPr>
          <w:trHeight w:val="672" w:hRule="atLeast"/>
          <w:jc w:val="center"/>
        </w:trPr>
        <w:tc>
          <w:tcPr>
            <w:tcW w:w="7004" w:type="dxa"/>
            <w:gridSpan w:val="6"/>
            <w:tcBorders>
              <w:top w:val="single" w:color="auto" w:sz="4" w:space="0"/>
              <w:left w:val="single" w:color="auto" w:sz="4" w:space="0"/>
              <w:bottom w:val="single" w:color="auto" w:sz="4" w:space="0"/>
              <w:right w:val="single" w:color="auto" w:sz="4" w:space="0"/>
            </w:tcBorders>
            <w:noWrap w:val="0"/>
            <w:vAlign w:val="center"/>
          </w:tcPr>
          <w:p w14:paraId="5CD2D3D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66D9C28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6C71C42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98</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2729036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4ABC934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2"/>
          <w:szCs w:val="22"/>
          <w:highlight w:val="none"/>
        </w:rPr>
      </w:pPr>
    </w:p>
    <w:p w14:paraId="489127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22"/>
          <w:szCs w:val="22"/>
          <w:highlight w:val="none"/>
        </w:rPr>
      </w:pPr>
    </w:p>
    <w:p w14:paraId="000D81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22"/>
          <w:szCs w:val="22"/>
          <w:highlight w:val="none"/>
          <w:lang w:eastAsia="zh-CN"/>
        </w:rPr>
      </w:pPr>
      <w:r>
        <w:rPr>
          <w:rFonts w:hint="eastAsia" w:ascii="仿宋_GB2312" w:hAnsi="仿宋_GB2312" w:eastAsia="仿宋_GB2312" w:cs="仿宋_GB2312"/>
          <w:sz w:val="22"/>
          <w:szCs w:val="22"/>
          <w:highlight w:val="none"/>
        </w:rPr>
        <w:t>填表人：</w:t>
      </w:r>
      <w:r>
        <w:rPr>
          <w:rFonts w:hint="eastAsia" w:ascii="仿宋_GB2312" w:hAnsi="仿宋_GB2312" w:eastAsia="仿宋_GB2312" w:cs="仿宋_GB2312"/>
          <w:color w:val="000000" w:themeColor="text1"/>
          <w:spacing w:val="0"/>
          <w:sz w:val="22"/>
          <w:szCs w:val="22"/>
          <w:lang w:eastAsia="zh-CN"/>
          <w14:textFill>
            <w14:solidFill>
              <w14:schemeClr w14:val="tx1"/>
            </w14:solidFill>
          </w14:textFill>
        </w:rPr>
        <w:t>刘</w:t>
      </w:r>
      <w:r>
        <w:rPr>
          <w:rFonts w:hint="eastAsia" w:ascii="仿宋_GB2312" w:hAnsi="仿宋_GB2312" w:eastAsia="仿宋_GB2312" w:cs="仿宋_GB2312"/>
          <w:color w:val="000000" w:themeColor="text1"/>
          <w:spacing w:val="0"/>
          <w:sz w:val="22"/>
          <w:szCs w:val="2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sz w:val="22"/>
          <w:szCs w:val="22"/>
          <w:lang w:eastAsia="zh-CN"/>
          <w14:textFill>
            <w14:solidFill>
              <w14:schemeClr w14:val="tx1"/>
            </w14:solidFill>
          </w14:textFill>
        </w:rPr>
        <w:t>蓓</w:t>
      </w:r>
      <w:r>
        <w:rPr>
          <w:rFonts w:hint="eastAsia" w:ascii="仿宋_GB2312" w:hAnsi="仿宋_GB2312" w:eastAsia="仿宋_GB2312" w:cs="仿宋_GB2312"/>
          <w:sz w:val="22"/>
          <w:szCs w:val="22"/>
          <w:highlight w:val="none"/>
        </w:rPr>
        <w:t xml:space="preserve">  填报日期：</w:t>
      </w:r>
      <w:r>
        <w:rPr>
          <w:rFonts w:hint="eastAsia" w:ascii="仿宋_GB2312" w:hAnsi="仿宋_GB2312" w:eastAsia="仿宋_GB2312" w:cs="仿宋_GB2312"/>
          <w:sz w:val="22"/>
          <w:szCs w:val="22"/>
          <w:highlight w:val="none"/>
          <w:lang w:val="en-US" w:eastAsia="zh-CN"/>
        </w:rPr>
        <w:t>2026.6.23</w:t>
      </w:r>
      <w:r>
        <w:rPr>
          <w:rFonts w:hint="eastAsia" w:ascii="仿宋_GB2312" w:hAnsi="仿宋_GB2312" w:eastAsia="仿宋_GB2312" w:cs="仿宋_GB2312"/>
          <w:sz w:val="22"/>
          <w:szCs w:val="22"/>
          <w:highlight w:val="none"/>
        </w:rPr>
        <w:t xml:space="preserve">  联系电话：</w:t>
      </w:r>
      <w:r>
        <w:rPr>
          <w:rFonts w:hint="eastAsia" w:ascii="仿宋_GB2312" w:hAnsi="仿宋_GB2312" w:eastAsia="仿宋_GB2312" w:cs="仿宋_GB2312"/>
          <w:sz w:val="22"/>
          <w:szCs w:val="22"/>
          <w:highlight w:val="none"/>
          <w:lang w:val="en-US" w:eastAsia="zh-CN"/>
        </w:rPr>
        <w:t>0730-</w:t>
      </w:r>
      <w:r>
        <w:rPr>
          <w:rFonts w:hint="eastAsia" w:ascii="仿宋_GB2312" w:hAnsi="仿宋_GB2312" w:eastAsia="仿宋_GB2312" w:cs="仿宋_GB2312"/>
          <w:color w:val="000000" w:themeColor="text1"/>
          <w:spacing w:val="0"/>
          <w:sz w:val="22"/>
          <w:szCs w:val="22"/>
          <w:lang w:val="en-US" w:eastAsia="zh-CN"/>
          <w14:textFill>
            <w14:solidFill>
              <w14:schemeClr w14:val="tx1"/>
            </w14:solidFill>
          </w14:textFill>
        </w:rPr>
        <w:t>822281</w:t>
      </w:r>
      <w:r>
        <w:rPr>
          <w:rFonts w:hint="eastAsia" w:ascii="仿宋_GB2312" w:hAnsi="仿宋_GB2312" w:eastAsia="仿宋_GB2312" w:cs="仿宋_GB2312"/>
          <w:sz w:val="22"/>
          <w:szCs w:val="22"/>
          <w:highlight w:val="none"/>
          <w:lang w:val="en-US" w:eastAsia="zh-CN"/>
        </w:rPr>
        <w:t xml:space="preserve">  </w:t>
      </w:r>
      <w:r>
        <w:rPr>
          <w:rFonts w:hint="eastAsia" w:ascii="仿宋_GB2312" w:hAnsi="仿宋_GB2312" w:eastAsia="仿宋_GB2312" w:cs="仿宋_GB2312"/>
          <w:sz w:val="22"/>
          <w:szCs w:val="22"/>
          <w:highlight w:val="none"/>
        </w:rPr>
        <w:t xml:space="preserve"> 单位负责人：</w:t>
      </w:r>
      <w:r>
        <w:rPr>
          <w:rFonts w:hint="eastAsia" w:ascii="仿宋_GB2312" w:hAnsi="仿宋_GB2312" w:eastAsia="仿宋_GB2312" w:cs="仿宋_GB2312"/>
          <w:sz w:val="22"/>
          <w:szCs w:val="22"/>
          <w:highlight w:val="none"/>
          <w:lang w:eastAsia="zh-CN"/>
        </w:rPr>
        <w:t>郑</w:t>
      </w:r>
      <w:r>
        <w:rPr>
          <w:rFonts w:hint="eastAsia" w:ascii="仿宋_GB2312" w:hAnsi="仿宋_GB2312" w:eastAsia="仿宋_GB2312" w:cs="仿宋_GB2312"/>
          <w:sz w:val="22"/>
          <w:szCs w:val="22"/>
          <w:highlight w:val="none"/>
          <w:lang w:val="en-US" w:eastAsia="zh-CN"/>
        </w:rPr>
        <w:t xml:space="preserve"> </w:t>
      </w:r>
      <w:r>
        <w:rPr>
          <w:rFonts w:hint="eastAsia" w:ascii="仿宋_GB2312" w:hAnsi="仿宋_GB2312" w:eastAsia="仿宋_GB2312" w:cs="仿宋_GB2312"/>
          <w:sz w:val="22"/>
          <w:szCs w:val="22"/>
          <w:highlight w:val="none"/>
          <w:lang w:eastAsia="zh-CN"/>
        </w:rPr>
        <w:t>伟</w:t>
      </w:r>
    </w:p>
    <w:p w14:paraId="7F4E18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22"/>
          <w:szCs w:val="22"/>
          <w:highlight w:val="none"/>
        </w:rPr>
      </w:pPr>
    </w:p>
    <w:p w14:paraId="63F245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sz w:val="22"/>
          <w:szCs w:val="22"/>
          <w:highlight w:val="none"/>
        </w:rPr>
      </w:pPr>
    </w:p>
    <w:p w14:paraId="5CA71F1C">
      <w:pPr>
        <w:widowControl/>
        <w:spacing w:line="600" w:lineRule="exact"/>
        <w:jc w:val="left"/>
        <w:rPr>
          <w:rFonts w:hint="eastAsia" w:ascii="黑体" w:hAnsi="黑体" w:eastAsia="黑体" w:cs="黑体"/>
          <w:sz w:val="32"/>
          <w:szCs w:val="32"/>
          <w:highlight w:val="none"/>
        </w:rPr>
      </w:pPr>
    </w:p>
    <w:p w14:paraId="22022D23">
      <w:pPr>
        <w:widowControl/>
        <w:spacing w:line="600" w:lineRule="exact"/>
        <w:jc w:val="left"/>
        <w:rPr>
          <w:rFonts w:hint="eastAsia" w:ascii="黑体" w:hAnsi="黑体" w:eastAsia="黑体" w:cs="黑体"/>
          <w:sz w:val="32"/>
          <w:szCs w:val="32"/>
          <w:highlight w:val="none"/>
        </w:rPr>
      </w:pPr>
    </w:p>
    <w:p w14:paraId="3E8EA2C1">
      <w:pPr>
        <w:widowControl/>
        <w:spacing w:line="600" w:lineRule="exact"/>
        <w:jc w:val="left"/>
        <w:rPr>
          <w:rFonts w:hint="eastAsia" w:ascii="黑体" w:hAnsi="黑体" w:eastAsia="黑体" w:cs="黑体"/>
          <w:sz w:val="32"/>
          <w:szCs w:val="32"/>
          <w:highlight w:val="none"/>
        </w:rPr>
      </w:pPr>
    </w:p>
    <w:p w14:paraId="2F0B5DAD">
      <w:pPr>
        <w:widowControl/>
        <w:spacing w:line="600" w:lineRule="exact"/>
        <w:jc w:val="left"/>
        <w:rPr>
          <w:rFonts w:hint="eastAsia" w:ascii="黑体" w:hAnsi="黑体" w:eastAsia="黑体" w:cs="黑体"/>
          <w:sz w:val="32"/>
          <w:szCs w:val="32"/>
          <w:highlight w:val="none"/>
        </w:rPr>
      </w:pPr>
    </w:p>
    <w:p w14:paraId="1D767F4F">
      <w:pPr>
        <w:widowControl/>
        <w:spacing w:line="600" w:lineRule="exact"/>
        <w:jc w:val="left"/>
        <w:rPr>
          <w:rFonts w:hint="eastAsia" w:ascii="黑体" w:hAnsi="黑体" w:eastAsia="黑体" w:cs="黑体"/>
          <w:sz w:val="32"/>
          <w:szCs w:val="32"/>
          <w:highlight w:val="none"/>
        </w:rPr>
      </w:pPr>
    </w:p>
    <w:p w14:paraId="434EFE5D">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黑体" w:hAnsi="黑体" w:eastAsia="黑体" w:cs="黑体"/>
          <w:sz w:val="32"/>
          <w:szCs w:val="32"/>
          <w:highlight w:val="none"/>
        </w:rPr>
      </w:pPr>
    </w:p>
    <w:p w14:paraId="1529700F">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1-2</w:t>
      </w:r>
    </w:p>
    <w:p w14:paraId="290134BE">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黑体" w:hAnsi="黑体" w:eastAsia="黑体" w:cs="黑体"/>
          <w:sz w:val="21"/>
          <w:szCs w:val="21"/>
          <w:highlight w:val="none"/>
          <w:lang w:val="en-US" w:eastAsia="zh-CN"/>
        </w:rPr>
      </w:pPr>
    </w:p>
    <w:p w14:paraId="53D6A3EC">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p w14:paraId="6E48938F">
      <w:pPr>
        <w:pStyle w:val="2"/>
        <w:rPr>
          <w:rFonts w:hint="eastAsia"/>
          <w:sz w:val="21"/>
          <w:szCs w:val="21"/>
        </w:rPr>
      </w:pPr>
    </w:p>
    <w:tbl>
      <w:tblPr>
        <w:tblStyle w:val="10"/>
        <w:tblW w:w="9851" w:type="dxa"/>
        <w:jc w:val="center"/>
        <w:tblLayout w:type="autofit"/>
        <w:tblCellMar>
          <w:top w:w="0" w:type="dxa"/>
          <w:left w:w="108" w:type="dxa"/>
          <w:bottom w:w="0" w:type="dxa"/>
          <w:right w:w="108" w:type="dxa"/>
        </w:tblCellMar>
      </w:tblPr>
      <w:tblGrid>
        <w:gridCol w:w="1069"/>
        <w:gridCol w:w="1072"/>
        <w:gridCol w:w="1067"/>
        <w:gridCol w:w="1222"/>
        <w:gridCol w:w="1196"/>
        <w:gridCol w:w="1225"/>
        <w:gridCol w:w="674"/>
        <w:gridCol w:w="784"/>
        <w:gridCol w:w="1542"/>
      </w:tblGrid>
      <w:tr w14:paraId="0BA0773B">
        <w:tblPrEx>
          <w:tblCellMar>
            <w:top w:w="0" w:type="dxa"/>
            <w:left w:w="108" w:type="dxa"/>
            <w:bottom w:w="0" w:type="dxa"/>
            <w:right w:w="108" w:type="dxa"/>
          </w:tblCellMar>
        </w:tblPrEx>
        <w:trPr>
          <w:jc w:val="center"/>
        </w:trPr>
        <w:tc>
          <w:tcPr>
            <w:tcW w:w="1069" w:type="dxa"/>
            <w:tcBorders>
              <w:top w:val="single" w:color="auto" w:sz="4" w:space="0"/>
              <w:left w:val="single" w:color="auto" w:sz="4" w:space="0"/>
              <w:bottom w:val="single" w:color="auto" w:sz="4" w:space="0"/>
              <w:right w:val="single" w:color="auto" w:sz="4" w:space="0"/>
            </w:tcBorders>
            <w:noWrap w:val="0"/>
            <w:vAlign w:val="center"/>
          </w:tcPr>
          <w:p w14:paraId="34BF69E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6F1EAF9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82" w:type="dxa"/>
            <w:gridSpan w:val="8"/>
            <w:tcBorders>
              <w:top w:val="single" w:color="auto" w:sz="4" w:space="0"/>
              <w:left w:val="single" w:color="auto" w:sz="4" w:space="0"/>
              <w:bottom w:val="single" w:color="auto" w:sz="4" w:space="0"/>
              <w:right w:val="single" w:color="auto" w:sz="4" w:space="0"/>
            </w:tcBorders>
            <w:noWrap w:val="0"/>
            <w:vAlign w:val="center"/>
          </w:tcPr>
          <w:p w14:paraId="0E14837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highlight w:val="none"/>
              </w:rPr>
              <w:t>泵站运行费及电费</w:t>
            </w:r>
            <w:r>
              <w:rPr>
                <w:rFonts w:hint="eastAsia" w:ascii="仿宋_GB2312" w:hAnsi="仿宋_GB2312" w:eastAsia="仿宋_GB2312" w:cs="仿宋_GB2312"/>
                <w:color w:val="000000"/>
                <w:sz w:val="20"/>
                <w:szCs w:val="20"/>
                <w:highlight w:val="none"/>
                <w:lang w:val="en-US" w:eastAsia="zh-CN"/>
              </w:rPr>
              <w:t>(含</w:t>
            </w:r>
            <w:r>
              <w:rPr>
                <w:rFonts w:hint="eastAsia" w:ascii="仿宋_GB2312" w:hAnsi="仿宋_GB2312" w:eastAsia="仿宋_GB2312" w:cs="仿宋_GB2312"/>
                <w:sz w:val="20"/>
                <w:szCs w:val="20"/>
                <w:highlight w:val="none"/>
              </w:rPr>
              <w:t>城东南路泵站</w:t>
            </w:r>
            <w:r>
              <w:rPr>
                <w:rFonts w:hint="eastAsia" w:ascii="仿宋_GB2312" w:hAnsi="仿宋_GB2312" w:eastAsia="仿宋_GB2312" w:cs="仿宋_GB2312"/>
                <w:color w:val="000000"/>
                <w:sz w:val="20"/>
                <w:szCs w:val="20"/>
                <w:highlight w:val="none"/>
                <w:lang w:val="en-US" w:eastAsia="zh-CN"/>
              </w:rPr>
              <w:t>）</w:t>
            </w:r>
          </w:p>
        </w:tc>
      </w:tr>
      <w:tr w14:paraId="62FAD77D">
        <w:tblPrEx>
          <w:tblCellMar>
            <w:top w:w="0" w:type="dxa"/>
            <w:left w:w="108" w:type="dxa"/>
            <w:bottom w:w="0" w:type="dxa"/>
            <w:right w:w="108" w:type="dxa"/>
          </w:tblCellMar>
        </w:tblPrEx>
        <w:trPr>
          <w:trHeight w:val="370" w:hRule="atLeast"/>
          <w:jc w:val="center"/>
        </w:trPr>
        <w:tc>
          <w:tcPr>
            <w:tcW w:w="1069" w:type="dxa"/>
            <w:tcBorders>
              <w:top w:val="single" w:color="auto" w:sz="4" w:space="0"/>
              <w:left w:val="single" w:color="auto" w:sz="4" w:space="0"/>
              <w:bottom w:val="single" w:color="auto" w:sz="4" w:space="0"/>
              <w:right w:val="single" w:color="auto" w:sz="4" w:space="0"/>
            </w:tcBorders>
            <w:noWrap w:val="0"/>
            <w:vAlign w:val="center"/>
          </w:tcPr>
          <w:p w14:paraId="2A879E5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57" w:type="dxa"/>
            <w:gridSpan w:val="4"/>
            <w:tcBorders>
              <w:top w:val="single" w:color="auto" w:sz="4" w:space="0"/>
              <w:left w:val="single" w:color="auto" w:sz="4" w:space="0"/>
              <w:bottom w:val="single" w:color="auto" w:sz="4" w:space="0"/>
              <w:right w:val="single" w:color="auto" w:sz="4" w:space="0"/>
            </w:tcBorders>
            <w:noWrap w:val="0"/>
            <w:vAlign w:val="center"/>
          </w:tcPr>
          <w:p w14:paraId="4213A79F">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lang w:eastAsia="zh-CN"/>
                <w14:textFill>
                  <w14:solidFill>
                    <w14:schemeClr w14:val="tx1"/>
                  </w14:solidFill>
                </w14:textFill>
              </w:rPr>
              <w:t>岳阳市城市管理和综合执法局</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187E9ECD">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14:textFill>
                  <w14:solidFill>
                    <w14:schemeClr w14:val="tx1"/>
                  </w14:solidFill>
                </w14:textFill>
              </w:rPr>
              <w:t>实施单位</w:t>
            </w:r>
          </w:p>
        </w:tc>
        <w:tc>
          <w:tcPr>
            <w:tcW w:w="3000" w:type="dxa"/>
            <w:gridSpan w:val="3"/>
            <w:tcBorders>
              <w:top w:val="single" w:color="auto" w:sz="4" w:space="0"/>
              <w:left w:val="single" w:color="auto" w:sz="4" w:space="0"/>
              <w:bottom w:val="single" w:color="auto" w:sz="4" w:space="0"/>
              <w:right w:val="single" w:color="auto" w:sz="4" w:space="0"/>
            </w:tcBorders>
            <w:noWrap w:val="0"/>
            <w:vAlign w:val="center"/>
          </w:tcPr>
          <w:p w14:paraId="4BA227B2">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lang w:eastAsia="zh-CN"/>
                <w14:textFill>
                  <w14:solidFill>
                    <w14:schemeClr w14:val="tx1"/>
                  </w14:solidFill>
                </w14:textFill>
              </w:rPr>
              <w:t>岳阳市市政维护管理中心</w:t>
            </w:r>
          </w:p>
        </w:tc>
      </w:tr>
      <w:tr w14:paraId="608CE2E7">
        <w:tblPrEx>
          <w:tblCellMar>
            <w:top w:w="0" w:type="dxa"/>
            <w:left w:w="108" w:type="dxa"/>
            <w:bottom w:w="0" w:type="dxa"/>
            <w:right w:w="108" w:type="dxa"/>
          </w:tblCellMar>
        </w:tblPrEx>
        <w:trPr>
          <w:jc w:val="center"/>
        </w:trPr>
        <w:tc>
          <w:tcPr>
            <w:tcW w:w="1069" w:type="dxa"/>
            <w:vMerge w:val="restart"/>
            <w:tcBorders>
              <w:top w:val="single" w:color="auto" w:sz="4" w:space="0"/>
              <w:left w:val="single" w:color="auto" w:sz="4" w:space="0"/>
              <w:bottom w:val="single" w:color="auto" w:sz="4" w:space="0"/>
              <w:right w:val="single" w:color="auto" w:sz="4" w:space="0"/>
            </w:tcBorders>
            <w:noWrap w:val="0"/>
            <w:vAlign w:val="center"/>
          </w:tcPr>
          <w:p w14:paraId="564167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39" w:type="dxa"/>
            <w:gridSpan w:val="2"/>
            <w:tcBorders>
              <w:top w:val="single" w:color="auto" w:sz="4" w:space="0"/>
              <w:left w:val="single" w:color="auto" w:sz="4" w:space="0"/>
              <w:bottom w:val="single" w:color="auto" w:sz="4" w:space="0"/>
              <w:right w:val="single" w:color="auto" w:sz="4" w:space="0"/>
            </w:tcBorders>
            <w:noWrap w:val="0"/>
            <w:vAlign w:val="center"/>
          </w:tcPr>
          <w:p w14:paraId="2E9C28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2" w:type="dxa"/>
            <w:tcBorders>
              <w:top w:val="single" w:color="auto" w:sz="4" w:space="0"/>
              <w:left w:val="single" w:color="auto" w:sz="4" w:space="0"/>
              <w:bottom w:val="single" w:color="auto" w:sz="4" w:space="0"/>
              <w:right w:val="single" w:color="auto" w:sz="4" w:space="0"/>
            </w:tcBorders>
            <w:noWrap w:val="0"/>
            <w:vAlign w:val="center"/>
          </w:tcPr>
          <w:p w14:paraId="0EB896A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2519B2F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7489CE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3EF4072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521D4FA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55CBAFA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332DBA2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508DB4F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2EE8280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4A40139B">
        <w:tblPrEx>
          <w:tblCellMar>
            <w:top w:w="0" w:type="dxa"/>
            <w:left w:w="108" w:type="dxa"/>
            <w:bottom w:w="0" w:type="dxa"/>
            <w:right w:w="108" w:type="dxa"/>
          </w:tblCellMar>
        </w:tblPrEx>
        <w:trPr>
          <w:trHeight w:val="382" w:hRule="atLeast"/>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0597F98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2139" w:type="dxa"/>
            <w:gridSpan w:val="2"/>
            <w:tcBorders>
              <w:top w:val="single" w:color="auto" w:sz="4" w:space="0"/>
              <w:left w:val="single" w:color="auto" w:sz="4" w:space="0"/>
              <w:bottom w:val="single" w:color="auto" w:sz="4" w:space="0"/>
              <w:right w:val="single" w:color="auto" w:sz="4" w:space="0"/>
            </w:tcBorders>
            <w:noWrap w:val="0"/>
            <w:vAlign w:val="center"/>
          </w:tcPr>
          <w:p w14:paraId="0623174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22" w:type="dxa"/>
            <w:tcBorders>
              <w:top w:val="single" w:color="auto" w:sz="4" w:space="0"/>
              <w:left w:val="single" w:color="auto" w:sz="4" w:space="0"/>
              <w:bottom w:val="single" w:color="auto" w:sz="4" w:space="0"/>
              <w:right w:val="single" w:color="auto" w:sz="4" w:space="0"/>
            </w:tcBorders>
            <w:noWrap w:val="0"/>
            <w:vAlign w:val="center"/>
          </w:tcPr>
          <w:p w14:paraId="74F6AEE6">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default" w:ascii="仿宋_GB2312" w:hAnsi="仿宋_GB2312" w:eastAsia="仿宋_GB2312" w:cs="仿宋_GB2312"/>
                <w:color w:val="FF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1240.00</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2ECDDE5D">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1240.00</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3102BE04">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1240.00</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2383BD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10</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3924E04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344C84F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r>
      <w:tr w14:paraId="292BA755">
        <w:tblPrEx>
          <w:tblCellMar>
            <w:top w:w="0" w:type="dxa"/>
            <w:left w:w="108" w:type="dxa"/>
            <w:bottom w:w="0" w:type="dxa"/>
            <w:right w:w="108" w:type="dxa"/>
          </w:tblCellMar>
        </w:tblPrEx>
        <w:trPr>
          <w:trHeight w:val="379" w:hRule="atLeast"/>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67C8087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2139" w:type="dxa"/>
            <w:gridSpan w:val="2"/>
            <w:tcBorders>
              <w:top w:val="single" w:color="auto" w:sz="4" w:space="0"/>
              <w:left w:val="single" w:color="auto" w:sz="4" w:space="0"/>
              <w:bottom w:val="single" w:color="auto" w:sz="4" w:space="0"/>
              <w:right w:val="single" w:color="auto" w:sz="4" w:space="0"/>
            </w:tcBorders>
            <w:noWrap w:val="0"/>
            <w:vAlign w:val="center"/>
          </w:tcPr>
          <w:p w14:paraId="748A92F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22" w:type="dxa"/>
            <w:tcBorders>
              <w:top w:val="single" w:color="auto" w:sz="4" w:space="0"/>
              <w:left w:val="single" w:color="auto" w:sz="4" w:space="0"/>
              <w:bottom w:val="single" w:color="auto" w:sz="4" w:space="0"/>
              <w:right w:val="single" w:color="auto" w:sz="4" w:space="0"/>
            </w:tcBorders>
            <w:noWrap w:val="0"/>
            <w:vAlign w:val="center"/>
          </w:tcPr>
          <w:p w14:paraId="1C083F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FF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1240.00</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6168E2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1240.00</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4568F65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1240.00</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4F2A369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076BD30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2541B3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DDE0506">
        <w:tblPrEx>
          <w:tblCellMar>
            <w:top w:w="0" w:type="dxa"/>
            <w:left w:w="108" w:type="dxa"/>
            <w:bottom w:w="0" w:type="dxa"/>
            <w:right w:w="108" w:type="dxa"/>
          </w:tblCellMar>
        </w:tblPrEx>
        <w:trPr>
          <w:trHeight w:val="320" w:hRule="atLeast"/>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5397DFA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2139" w:type="dxa"/>
            <w:gridSpan w:val="2"/>
            <w:tcBorders>
              <w:top w:val="single" w:color="auto" w:sz="4" w:space="0"/>
              <w:left w:val="single" w:color="auto" w:sz="4" w:space="0"/>
              <w:bottom w:val="single" w:color="auto" w:sz="4" w:space="0"/>
              <w:right w:val="single" w:color="auto" w:sz="4" w:space="0"/>
            </w:tcBorders>
            <w:noWrap w:val="0"/>
            <w:vAlign w:val="center"/>
          </w:tcPr>
          <w:p w14:paraId="6FE795AF">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22" w:type="dxa"/>
            <w:tcBorders>
              <w:top w:val="single" w:color="auto" w:sz="4" w:space="0"/>
              <w:left w:val="single" w:color="auto" w:sz="4" w:space="0"/>
              <w:bottom w:val="single" w:color="auto" w:sz="4" w:space="0"/>
              <w:right w:val="single" w:color="auto" w:sz="4" w:space="0"/>
            </w:tcBorders>
            <w:noWrap w:val="0"/>
            <w:vAlign w:val="center"/>
          </w:tcPr>
          <w:p w14:paraId="65458D4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p>
        </w:tc>
        <w:tc>
          <w:tcPr>
            <w:tcW w:w="1196" w:type="dxa"/>
            <w:tcBorders>
              <w:top w:val="single" w:color="auto" w:sz="4" w:space="0"/>
              <w:left w:val="single" w:color="auto" w:sz="4" w:space="0"/>
              <w:bottom w:val="single" w:color="auto" w:sz="4" w:space="0"/>
              <w:right w:val="single" w:color="auto" w:sz="4" w:space="0"/>
            </w:tcBorders>
            <w:noWrap w:val="0"/>
            <w:vAlign w:val="center"/>
          </w:tcPr>
          <w:p w14:paraId="2B526D4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p>
        </w:tc>
        <w:tc>
          <w:tcPr>
            <w:tcW w:w="1225" w:type="dxa"/>
            <w:tcBorders>
              <w:top w:val="single" w:color="auto" w:sz="4" w:space="0"/>
              <w:left w:val="single" w:color="auto" w:sz="4" w:space="0"/>
              <w:bottom w:val="single" w:color="auto" w:sz="4" w:space="0"/>
              <w:right w:val="single" w:color="auto" w:sz="4" w:space="0"/>
            </w:tcBorders>
            <w:noWrap w:val="0"/>
            <w:vAlign w:val="center"/>
          </w:tcPr>
          <w:p w14:paraId="4512893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p>
        </w:tc>
        <w:tc>
          <w:tcPr>
            <w:tcW w:w="674" w:type="dxa"/>
            <w:tcBorders>
              <w:top w:val="single" w:color="auto" w:sz="4" w:space="0"/>
              <w:left w:val="single" w:color="auto" w:sz="4" w:space="0"/>
              <w:bottom w:val="single" w:color="auto" w:sz="4" w:space="0"/>
              <w:right w:val="single" w:color="auto" w:sz="4" w:space="0"/>
            </w:tcBorders>
            <w:noWrap w:val="0"/>
            <w:vAlign w:val="center"/>
          </w:tcPr>
          <w:p w14:paraId="3F4BC2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2C42E6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41BE58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E4F28A3">
        <w:tblPrEx>
          <w:tblCellMar>
            <w:top w:w="0" w:type="dxa"/>
            <w:left w:w="108" w:type="dxa"/>
            <w:bottom w:w="0" w:type="dxa"/>
            <w:right w:w="108" w:type="dxa"/>
          </w:tblCellMar>
        </w:tblPrEx>
        <w:trPr>
          <w:trHeight w:val="320" w:hRule="atLeast"/>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0FDDAC0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2139" w:type="dxa"/>
            <w:gridSpan w:val="2"/>
            <w:tcBorders>
              <w:top w:val="single" w:color="auto" w:sz="4" w:space="0"/>
              <w:left w:val="single" w:color="auto" w:sz="4" w:space="0"/>
              <w:bottom w:val="single" w:color="auto" w:sz="4" w:space="0"/>
              <w:right w:val="single" w:color="auto" w:sz="4" w:space="0"/>
            </w:tcBorders>
            <w:noWrap w:val="0"/>
            <w:vAlign w:val="center"/>
          </w:tcPr>
          <w:p w14:paraId="12AB7FF9">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22" w:type="dxa"/>
            <w:tcBorders>
              <w:top w:val="single" w:color="auto" w:sz="4" w:space="0"/>
              <w:left w:val="single" w:color="auto" w:sz="4" w:space="0"/>
              <w:bottom w:val="single" w:color="auto" w:sz="4" w:space="0"/>
              <w:right w:val="single" w:color="auto" w:sz="4" w:space="0"/>
            </w:tcBorders>
            <w:noWrap w:val="0"/>
            <w:vAlign w:val="center"/>
          </w:tcPr>
          <w:p w14:paraId="39C634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2863458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193E47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23B68C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63A5E39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286958A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52B119E">
        <w:tblPrEx>
          <w:tblCellMar>
            <w:top w:w="0" w:type="dxa"/>
            <w:left w:w="108" w:type="dxa"/>
            <w:bottom w:w="0" w:type="dxa"/>
            <w:right w:w="108" w:type="dxa"/>
          </w:tblCellMar>
        </w:tblPrEx>
        <w:trPr>
          <w:trHeight w:val="380" w:hRule="atLeast"/>
          <w:jc w:val="center"/>
        </w:trPr>
        <w:tc>
          <w:tcPr>
            <w:tcW w:w="1069" w:type="dxa"/>
            <w:vMerge w:val="restart"/>
            <w:tcBorders>
              <w:top w:val="single" w:color="auto" w:sz="4" w:space="0"/>
              <w:left w:val="single" w:color="auto" w:sz="4" w:space="0"/>
              <w:bottom w:val="single" w:color="auto" w:sz="4" w:space="0"/>
              <w:right w:val="single" w:color="auto" w:sz="4" w:space="0"/>
            </w:tcBorders>
            <w:noWrap w:val="0"/>
            <w:vAlign w:val="center"/>
          </w:tcPr>
          <w:p w14:paraId="656A468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57" w:type="dxa"/>
            <w:gridSpan w:val="4"/>
            <w:tcBorders>
              <w:top w:val="single" w:color="auto" w:sz="4" w:space="0"/>
              <w:left w:val="single" w:color="auto" w:sz="4" w:space="0"/>
              <w:bottom w:val="single" w:color="auto" w:sz="4" w:space="0"/>
              <w:right w:val="single" w:color="auto" w:sz="4" w:space="0"/>
            </w:tcBorders>
            <w:noWrap w:val="0"/>
            <w:vAlign w:val="center"/>
          </w:tcPr>
          <w:p w14:paraId="3702AE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25" w:type="dxa"/>
            <w:gridSpan w:val="4"/>
            <w:tcBorders>
              <w:top w:val="single" w:color="auto" w:sz="4" w:space="0"/>
              <w:left w:val="single" w:color="auto" w:sz="4" w:space="0"/>
              <w:bottom w:val="single" w:color="auto" w:sz="4" w:space="0"/>
              <w:right w:val="single" w:color="auto" w:sz="4" w:space="0"/>
            </w:tcBorders>
            <w:noWrap w:val="0"/>
            <w:vAlign w:val="center"/>
          </w:tcPr>
          <w:p w14:paraId="7866941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096FD369">
        <w:tblPrEx>
          <w:tblCellMar>
            <w:top w:w="0" w:type="dxa"/>
            <w:left w:w="108" w:type="dxa"/>
            <w:bottom w:w="0" w:type="dxa"/>
            <w:right w:w="108" w:type="dxa"/>
          </w:tblCellMar>
        </w:tblPrEx>
        <w:trPr>
          <w:trHeight w:val="1520" w:hRule="atLeast"/>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22564F0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557" w:type="dxa"/>
            <w:gridSpan w:val="4"/>
            <w:tcBorders>
              <w:top w:val="single" w:color="auto" w:sz="4" w:space="0"/>
              <w:left w:val="single" w:color="auto" w:sz="4" w:space="0"/>
              <w:bottom w:val="single" w:color="auto" w:sz="4" w:space="0"/>
              <w:right w:val="single" w:color="auto" w:sz="4" w:space="0"/>
            </w:tcBorders>
            <w:noWrap w:val="0"/>
            <w:vAlign w:val="center"/>
          </w:tcPr>
          <w:p w14:paraId="68221145">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auto"/>
                <w:spacing w:val="0"/>
                <w:sz w:val="20"/>
                <w:szCs w:val="20"/>
                <w:lang w:val="en-US" w:eastAsia="zh-CN"/>
              </w:rPr>
              <w:t>完成21座泵站和1座调蓄池的清淤、清漂、打捞垃圾及运输处置；完成机械设备设施的日常小型零配件维修；完成泵站附属设施、闸门、闸阀及庭院的维护；完成泵站专用变压器的检测、维修；确保泵站和调蓄池的正常运行，确保污水24小时抽排。</w:t>
            </w:r>
            <w:r>
              <w:rPr>
                <w:rFonts w:hint="eastAsia" w:ascii="仿宋_GB2312" w:hAnsi="仿宋_GB2312" w:eastAsia="仿宋_GB2312" w:cs="仿宋_GB2312"/>
                <w:color w:val="000000"/>
                <w:sz w:val="20"/>
                <w:szCs w:val="20"/>
                <w:highlight w:val="none"/>
              </w:rPr>
              <w:t>　　</w:t>
            </w:r>
          </w:p>
        </w:tc>
        <w:tc>
          <w:tcPr>
            <w:tcW w:w="4225" w:type="dxa"/>
            <w:gridSpan w:val="4"/>
            <w:tcBorders>
              <w:top w:val="single" w:color="auto" w:sz="4" w:space="0"/>
              <w:left w:val="single" w:color="auto" w:sz="4" w:space="0"/>
              <w:bottom w:val="single" w:color="auto" w:sz="4" w:space="0"/>
              <w:right w:val="single" w:color="auto" w:sz="4" w:space="0"/>
            </w:tcBorders>
            <w:noWrap w:val="0"/>
            <w:vAlign w:val="center"/>
          </w:tcPr>
          <w:p w14:paraId="5F91E5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auto"/>
                <w:spacing w:val="0"/>
                <w:sz w:val="20"/>
                <w:szCs w:val="20"/>
                <w:lang w:val="en-US" w:eastAsia="zh-CN"/>
              </w:rPr>
              <w:t>2025年，对</w:t>
            </w:r>
            <w:r>
              <w:rPr>
                <w:rFonts w:hint="eastAsia" w:ascii="仿宋_GB2312" w:hAnsi="仿宋_GB2312" w:eastAsia="仿宋_GB2312" w:cs="仿宋_GB2312"/>
                <w:color w:val="auto"/>
                <w:sz w:val="20"/>
                <w:szCs w:val="20"/>
                <w:highlight w:val="none"/>
                <w:lang w:val="en-US" w:eastAsia="zh-CN"/>
              </w:rPr>
              <w:t>21座</w:t>
            </w:r>
            <w:r>
              <w:rPr>
                <w:rFonts w:hint="eastAsia" w:ascii="仿宋_GB2312" w:hAnsi="仿宋_GB2312" w:eastAsia="仿宋_GB2312" w:cs="仿宋_GB2312"/>
                <w:color w:val="auto"/>
                <w:sz w:val="20"/>
                <w:szCs w:val="20"/>
                <w:highlight w:val="none"/>
              </w:rPr>
              <w:t>泵站</w:t>
            </w:r>
            <w:r>
              <w:rPr>
                <w:rFonts w:hint="eastAsia" w:ascii="仿宋_GB2312" w:hAnsi="仿宋_GB2312" w:eastAsia="仿宋_GB2312" w:cs="仿宋_GB2312"/>
                <w:color w:val="auto"/>
                <w:sz w:val="20"/>
                <w:szCs w:val="20"/>
                <w:highlight w:val="none"/>
                <w:lang w:eastAsia="zh-CN"/>
              </w:rPr>
              <w:t>和</w:t>
            </w:r>
            <w:r>
              <w:rPr>
                <w:rFonts w:hint="eastAsia" w:ascii="仿宋_GB2312" w:hAnsi="仿宋_GB2312" w:eastAsia="仿宋_GB2312" w:cs="仿宋_GB2312"/>
                <w:color w:val="auto"/>
                <w:sz w:val="20"/>
                <w:szCs w:val="20"/>
                <w:highlight w:val="none"/>
                <w:lang w:val="en-US" w:eastAsia="zh-CN"/>
              </w:rPr>
              <w:t>1座调蓄池</w:t>
            </w:r>
            <w:r>
              <w:rPr>
                <w:rFonts w:hint="eastAsia" w:ascii="仿宋_GB2312" w:hAnsi="仿宋_GB2312" w:eastAsia="仿宋_GB2312" w:cs="仿宋_GB2312"/>
                <w:color w:val="auto"/>
                <w:sz w:val="20"/>
                <w:szCs w:val="20"/>
                <w:highlight w:val="none"/>
                <w:lang w:eastAsia="zh-CN"/>
              </w:rPr>
              <w:t>及时进行了维护保养，以及</w:t>
            </w:r>
            <w:r>
              <w:rPr>
                <w:rFonts w:hint="eastAsia" w:ascii="仿宋_GB2312" w:hAnsi="仿宋_GB2312" w:eastAsia="仿宋_GB2312" w:cs="仿宋_GB2312"/>
                <w:color w:val="auto"/>
                <w:spacing w:val="0"/>
                <w:sz w:val="20"/>
                <w:szCs w:val="20"/>
                <w:lang w:val="en-US" w:eastAsia="zh-CN"/>
              </w:rPr>
              <w:t>清淤、清漂、打捞垃圾及运输处置，</w:t>
            </w:r>
            <w:r>
              <w:rPr>
                <w:rFonts w:hint="eastAsia" w:ascii="仿宋_GB2312" w:hAnsi="仿宋_GB2312" w:eastAsia="仿宋_GB2312" w:cs="仿宋_GB2312"/>
                <w:color w:val="auto"/>
                <w:sz w:val="20"/>
                <w:szCs w:val="20"/>
                <w:highlight w:val="none"/>
                <w:lang w:eastAsia="zh-CN"/>
              </w:rPr>
              <w:t>保障其</w:t>
            </w:r>
            <w:r>
              <w:rPr>
                <w:rFonts w:hint="eastAsia" w:ascii="仿宋_GB2312" w:hAnsi="仿宋_GB2312" w:eastAsia="仿宋_GB2312" w:cs="仿宋_GB2312"/>
                <w:color w:val="auto"/>
                <w:sz w:val="20"/>
                <w:szCs w:val="20"/>
                <w:highlight w:val="none"/>
                <w:lang w:val="en-US" w:eastAsia="zh-CN"/>
              </w:rPr>
              <w:t>24小时处于良好状态，圆满</w:t>
            </w:r>
            <w:r>
              <w:rPr>
                <w:rFonts w:hint="eastAsia" w:ascii="仿宋_GB2312" w:hAnsi="仿宋_GB2312" w:eastAsia="仿宋_GB2312" w:cs="仿宋_GB2312"/>
                <w:color w:val="auto"/>
                <w:spacing w:val="0"/>
                <w:sz w:val="20"/>
                <w:szCs w:val="20"/>
                <w:lang w:val="en-US" w:eastAsia="zh-CN"/>
              </w:rPr>
              <w:t>完成了预期目标任务。</w:t>
            </w:r>
          </w:p>
        </w:tc>
      </w:tr>
      <w:tr w14:paraId="4B104B05">
        <w:tblPrEx>
          <w:tblCellMar>
            <w:top w:w="0" w:type="dxa"/>
            <w:left w:w="108" w:type="dxa"/>
            <w:bottom w:w="0" w:type="dxa"/>
            <w:right w:w="108" w:type="dxa"/>
          </w:tblCellMar>
        </w:tblPrEx>
        <w:trPr>
          <w:jc w:val="center"/>
        </w:trPr>
        <w:tc>
          <w:tcPr>
            <w:tcW w:w="1069" w:type="dxa"/>
            <w:vMerge w:val="restart"/>
            <w:tcBorders>
              <w:top w:val="single" w:color="auto" w:sz="4" w:space="0"/>
              <w:left w:val="single" w:color="auto" w:sz="4" w:space="0"/>
              <w:bottom w:val="single" w:color="auto" w:sz="4" w:space="0"/>
              <w:right w:val="single" w:color="auto" w:sz="4" w:space="0"/>
            </w:tcBorders>
            <w:noWrap w:val="0"/>
            <w:vAlign w:val="center"/>
          </w:tcPr>
          <w:p w14:paraId="7CAA8D6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47B25B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1812BB8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6862EA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25A99E2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0BC8B6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22" w:type="dxa"/>
            <w:tcBorders>
              <w:top w:val="single" w:color="auto" w:sz="4" w:space="0"/>
              <w:left w:val="single" w:color="auto" w:sz="4" w:space="0"/>
              <w:bottom w:val="single" w:color="auto" w:sz="4" w:space="0"/>
              <w:right w:val="single" w:color="auto" w:sz="4" w:space="0"/>
            </w:tcBorders>
            <w:noWrap w:val="0"/>
            <w:vAlign w:val="center"/>
          </w:tcPr>
          <w:p w14:paraId="77DAC7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19D0062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67C0FF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1FAD42C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7F129D5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63AD949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33A569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3AF44435">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4F740F86">
        <w:tblPrEx>
          <w:tblCellMar>
            <w:top w:w="0" w:type="dxa"/>
            <w:left w:w="108" w:type="dxa"/>
            <w:bottom w:w="0" w:type="dxa"/>
            <w:right w:w="108" w:type="dxa"/>
          </w:tblCellMar>
        </w:tblPrEx>
        <w:trPr>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6069290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72" w:type="dxa"/>
            <w:vMerge w:val="restart"/>
            <w:tcBorders>
              <w:top w:val="single" w:color="auto" w:sz="4" w:space="0"/>
              <w:left w:val="single" w:color="auto" w:sz="4" w:space="0"/>
              <w:bottom w:val="single" w:color="auto" w:sz="4" w:space="0"/>
              <w:right w:val="single" w:color="auto" w:sz="4" w:space="0"/>
            </w:tcBorders>
            <w:noWrap w:val="0"/>
            <w:vAlign w:val="center"/>
          </w:tcPr>
          <w:p w14:paraId="3DB5D43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0D35EF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p w14:paraId="48934BC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67" w:type="dxa"/>
            <w:vMerge w:val="restart"/>
            <w:tcBorders>
              <w:top w:val="single" w:color="auto" w:sz="4" w:space="0"/>
              <w:left w:val="single" w:color="auto" w:sz="4" w:space="0"/>
              <w:bottom w:val="single" w:color="auto" w:sz="4" w:space="0"/>
              <w:right w:val="single" w:color="auto" w:sz="4" w:space="0"/>
            </w:tcBorders>
            <w:noWrap w:val="0"/>
            <w:vAlign w:val="center"/>
          </w:tcPr>
          <w:p w14:paraId="43993F3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22" w:type="dxa"/>
            <w:tcBorders>
              <w:top w:val="single" w:color="auto" w:sz="4" w:space="0"/>
              <w:left w:val="single" w:color="auto" w:sz="4" w:space="0"/>
              <w:bottom w:val="single" w:color="auto" w:sz="4" w:space="0"/>
              <w:right w:val="single" w:color="auto" w:sz="4" w:space="0"/>
            </w:tcBorders>
            <w:noWrap w:val="0"/>
            <w:vAlign w:val="center"/>
          </w:tcPr>
          <w:p w14:paraId="2DA604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themeColor="text1"/>
                <w:spacing w:val="0"/>
                <w:sz w:val="20"/>
                <w:szCs w:val="20"/>
                <w:lang w:eastAsia="zh-CN"/>
                <w14:textFill>
                  <w14:solidFill>
                    <w14:schemeClr w14:val="tx1"/>
                  </w14:solidFill>
                </w14:textFill>
              </w:rPr>
              <w:t>泵站运行维护数</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298A75A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21座</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72A608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21座</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08B0EF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109C433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3BE22DD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A6DE7C2">
        <w:tblPrEx>
          <w:tblCellMar>
            <w:top w:w="0" w:type="dxa"/>
            <w:left w:w="108" w:type="dxa"/>
            <w:bottom w:w="0" w:type="dxa"/>
            <w:right w:w="108" w:type="dxa"/>
          </w:tblCellMar>
        </w:tblPrEx>
        <w:trPr>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0996461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72" w:type="dxa"/>
            <w:vMerge w:val="continue"/>
            <w:tcBorders>
              <w:top w:val="single" w:color="auto" w:sz="4" w:space="0"/>
              <w:left w:val="single" w:color="auto" w:sz="4" w:space="0"/>
              <w:bottom w:val="single" w:color="auto" w:sz="4" w:space="0"/>
              <w:right w:val="single" w:color="auto" w:sz="4" w:space="0"/>
            </w:tcBorders>
            <w:noWrap w:val="0"/>
            <w:vAlign w:val="center"/>
          </w:tcPr>
          <w:p w14:paraId="361A13D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7" w:type="dxa"/>
            <w:vMerge w:val="continue"/>
            <w:tcBorders>
              <w:top w:val="single" w:color="auto" w:sz="4" w:space="0"/>
              <w:left w:val="single" w:color="auto" w:sz="4" w:space="0"/>
              <w:bottom w:val="single" w:color="auto" w:sz="4" w:space="0"/>
              <w:right w:val="single" w:color="auto" w:sz="4" w:space="0"/>
            </w:tcBorders>
            <w:noWrap w:val="0"/>
            <w:vAlign w:val="center"/>
          </w:tcPr>
          <w:p w14:paraId="2E7913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6B7709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auto"/>
                <w:sz w:val="20"/>
                <w:szCs w:val="20"/>
                <w:lang w:eastAsia="zh-CN"/>
              </w:rPr>
              <w:t>泵站除臭除虫消毒</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312162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auto"/>
                <w:spacing w:val="0"/>
                <w:sz w:val="20"/>
                <w:szCs w:val="20"/>
                <w:lang w:val="en-US" w:eastAsia="zh-CN"/>
              </w:rPr>
              <w:t>212次/年</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30FFE1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auto"/>
                <w:spacing w:val="0"/>
                <w:sz w:val="20"/>
                <w:szCs w:val="20"/>
                <w:lang w:val="en-US" w:eastAsia="zh-CN"/>
              </w:rPr>
              <w:t>212次/年</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7B09997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0E206C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524E735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夏天</w:t>
            </w:r>
            <w:r>
              <w:rPr>
                <w:rFonts w:hint="eastAsia" w:ascii="仿宋_GB2312" w:hAnsi="仿宋_GB2312" w:eastAsia="仿宋_GB2312" w:cs="仿宋_GB2312"/>
                <w:color w:val="auto"/>
                <w:sz w:val="20"/>
                <w:szCs w:val="20"/>
                <w:lang w:eastAsia="zh-CN"/>
              </w:rPr>
              <w:t>泵站除臭还有待加强，下一步加强管理，及时进行有效处置。</w:t>
            </w:r>
          </w:p>
        </w:tc>
      </w:tr>
      <w:tr w14:paraId="109D3A86">
        <w:tblPrEx>
          <w:tblCellMar>
            <w:top w:w="0" w:type="dxa"/>
            <w:left w:w="108" w:type="dxa"/>
            <w:bottom w:w="0" w:type="dxa"/>
            <w:right w:w="108" w:type="dxa"/>
          </w:tblCellMar>
        </w:tblPrEx>
        <w:trPr>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025ED19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72" w:type="dxa"/>
            <w:vMerge w:val="continue"/>
            <w:tcBorders>
              <w:top w:val="single" w:color="auto" w:sz="4" w:space="0"/>
              <w:left w:val="single" w:color="auto" w:sz="4" w:space="0"/>
              <w:bottom w:val="single" w:color="auto" w:sz="4" w:space="0"/>
              <w:right w:val="single" w:color="auto" w:sz="4" w:space="0"/>
            </w:tcBorders>
            <w:noWrap w:val="0"/>
            <w:vAlign w:val="center"/>
          </w:tcPr>
          <w:p w14:paraId="5A8BA3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7" w:type="dxa"/>
            <w:vMerge w:val="continue"/>
            <w:tcBorders>
              <w:top w:val="single" w:color="auto" w:sz="4" w:space="0"/>
              <w:left w:val="single" w:color="auto" w:sz="4" w:space="0"/>
              <w:bottom w:val="single" w:color="auto" w:sz="4" w:space="0"/>
              <w:right w:val="single" w:color="auto" w:sz="4" w:space="0"/>
            </w:tcBorders>
            <w:noWrap w:val="0"/>
            <w:vAlign w:val="center"/>
          </w:tcPr>
          <w:p w14:paraId="284E01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584A036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auto"/>
                <w:sz w:val="20"/>
                <w:szCs w:val="20"/>
                <w:lang w:eastAsia="zh-CN"/>
              </w:rPr>
              <w:t>泵站设备设施定期维护维修</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21473E2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auto"/>
                <w:spacing w:val="0"/>
                <w:sz w:val="20"/>
                <w:szCs w:val="20"/>
                <w:lang w:val="en-US" w:eastAsia="zh-CN"/>
              </w:rPr>
              <w:t>312次</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5853445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auto"/>
                <w:spacing w:val="0"/>
                <w:sz w:val="20"/>
                <w:szCs w:val="20"/>
                <w:lang w:val="en-US" w:eastAsia="zh-CN"/>
              </w:rPr>
              <w:t>312次</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6DBE6DA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2FA753A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46AAF4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5D2B2063">
        <w:tblPrEx>
          <w:tblCellMar>
            <w:top w:w="0" w:type="dxa"/>
            <w:left w:w="108" w:type="dxa"/>
            <w:bottom w:w="0" w:type="dxa"/>
            <w:right w:w="108" w:type="dxa"/>
          </w:tblCellMar>
        </w:tblPrEx>
        <w:trPr>
          <w:trHeight w:val="625" w:hRule="atLeast"/>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7849CAA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72" w:type="dxa"/>
            <w:vMerge w:val="continue"/>
            <w:tcBorders>
              <w:top w:val="single" w:color="auto" w:sz="4" w:space="0"/>
              <w:left w:val="single" w:color="auto" w:sz="4" w:space="0"/>
              <w:bottom w:val="single" w:color="auto" w:sz="4" w:space="0"/>
              <w:right w:val="single" w:color="auto" w:sz="4" w:space="0"/>
            </w:tcBorders>
            <w:noWrap w:val="0"/>
            <w:vAlign w:val="center"/>
          </w:tcPr>
          <w:p w14:paraId="72DA549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7" w:type="dxa"/>
            <w:vMerge w:val="continue"/>
            <w:tcBorders>
              <w:top w:val="single" w:color="auto" w:sz="4" w:space="0"/>
              <w:left w:val="single" w:color="auto" w:sz="4" w:space="0"/>
              <w:bottom w:val="single" w:color="auto" w:sz="4" w:space="0"/>
              <w:right w:val="single" w:color="auto" w:sz="4" w:space="0"/>
            </w:tcBorders>
            <w:noWrap w:val="0"/>
            <w:vAlign w:val="center"/>
          </w:tcPr>
          <w:p w14:paraId="4FAFEAB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20369F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泵站运行维护人力数</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4F9D38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themeColor="text1"/>
                <w:spacing w:val="0"/>
                <w:sz w:val="20"/>
                <w:szCs w:val="20"/>
                <w:lang w:val="en-US" w:eastAsia="zh-CN"/>
                <w14:textFill>
                  <w14:solidFill>
                    <w14:schemeClr w14:val="tx1"/>
                  </w14:solidFill>
                </w14:textFill>
              </w:rPr>
              <w:t>55人</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3FB47D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themeColor="text1"/>
                <w:spacing w:val="0"/>
                <w:sz w:val="20"/>
                <w:szCs w:val="20"/>
                <w:lang w:val="en-US" w:eastAsia="zh-CN"/>
                <w14:textFill>
                  <w14:solidFill>
                    <w14:schemeClr w14:val="tx1"/>
                  </w14:solidFill>
                </w14:textFill>
              </w:rPr>
              <w:t>55人</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241AB32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4C3E6A7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215B30E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3065A41A">
        <w:tblPrEx>
          <w:tblCellMar>
            <w:top w:w="0" w:type="dxa"/>
            <w:left w:w="108" w:type="dxa"/>
            <w:bottom w:w="0" w:type="dxa"/>
            <w:right w:w="108" w:type="dxa"/>
          </w:tblCellMar>
        </w:tblPrEx>
        <w:trPr>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4AA305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72" w:type="dxa"/>
            <w:vMerge w:val="continue"/>
            <w:tcBorders>
              <w:top w:val="single" w:color="auto" w:sz="4" w:space="0"/>
              <w:left w:val="single" w:color="auto" w:sz="4" w:space="0"/>
              <w:bottom w:val="single" w:color="auto" w:sz="4" w:space="0"/>
              <w:right w:val="single" w:color="auto" w:sz="4" w:space="0"/>
            </w:tcBorders>
            <w:noWrap w:val="0"/>
            <w:vAlign w:val="center"/>
          </w:tcPr>
          <w:p w14:paraId="591A30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7" w:type="dxa"/>
            <w:vMerge w:val="continue"/>
            <w:tcBorders>
              <w:top w:val="single" w:color="auto" w:sz="4" w:space="0"/>
              <w:left w:val="single" w:color="auto" w:sz="4" w:space="0"/>
              <w:bottom w:val="single" w:color="auto" w:sz="4" w:space="0"/>
              <w:right w:val="single" w:color="auto" w:sz="4" w:space="0"/>
            </w:tcBorders>
            <w:noWrap w:val="0"/>
            <w:vAlign w:val="center"/>
          </w:tcPr>
          <w:p w14:paraId="3CF885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7552BC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泵站运行年度电费</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5FF1CAF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themeColor="text1"/>
                <w:spacing w:val="0"/>
                <w:sz w:val="20"/>
                <w:szCs w:val="20"/>
                <w:lang w:val="en-US" w:eastAsia="zh-CN"/>
                <w14:textFill>
                  <w14:solidFill>
                    <w14:schemeClr w14:val="tx1"/>
                  </w14:solidFill>
                </w14:textFill>
              </w:rPr>
              <w:t>控制在预算之内，确保泵站不断电</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3652DF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themeColor="text1"/>
                <w:spacing w:val="0"/>
                <w:sz w:val="20"/>
                <w:szCs w:val="20"/>
                <w:lang w:val="en-US" w:eastAsia="zh-CN"/>
                <w14:textFill>
                  <w14:solidFill>
                    <w14:schemeClr w14:val="tx1"/>
                  </w14:solidFill>
                </w14:textFill>
              </w:rPr>
              <w:t>控制在预算之内，确保泵站不断电</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67381B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7AFB7C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2E1057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749A4FAB">
        <w:tblPrEx>
          <w:tblCellMar>
            <w:top w:w="0" w:type="dxa"/>
            <w:left w:w="108" w:type="dxa"/>
            <w:bottom w:w="0" w:type="dxa"/>
            <w:right w:w="108" w:type="dxa"/>
          </w:tblCellMar>
        </w:tblPrEx>
        <w:trPr>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6D2173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72" w:type="dxa"/>
            <w:vMerge w:val="continue"/>
            <w:tcBorders>
              <w:top w:val="single" w:color="auto" w:sz="4" w:space="0"/>
              <w:left w:val="single" w:color="auto" w:sz="4" w:space="0"/>
              <w:bottom w:val="single" w:color="auto" w:sz="4" w:space="0"/>
              <w:right w:val="single" w:color="auto" w:sz="4" w:space="0"/>
            </w:tcBorders>
            <w:noWrap w:val="0"/>
            <w:vAlign w:val="center"/>
          </w:tcPr>
          <w:p w14:paraId="4A1EF6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7" w:type="dxa"/>
            <w:vMerge w:val="continue"/>
            <w:tcBorders>
              <w:top w:val="single" w:color="auto" w:sz="4" w:space="0"/>
              <w:left w:val="single" w:color="auto" w:sz="4" w:space="0"/>
              <w:bottom w:val="single" w:color="auto" w:sz="4" w:space="0"/>
              <w:right w:val="single" w:color="auto" w:sz="4" w:space="0"/>
            </w:tcBorders>
            <w:noWrap w:val="0"/>
            <w:vAlign w:val="center"/>
          </w:tcPr>
          <w:p w14:paraId="5CEB2C4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7F9D07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泵站、调蓄池清淤、清漂、打捞垃圾及运输处置</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5D24E92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清淤</w:t>
            </w: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2-4次/月</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122F658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清淤</w:t>
            </w: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4次/月</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2226EDE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567DC69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653D9A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3DFEE0B3">
        <w:tblPrEx>
          <w:tblCellMar>
            <w:top w:w="0" w:type="dxa"/>
            <w:left w:w="108" w:type="dxa"/>
            <w:bottom w:w="0" w:type="dxa"/>
            <w:right w:w="108" w:type="dxa"/>
          </w:tblCellMar>
        </w:tblPrEx>
        <w:trPr>
          <w:trHeight w:val="575" w:hRule="atLeast"/>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7DB41BD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72" w:type="dxa"/>
            <w:vMerge w:val="continue"/>
            <w:tcBorders>
              <w:top w:val="single" w:color="auto" w:sz="4" w:space="0"/>
              <w:left w:val="single" w:color="auto" w:sz="4" w:space="0"/>
              <w:bottom w:val="single" w:color="auto" w:sz="4" w:space="0"/>
              <w:right w:val="single" w:color="auto" w:sz="4" w:space="0"/>
            </w:tcBorders>
            <w:noWrap w:val="0"/>
            <w:vAlign w:val="center"/>
          </w:tcPr>
          <w:p w14:paraId="46061EC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7" w:type="dxa"/>
            <w:vMerge w:val="restart"/>
            <w:tcBorders>
              <w:top w:val="single" w:color="auto" w:sz="4" w:space="0"/>
              <w:left w:val="single" w:color="auto" w:sz="4" w:space="0"/>
              <w:bottom w:val="single" w:color="auto" w:sz="4" w:space="0"/>
              <w:right w:val="single" w:color="auto" w:sz="4" w:space="0"/>
            </w:tcBorders>
            <w:noWrap w:val="0"/>
            <w:vAlign w:val="center"/>
          </w:tcPr>
          <w:p w14:paraId="2D5571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质量指标</w:t>
            </w:r>
          </w:p>
        </w:tc>
        <w:tc>
          <w:tcPr>
            <w:tcW w:w="1222" w:type="dxa"/>
            <w:tcBorders>
              <w:top w:val="single" w:color="auto" w:sz="4" w:space="0"/>
              <w:left w:val="single" w:color="auto" w:sz="4" w:space="0"/>
              <w:bottom w:val="single" w:color="auto" w:sz="4" w:space="0"/>
              <w:right w:val="single" w:color="auto" w:sz="4" w:space="0"/>
            </w:tcBorders>
            <w:noWrap w:val="0"/>
            <w:vAlign w:val="center"/>
          </w:tcPr>
          <w:p w14:paraId="4A45AC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spacing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污水抽排效果</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68852A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符合相关管理要求</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4A4F23D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合格</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72F741D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3</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6E1EA52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155B75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1B171FBD">
        <w:tblPrEx>
          <w:tblCellMar>
            <w:top w:w="0" w:type="dxa"/>
            <w:left w:w="108" w:type="dxa"/>
            <w:bottom w:w="0" w:type="dxa"/>
            <w:right w:w="108" w:type="dxa"/>
          </w:tblCellMar>
        </w:tblPrEx>
        <w:trPr>
          <w:trHeight w:val="614" w:hRule="atLeast"/>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46A736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72" w:type="dxa"/>
            <w:vMerge w:val="continue"/>
            <w:tcBorders>
              <w:top w:val="single" w:color="auto" w:sz="4" w:space="0"/>
              <w:left w:val="single" w:color="auto" w:sz="4" w:space="0"/>
              <w:bottom w:val="single" w:color="auto" w:sz="4" w:space="0"/>
              <w:right w:val="single" w:color="auto" w:sz="4" w:space="0"/>
            </w:tcBorders>
            <w:noWrap w:val="0"/>
            <w:vAlign w:val="center"/>
          </w:tcPr>
          <w:p w14:paraId="609199E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7" w:type="dxa"/>
            <w:vMerge w:val="continue"/>
            <w:tcBorders>
              <w:top w:val="single" w:color="auto" w:sz="4" w:space="0"/>
              <w:left w:val="single" w:color="auto" w:sz="4" w:space="0"/>
              <w:bottom w:val="single" w:color="auto" w:sz="4" w:space="0"/>
              <w:right w:val="single" w:color="auto" w:sz="4" w:space="0"/>
            </w:tcBorders>
            <w:noWrap w:val="0"/>
            <w:vAlign w:val="center"/>
          </w:tcPr>
          <w:p w14:paraId="4A09DF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2D63669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spacing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泵站污水抽排量</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18DC70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auto"/>
                <w:spacing w:val="0"/>
                <w:sz w:val="20"/>
                <w:szCs w:val="20"/>
                <w:lang w:eastAsia="zh-CN"/>
              </w:rPr>
              <w:t>及时抽排</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5F6CFED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auto"/>
                <w:spacing w:val="0"/>
                <w:sz w:val="20"/>
                <w:szCs w:val="20"/>
                <w:lang w:eastAsia="zh-CN"/>
              </w:rPr>
              <w:t>全部及时抽排</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3EA2D812">
            <w:pPr>
              <w:keepNext w:val="0"/>
              <w:keepLines w:val="0"/>
              <w:pageBreakBefore w:val="0"/>
              <w:widowControl/>
              <w:kinsoku/>
              <w:wordWrap/>
              <w:overflowPunct/>
              <w:topLinePunct w:val="0"/>
              <w:autoSpaceDE/>
              <w:autoSpaceDN/>
              <w:bidi w:val="0"/>
              <w:adjustRightInd/>
              <w:snapToGrid/>
              <w:spacing w:line="240" w:lineRule="exact"/>
              <w:ind w:firstLine="200" w:firstLineChars="1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3</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1AC615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2992B2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24408A17">
        <w:tblPrEx>
          <w:tblCellMar>
            <w:top w:w="0" w:type="dxa"/>
            <w:left w:w="108" w:type="dxa"/>
            <w:bottom w:w="0" w:type="dxa"/>
            <w:right w:w="108" w:type="dxa"/>
          </w:tblCellMar>
        </w:tblPrEx>
        <w:trPr>
          <w:trHeight w:val="926" w:hRule="atLeast"/>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2DA5597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72" w:type="dxa"/>
            <w:vMerge w:val="continue"/>
            <w:tcBorders>
              <w:top w:val="single" w:color="auto" w:sz="4" w:space="0"/>
              <w:left w:val="single" w:color="auto" w:sz="4" w:space="0"/>
              <w:bottom w:val="single" w:color="auto" w:sz="4" w:space="0"/>
              <w:right w:val="single" w:color="auto" w:sz="4" w:space="0"/>
            </w:tcBorders>
            <w:noWrap w:val="0"/>
            <w:vAlign w:val="center"/>
          </w:tcPr>
          <w:p w14:paraId="4F60F1C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7" w:type="dxa"/>
            <w:vMerge w:val="continue"/>
            <w:tcBorders>
              <w:top w:val="single" w:color="auto" w:sz="4" w:space="0"/>
              <w:left w:val="single" w:color="auto" w:sz="4" w:space="0"/>
              <w:bottom w:val="single" w:color="auto" w:sz="4" w:space="0"/>
              <w:right w:val="single" w:color="auto" w:sz="4" w:space="0"/>
            </w:tcBorders>
            <w:noWrap w:val="0"/>
            <w:vAlign w:val="center"/>
          </w:tcPr>
          <w:p w14:paraId="140737F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17A3E0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spacing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泵站及调蓄池清污清漂标准</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3A803CA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themeColor="text1"/>
                <w:spacing w:val="0"/>
                <w:sz w:val="20"/>
                <w:szCs w:val="20"/>
                <w:lang w:val="en-US" w:eastAsia="zh-CN"/>
                <w14:textFill>
                  <w14:solidFill>
                    <w14:schemeClr w14:val="tx1"/>
                  </w14:solidFill>
                </w14:textFill>
              </w:rPr>
              <w:t>符合环保要求</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4AF3C9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themeColor="text1"/>
                <w:spacing w:val="0"/>
                <w:sz w:val="20"/>
                <w:szCs w:val="20"/>
                <w:lang w:val="en-US" w:eastAsia="zh-CN"/>
                <w14:textFill>
                  <w14:solidFill>
                    <w14:schemeClr w14:val="tx1"/>
                  </w14:solidFill>
                </w14:textFill>
              </w:rPr>
              <w:t>均符合环保要求</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4B53773F">
            <w:pPr>
              <w:keepNext w:val="0"/>
              <w:keepLines w:val="0"/>
              <w:pageBreakBefore w:val="0"/>
              <w:widowControl/>
              <w:kinsoku/>
              <w:wordWrap/>
              <w:overflowPunct/>
              <w:topLinePunct w:val="0"/>
              <w:autoSpaceDE/>
              <w:autoSpaceDN/>
              <w:bidi w:val="0"/>
              <w:adjustRightInd/>
              <w:snapToGrid/>
              <w:spacing w:line="240" w:lineRule="exact"/>
              <w:ind w:firstLine="200" w:firstLineChars="100"/>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1E198013">
            <w:pPr>
              <w:keepNext w:val="0"/>
              <w:keepLines w:val="0"/>
              <w:pageBreakBefore w:val="0"/>
              <w:widowControl/>
              <w:kinsoku/>
              <w:wordWrap/>
              <w:overflowPunct/>
              <w:topLinePunct w:val="0"/>
              <w:autoSpaceDE/>
              <w:autoSpaceDN/>
              <w:bidi w:val="0"/>
              <w:adjustRightInd/>
              <w:snapToGrid/>
              <w:spacing w:line="240" w:lineRule="exact"/>
              <w:ind w:firstLine="200" w:firstLineChars="100"/>
              <w:jc w:val="both"/>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572FDBE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442F767B">
        <w:tblPrEx>
          <w:tblCellMar>
            <w:top w:w="0" w:type="dxa"/>
            <w:left w:w="108" w:type="dxa"/>
            <w:bottom w:w="0" w:type="dxa"/>
            <w:right w:w="108" w:type="dxa"/>
          </w:tblCellMar>
        </w:tblPrEx>
        <w:trPr>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0B0339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72" w:type="dxa"/>
            <w:vMerge w:val="continue"/>
            <w:tcBorders>
              <w:top w:val="single" w:color="auto" w:sz="4" w:space="0"/>
              <w:left w:val="single" w:color="auto" w:sz="4" w:space="0"/>
              <w:bottom w:val="single" w:color="auto" w:sz="4" w:space="0"/>
              <w:right w:val="single" w:color="auto" w:sz="4" w:space="0"/>
            </w:tcBorders>
            <w:noWrap w:val="0"/>
            <w:vAlign w:val="center"/>
          </w:tcPr>
          <w:p w14:paraId="7DA4B60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7" w:type="dxa"/>
            <w:vMerge w:val="continue"/>
            <w:tcBorders>
              <w:top w:val="single" w:color="auto" w:sz="4" w:space="0"/>
              <w:left w:val="single" w:color="auto" w:sz="4" w:space="0"/>
              <w:bottom w:val="single" w:color="auto" w:sz="4" w:space="0"/>
              <w:right w:val="single" w:color="auto" w:sz="4" w:space="0"/>
            </w:tcBorders>
            <w:noWrap w:val="0"/>
            <w:vAlign w:val="center"/>
          </w:tcPr>
          <w:p w14:paraId="2709494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20E5192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泵站设施设备完好率</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6485B1B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4AB3F0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5F5476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03BA0A3D">
            <w:pPr>
              <w:keepNext w:val="0"/>
              <w:keepLines w:val="0"/>
              <w:pageBreakBefore w:val="0"/>
              <w:widowControl/>
              <w:kinsoku/>
              <w:wordWrap/>
              <w:overflowPunct/>
              <w:topLinePunct w:val="0"/>
              <w:autoSpaceDE/>
              <w:autoSpaceDN/>
              <w:bidi w:val="0"/>
              <w:adjustRightInd/>
              <w:snapToGrid/>
              <w:spacing w:line="240" w:lineRule="exact"/>
              <w:ind w:firstLine="200" w:firstLineChars="100"/>
              <w:jc w:val="both"/>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2406EEC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2B3BC520">
        <w:tblPrEx>
          <w:tblCellMar>
            <w:top w:w="0" w:type="dxa"/>
            <w:left w:w="108" w:type="dxa"/>
            <w:bottom w:w="0" w:type="dxa"/>
            <w:right w:w="108" w:type="dxa"/>
          </w:tblCellMar>
        </w:tblPrEx>
        <w:trPr>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5E81EC7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72" w:type="dxa"/>
            <w:vMerge w:val="continue"/>
            <w:tcBorders>
              <w:top w:val="single" w:color="auto" w:sz="4" w:space="0"/>
              <w:left w:val="single" w:color="auto" w:sz="4" w:space="0"/>
              <w:bottom w:val="single" w:color="auto" w:sz="4" w:space="0"/>
              <w:right w:val="single" w:color="auto" w:sz="4" w:space="0"/>
            </w:tcBorders>
            <w:noWrap w:val="0"/>
            <w:vAlign w:val="center"/>
          </w:tcPr>
          <w:p w14:paraId="038375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7" w:type="dxa"/>
            <w:vMerge w:val="continue"/>
            <w:tcBorders>
              <w:top w:val="single" w:color="auto" w:sz="4" w:space="0"/>
              <w:left w:val="single" w:color="auto" w:sz="4" w:space="0"/>
              <w:bottom w:val="single" w:color="auto" w:sz="4" w:space="0"/>
              <w:right w:val="single" w:color="auto" w:sz="4" w:space="0"/>
            </w:tcBorders>
            <w:noWrap w:val="0"/>
            <w:vAlign w:val="center"/>
          </w:tcPr>
          <w:p w14:paraId="43E1956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37631D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spacing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生活污水抽排输送率</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2C0993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4B84474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5AFB0E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068B356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44A809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3552ACD6">
        <w:tblPrEx>
          <w:tblCellMar>
            <w:top w:w="0" w:type="dxa"/>
            <w:left w:w="108" w:type="dxa"/>
            <w:bottom w:w="0" w:type="dxa"/>
            <w:right w:w="108" w:type="dxa"/>
          </w:tblCellMar>
        </w:tblPrEx>
        <w:trPr>
          <w:trHeight w:val="575" w:hRule="atLeast"/>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74EA98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72" w:type="dxa"/>
            <w:vMerge w:val="continue"/>
            <w:tcBorders>
              <w:top w:val="single" w:color="auto" w:sz="4" w:space="0"/>
              <w:left w:val="single" w:color="auto" w:sz="4" w:space="0"/>
              <w:bottom w:val="single" w:color="auto" w:sz="4" w:space="0"/>
              <w:right w:val="single" w:color="auto" w:sz="4" w:space="0"/>
            </w:tcBorders>
            <w:noWrap w:val="0"/>
            <w:vAlign w:val="center"/>
          </w:tcPr>
          <w:p w14:paraId="12071D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7" w:type="dxa"/>
            <w:vMerge w:val="restart"/>
            <w:tcBorders>
              <w:top w:val="single" w:color="auto" w:sz="4" w:space="0"/>
              <w:left w:val="single" w:color="auto" w:sz="4" w:space="0"/>
              <w:bottom w:val="single" w:color="auto" w:sz="4" w:space="0"/>
              <w:right w:val="single" w:color="auto" w:sz="4" w:space="0"/>
            </w:tcBorders>
            <w:noWrap w:val="0"/>
            <w:vAlign w:val="center"/>
          </w:tcPr>
          <w:p w14:paraId="7607FB3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22" w:type="dxa"/>
            <w:tcBorders>
              <w:top w:val="single" w:color="auto" w:sz="4" w:space="0"/>
              <w:left w:val="single" w:color="auto" w:sz="4" w:space="0"/>
              <w:bottom w:val="single" w:color="auto" w:sz="4" w:space="0"/>
              <w:right w:val="single" w:color="auto" w:sz="4" w:space="0"/>
            </w:tcBorders>
            <w:noWrap w:val="0"/>
            <w:vAlign w:val="center"/>
          </w:tcPr>
          <w:p w14:paraId="0094B5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themeColor="text1"/>
                <w:spacing w:val="0"/>
                <w:sz w:val="20"/>
                <w:szCs w:val="20"/>
                <w:lang w:eastAsia="zh-CN"/>
                <w14:textFill>
                  <w14:solidFill>
                    <w14:schemeClr w14:val="tx1"/>
                  </w14:solidFill>
                </w14:textFill>
              </w:rPr>
              <w:t>目标任务完成时间</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5C753F5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2025年12月31日</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153C780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均如期完成</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435ECE7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7B956B2D">
            <w:pPr>
              <w:keepNext w:val="0"/>
              <w:keepLines w:val="0"/>
              <w:pageBreakBefore w:val="0"/>
              <w:widowControl/>
              <w:kinsoku/>
              <w:wordWrap/>
              <w:overflowPunct/>
              <w:topLinePunct w:val="0"/>
              <w:autoSpaceDE/>
              <w:autoSpaceDN/>
              <w:bidi w:val="0"/>
              <w:adjustRightInd/>
              <w:snapToGrid/>
              <w:spacing w:line="240" w:lineRule="exact"/>
              <w:ind w:firstLine="200" w:firstLineChars="1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076C41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40D8E62">
        <w:tblPrEx>
          <w:tblCellMar>
            <w:top w:w="0" w:type="dxa"/>
            <w:left w:w="108" w:type="dxa"/>
            <w:bottom w:w="0" w:type="dxa"/>
            <w:right w:w="108" w:type="dxa"/>
          </w:tblCellMar>
        </w:tblPrEx>
        <w:trPr>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6411B6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72" w:type="dxa"/>
            <w:vMerge w:val="continue"/>
            <w:tcBorders>
              <w:top w:val="single" w:color="auto" w:sz="4" w:space="0"/>
              <w:left w:val="single" w:color="auto" w:sz="4" w:space="0"/>
              <w:bottom w:val="single" w:color="auto" w:sz="4" w:space="0"/>
              <w:right w:val="single" w:color="auto" w:sz="4" w:space="0"/>
            </w:tcBorders>
            <w:noWrap w:val="0"/>
            <w:vAlign w:val="center"/>
          </w:tcPr>
          <w:p w14:paraId="1C78493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7" w:type="dxa"/>
            <w:vMerge w:val="continue"/>
            <w:tcBorders>
              <w:top w:val="single" w:color="auto" w:sz="4" w:space="0"/>
              <w:left w:val="single" w:color="auto" w:sz="4" w:space="0"/>
              <w:bottom w:val="single" w:color="auto" w:sz="4" w:space="0"/>
              <w:right w:val="single" w:color="auto" w:sz="4" w:space="0"/>
            </w:tcBorders>
            <w:noWrap w:val="0"/>
            <w:vAlign w:val="center"/>
          </w:tcPr>
          <w:p w14:paraId="7966A1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2932AF4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泵站设施设备维护及时性</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0D722F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及时进行有效维护</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65C5BCA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均及时进行了维护</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232993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2C38C54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0537DA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4D24CB6">
        <w:tblPrEx>
          <w:tblCellMar>
            <w:top w:w="0" w:type="dxa"/>
            <w:left w:w="108" w:type="dxa"/>
            <w:bottom w:w="0" w:type="dxa"/>
            <w:right w:w="108" w:type="dxa"/>
          </w:tblCellMar>
        </w:tblPrEx>
        <w:trPr>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3DE88B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72" w:type="dxa"/>
            <w:vMerge w:val="continue"/>
            <w:tcBorders>
              <w:top w:val="single" w:color="auto" w:sz="4" w:space="0"/>
              <w:left w:val="single" w:color="auto" w:sz="4" w:space="0"/>
              <w:bottom w:val="single" w:color="auto" w:sz="4" w:space="0"/>
              <w:right w:val="single" w:color="auto" w:sz="4" w:space="0"/>
            </w:tcBorders>
            <w:noWrap w:val="0"/>
            <w:vAlign w:val="center"/>
          </w:tcPr>
          <w:p w14:paraId="09F517E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7" w:type="dxa"/>
            <w:vMerge w:val="restart"/>
            <w:tcBorders>
              <w:top w:val="single" w:color="auto" w:sz="4" w:space="0"/>
              <w:left w:val="single" w:color="auto" w:sz="4" w:space="0"/>
              <w:bottom w:val="single" w:color="auto" w:sz="4" w:space="0"/>
              <w:right w:val="single" w:color="auto" w:sz="4" w:space="0"/>
            </w:tcBorders>
            <w:noWrap w:val="0"/>
            <w:vAlign w:val="center"/>
          </w:tcPr>
          <w:p w14:paraId="047C49B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22" w:type="dxa"/>
            <w:tcBorders>
              <w:top w:val="single" w:color="auto" w:sz="4" w:space="0"/>
              <w:left w:val="single" w:color="auto" w:sz="4" w:space="0"/>
              <w:bottom w:val="single" w:color="auto" w:sz="4" w:space="0"/>
              <w:right w:val="single" w:color="auto" w:sz="4" w:space="0"/>
            </w:tcBorders>
            <w:noWrap w:val="0"/>
            <w:vAlign w:val="center"/>
          </w:tcPr>
          <w:p w14:paraId="3A5644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themeColor="text1"/>
                <w:spacing w:val="0"/>
                <w:sz w:val="20"/>
                <w:szCs w:val="20"/>
                <w:lang w:eastAsia="zh-CN"/>
                <w14:textFill>
                  <w14:solidFill>
                    <w14:schemeClr w14:val="tx1"/>
                  </w14:solidFill>
                </w14:textFill>
              </w:rPr>
              <w:t>实现目标任务所需经费</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439FB5B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FF0000"/>
                <w:sz w:val="20"/>
                <w:szCs w:val="20"/>
                <w:highlight w:val="none"/>
                <w:lang w:val="en-US" w:eastAsia="zh-CN"/>
              </w:rPr>
            </w:pPr>
            <w:r>
              <w:rPr>
                <w:rFonts w:hint="eastAsia" w:ascii="仿宋_GB2312" w:hAnsi="仿宋_GB2312" w:eastAsia="仿宋_GB2312" w:cs="仿宋_GB2312"/>
                <w:color w:val="auto"/>
                <w:sz w:val="20"/>
                <w:szCs w:val="20"/>
                <w:highlight w:val="none"/>
                <w:lang w:eastAsia="zh-CN"/>
              </w:rPr>
              <w:t>控制在预算金额</w:t>
            </w:r>
            <w:r>
              <w:rPr>
                <w:rFonts w:hint="eastAsia" w:ascii="仿宋_GB2312" w:hAnsi="仿宋_GB2312" w:eastAsia="仿宋_GB2312" w:cs="仿宋_GB2312"/>
                <w:color w:val="auto"/>
                <w:sz w:val="20"/>
                <w:szCs w:val="20"/>
                <w:highlight w:val="none"/>
                <w:lang w:val="en-US" w:eastAsia="zh-CN"/>
              </w:rPr>
              <w:t>1240万元内</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59B16A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实际支出</w:t>
            </w:r>
            <w:r>
              <w:rPr>
                <w:rFonts w:hint="eastAsia" w:ascii="仿宋_GB2312" w:hAnsi="仿宋_GB2312" w:eastAsia="仿宋_GB2312" w:cs="仿宋_GB2312"/>
                <w:color w:val="000000"/>
                <w:sz w:val="20"/>
                <w:szCs w:val="20"/>
                <w:highlight w:val="none"/>
                <w:lang w:val="en-US" w:eastAsia="zh-CN"/>
              </w:rPr>
              <w:t>未超预算</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78459DC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6BBBA1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5241AD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97C38CC">
        <w:tblPrEx>
          <w:tblCellMar>
            <w:top w:w="0" w:type="dxa"/>
            <w:left w:w="108" w:type="dxa"/>
            <w:bottom w:w="0" w:type="dxa"/>
            <w:right w:w="108" w:type="dxa"/>
          </w:tblCellMar>
        </w:tblPrEx>
        <w:trPr>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73C186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72" w:type="dxa"/>
            <w:vMerge w:val="continue"/>
            <w:tcBorders>
              <w:top w:val="single" w:color="auto" w:sz="4" w:space="0"/>
              <w:left w:val="single" w:color="auto" w:sz="4" w:space="0"/>
              <w:bottom w:val="single" w:color="auto" w:sz="4" w:space="0"/>
              <w:right w:val="single" w:color="auto" w:sz="4" w:space="0"/>
            </w:tcBorders>
            <w:noWrap w:val="0"/>
            <w:vAlign w:val="center"/>
          </w:tcPr>
          <w:p w14:paraId="4B196F6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7" w:type="dxa"/>
            <w:vMerge w:val="continue"/>
            <w:tcBorders>
              <w:top w:val="single" w:color="auto" w:sz="4" w:space="0"/>
              <w:left w:val="single" w:color="auto" w:sz="4" w:space="0"/>
              <w:bottom w:val="single" w:color="auto" w:sz="4" w:space="0"/>
              <w:right w:val="single" w:color="auto" w:sz="4" w:space="0"/>
            </w:tcBorders>
            <w:noWrap w:val="0"/>
            <w:vAlign w:val="center"/>
          </w:tcPr>
          <w:p w14:paraId="568325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3C1703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是否对社会造成负面影响</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37AA85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5A46CE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4F42183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189499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597CCE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5F95B68">
        <w:tblPrEx>
          <w:tblCellMar>
            <w:top w:w="0" w:type="dxa"/>
            <w:left w:w="108" w:type="dxa"/>
            <w:bottom w:w="0" w:type="dxa"/>
            <w:right w:w="108" w:type="dxa"/>
          </w:tblCellMar>
        </w:tblPrEx>
        <w:trPr>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1B76E71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72" w:type="dxa"/>
            <w:vMerge w:val="continue"/>
            <w:tcBorders>
              <w:top w:val="single" w:color="auto" w:sz="4" w:space="0"/>
              <w:left w:val="single" w:color="auto" w:sz="4" w:space="0"/>
              <w:bottom w:val="single" w:color="auto" w:sz="4" w:space="0"/>
              <w:right w:val="single" w:color="auto" w:sz="4" w:space="0"/>
            </w:tcBorders>
            <w:noWrap w:val="0"/>
            <w:vAlign w:val="center"/>
          </w:tcPr>
          <w:p w14:paraId="1862190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7" w:type="dxa"/>
            <w:vMerge w:val="continue"/>
            <w:tcBorders>
              <w:top w:val="single" w:color="auto" w:sz="4" w:space="0"/>
              <w:left w:val="single" w:color="auto" w:sz="4" w:space="0"/>
              <w:bottom w:val="single" w:color="auto" w:sz="4" w:space="0"/>
              <w:right w:val="single" w:color="auto" w:sz="4" w:space="0"/>
            </w:tcBorders>
            <w:noWrap w:val="0"/>
            <w:vAlign w:val="center"/>
          </w:tcPr>
          <w:p w14:paraId="0EF03B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13030E4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是否对生态环境造成负面影响</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063D179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25B71D3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051129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27532F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5A743F9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75674ED">
        <w:tblPrEx>
          <w:tblCellMar>
            <w:top w:w="0" w:type="dxa"/>
            <w:left w:w="108" w:type="dxa"/>
            <w:bottom w:w="0" w:type="dxa"/>
            <w:right w:w="108" w:type="dxa"/>
          </w:tblCellMar>
        </w:tblPrEx>
        <w:trPr>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26DD68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72" w:type="dxa"/>
            <w:vMerge w:val="restart"/>
            <w:tcBorders>
              <w:top w:val="single" w:color="auto" w:sz="4" w:space="0"/>
              <w:left w:val="single" w:color="auto" w:sz="4" w:space="0"/>
              <w:bottom w:val="single" w:color="auto" w:sz="4" w:space="0"/>
              <w:right w:val="single" w:color="auto" w:sz="4" w:space="0"/>
            </w:tcBorders>
            <w:noWrap w:val="0"/>
            <w:vAlign w:val="center"/>
          </w:tcPr>
          <w:p w14:paraId="10BC7E5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13B95C1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p w14:paraId="5E0C7A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5DDFD03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4CE08E7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6E795C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2" w:type="dxa"/>
            <w:tcBorders>
              <w:top w:val="single" w:color="auto" w:sz="4" w:space="0"/>
              <w:left w:val="single" w:color="auto" w:sz="4" w:space="0"/>
              <w:bottom w:val="single" w:color="auto" w:sz="4" w:space="0"/>
              <w:right w:val="single" w:color="auto" w:sz="4" w:space="0"/>
            </w:tcBorders>
            <w:noWrap w:val="0"/>
            <w:vAlign w:val="center"/>
          </w:tcPr>
          <w:p w14:paraId="7967A4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产生一定间接经济效益</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75637C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及时有效处置</w:t>
            </w:r>
            <w:r>
              <w:rPr>
                <w:rFonts w:hint="eastAsia" w:ascii="仿宋_GB2312" w:hAnsi="仿宋_GB2312" w:eastAsia="仿宋_GB2312" w:cs="仿宋_GB2312"/>
                <w:color w:val="000000" w:themeColor="text1"/>
                <w:sz w:val="20"/>
                <w:szCs w:val="20"/>
                <w:lang w:eastAsia="zh-CN"/>
                <w14:textFill>
                  <w14:solidFill>
                    <w14:schemeClr w14:val="tx1"/>
                  </w14:solidFill>
                </w14:textFill>
              </w:rPr>
              <w:t>泵站雨水和污水，减少次生环境整治费用</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4CBCA2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有效降低了环境整治成本</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6F5FB3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7</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308E1970">
            <w:pPr>
              <w:keepNext w:val="0"/>
              <w:keepLines w:val="0"/>
              <w:pageBreakBefore w:val="0"/>
              <w:widowControl/>
              <w:kinsoku/>
              <w:wordWrap/>
              <w:overflowPunct/>
              <w:topLinePunct w:val="0"/>
              <w:autoSpaceDE/>
              <w:autoSpaceDN/>
              <w:bidi w:val="0"/>
              <w:adjustRightInd/>
              <w:snapToGrid/>
              <w:spacing w:line="240" w:lineRule="exact"/>
              <w:ind w:firstLine="200" w:firstLineChars="100"/>
              <w:jc w:val="both"/>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7</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5BE0C7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748E984">
        <w:tblPrEx>
          <w:tblCellMar>
            <w:top w:w="0" w:type="dxa"/>
            <w:left w:w="108" w:type="dxa"/>
            <w:bottom w:w="0" w:type="dxa"/>
            <w:right w:w="108" w:type="dxa"/>
          </w:tblCellMar>
        </w:tblPrEx>
        <w:trPr>
          <w:trHeight w:val="680" w:hRule="atLeast"/>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36E7F9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72" w:type="dxa"/>
            <w:vMerge w:val="continue"/>
            <w:tcBorders>
              <w:top w:val="single" w:color="auto" w:sz="4" w:space="0"/>
              <w:left w:val="single" w:color="auto" w:sz="4" w:space="0"/>
              <w:bottom w:val="single" w:color="auto" w:sz="4" w:space="0"/>
              <w:right w:val="single" w:color="auto" w:sz="4" w:space="0"/>
            </w:tcBorders>
            <w:noWrap w:val="0"/>
            <w:vAlign w:val="center"/>
          </w:tcPr>
          <w:p w14:paraId="76B8274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7" w:type="dxa"/>
            <w:vMerge w:val="restart"/>
            <w:tcBorders>
              <w:top w:val="single" w:color="auto" w:sz="4" w:space="0"/>
              <w:left w:val="single" w:color="auto" w:sz="4" w:space="0"/>
              <w:bottom w:val="single" w:color="auto" w:sz="4" w:space="0"/>
              <w:right w:val="single" w:color="auto" w:sz="4" w:space="0"/>
            </w:tcBorders>
            <w:noWrap w:val="0"/>
            <w:vAlign w:val="center"/>
          </w:tcPr>
          <w:p w14:paraId="4BA9E88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6C3E173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2" w:type="dxa"/>
            <w:tcBorders>
              <w:top w:val="single" w:color="auto" w:sz="4" w:space="0"/>
              <w:left w:val="single" w:color="auto" w:sz="4" w:space="0"/>
              <w:bottom w:val="single" w:color="auto" w:sz="4" w:space="0"/>
              <w:right w:val="single" w:color="auto" w:sz="4" w:space="0"/>
            </w:tcBorders>
            <w:noWrap w:val="0"/>
            <w:vAlign w:val="center"/>
          </w:tcPr>
          <w:p w14:paraId="7C8B17F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改善城市居住环境</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4F6DB9F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改善城市环境卫生</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2A3314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有所改善</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5AB1022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0337587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6D1996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EDED8C5">
        <w:tblPrEx>
          <w:tblCellMar>
            <w:top w:w="0" w:type="dxa"/>
            <w:left w:w="108" w:type="dxa"/>
            <w:bottom w:w="0" w:type="dxa"/>
            <w:right w:w="108" w:type="dxa"/>
          </w:tblCellMar>
        </w:tblPrEx>
        <w:trPr>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363BAD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72" w:type="dxa"/>
            <w:vMerge w:val="continue"/>
            <w:tcBorders>
              <w:top w:val="single" w:color="auto" w:sz="4" w:space="0"/>
              <w:left w:val="single" w:color="auto" w:sz="4" w:space="0"/>
              <w:bottom w:val="single" w:color="auto" w:sz="4" w:space="0"/>
              <w:right w:val="single" w:color="auto" w:sz="4" w:space="0"/>
            </w:tcBorders>
            <w:noWrap w:val="0"/>
            <w:vAlign w:val="center"/>
          </w:tcPr>
          <w:p w14:paraId="70E61F1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7" w:type="dxa"/>
            <w:vMerge w:val="continue"/>
            <w:tcBorders>
              <w:top w:val="single" w:color="auto" w:sz="4" w:space="0"/>
              <w:left w:val="single" w:color="auto" w:sz="4" w:space="0"/>
              <w:bottom w:val="single" w:color="auto" w:sz="4" w:space="0"/>
              <w:right w:val="single" w:color="auto" w:sz="4" w:space="0"/>
            </w:tcBorders>
            <w:noWrap w:val="0"/>
            <w:vAlign w:val="center"/>
          </w:tcPr>
          <w:p w14:paraId="316A45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01AB9E3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有效处置</w:t>
            </w:r>
            <w:r>
              <w:rPr>
                <w:rFonts w:hint="eastAsia" w:ascii="仿宋_GB2312" w:hAnsi="仿宋_GB2312" w:eastAsia="仿宋_GB2312" w:cs="仿宋_GB2312"/>
                <w:color w:val="000000" w:themeColor="text1"/>
                <w:sz w:val="20"/>
                <w:szCs w:val="20"/>
                <w:lang w:eastAsia="zh-CN"/>
                <w14:textFill>
                  <w14:solidFill>
                    <w14:schemeClr w14:val="tx1"/>
                  </w14:solidFill>
                </w14:textFill>
              </w:rPr>
              <w:t>雨水和污水</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4244943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及时有效处置雨水和污水</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1B8B86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及时有效处置，</w:t>
            </w:r>
            <w:r>
              <w:rPr>
                <w:rFonts w:hint="eastAsia" w:ascii="仿宋_GB2312" w:hAnsi="仿宋_GB2312" w:eastAsia="仿宋_GB2312" w:cs="仿宋_GB2312"/>
                <w:color w:val="000000"/>
                <w:sz w:val="20"/>
                <w:szCs w:val="20"/>
                <w:highlight w:val="none"/>
                <w:lang w:eastAsia="zh-CN"/>
              </w:rPr>
              <w:t>避免了</w:t>
            </w:r>
            <w:r>
              <w:rPr>
                <w:rFonts w:hint="eastAsia" w:ascii="仿宋_GB2312" w:hAnsi="仿宋_GB2312" w:eastAsia="仿宋_GB2312" w:cs="仿宋_GB2312"/>
                <w:color w:val="000000" w:themeColor="text1"/>
                <w:sz w:val="20"/>
                <w:szCs w:val="20"/>
                <w:lang w:eastAsia="zh-CN"/>
                <w14:textFill>
                  <w14:solidFill>
                    <w14:schemeClr w14:val="tx1"/>
                  </w14:solidFill>
                </w14:textFill>
              </w:rPr>
              <w:t>雨水和污水混合的现象。</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41372C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340810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389483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2CDC348">
        <w:tblPrEx>
          <w:tblCellMar>
            <w:top w:w="0" w:type="dxa"/>
            <w:left w:w="108" w:type="dxa"/>
            <w:bottom w:w="0" w:type="dxa"/>
            <w:right w:w="108" w:type="dxa"/>
          </w:tblCellMar>
        </w:tblPrEx>
        <w:trPr>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72EADC1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72" w:type="dxa"/>
            <w:vMerge w:val="continue"/>
            <w:tcBorders>
              <w:top w:val="single" w:color="auto" w:sz="4" w:space="0"/>
              <w:left w:val="single" w:color="auto" w:sz="4" w:space="0"/>
              <w:bottom w:val="single" w:color="auto" w:sz="4" w:space="0"/>
              <w:right w:val="single" w:color="auto" w:sz="4" w:space="0"/>
            </w:tcBorders>
            <w:noWrap w:val="0"/>
            <w:vAlign w:val="center"/>
          </w:tcPr>
          <w:p w14:paraId="590556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7" w:type="dxa"/>
            <w:tcBorders>
              <w:top w:val="single" w:color="auto" w:sz="4" w:space="0"/>
              <w:left w:val="single" w:color="auto" w:sz="4" w:space="0"/>
              <w:bottom w:val="single" w:color="auto" w:sz="4" w:space="0"/>
              <w:right w:val="single" w:color="auto" w:sz="4" w:space="0"/>
            </w:tcBorders>
            <w:noWrap w:val="0"/>
            <w:vAlign w:val="center"/>
          </w:tcPr>
          <w:p w14:paraId="3C19EA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79DAEC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2" w:type="dxa"/>
            <w:tcBorders>
              <w:top w:val="single" w:color="auto" w:sz="4" w:space="0"/>
              <w:left w:val="single" w:color="auto" w:sz="4" w:space="0"/>
              <w:bottom w:val="single" w:color="auto" w:sz="4" w:space="0"/>
              <w:right w:val="single" w:color="auto" w:sz="4" w:space="0"/>
            </w:tcBorders>
            <w:noWrap w:val="0"/>
            <w:vAlign w:val="center"/>
          </w:tcPr>
          <w:p w14:paraId="7FD638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守护一江碧水</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1B9607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有效处置</w:t>
            </w:r>
            <w:r>
              <w:rPr>
                <w:rFonts w:hint="eastAsia" w:ascii="仿宋_GB2312" w:hAnsi="仿宋_GB2312" w:eastAsia="仿宋_GB2312" w:cs="仿宋_GB2312"/>
                <w:color w:val="000000" w:themeColor="text1"/>
                <w:sz w:val="20"/>
                <w:szCs w:val="20"/>
                <w:lang w:eastAsia="zh-CN"/>
                <w14:textFill>
                  <w14:solidFill>
                    <w14:schemeClr w14:val="tx1"/>
                  </w14:solidFill>
                </w14:textFill>
              </w:rPr>
              <w:t>泵站雨水和污水</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653F09A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污水及时输送</w:t>
            </w:r>
            <w:r>
              <w:rPr>
                <w:rFonts w:hint="eastAsia" w:ascii="仿宋_GB2312" w:hAnsi="仿宋_GB2312" w:eastAsia="仿宋_GB2312" w:cs="仿宋_GB2312"/>
                <w:color w:val="000000"/>
                <w:sz w:val="20"/>
                <w:szCs w:val="20"/>
                <w:highlight w:val="none"/>
                <w:lang w:val="en-US" w:eastAsia="zh-CN"/>
              </w:rPr>
              <w:t>至</w:t>
            </w:r>
            <w:r>
              <w:rPr>
                <w:rFonts w:hint="eastAsia" w:ascii="仿宋_GB2312" w:hAnsi="仿宋_GB2312" w:eastAsia="仿宋_GB2312" w:cs="仿宋_GB2312"/>
                <w:color w:val="000000"/>
                <w:sz w:val="20"/>
                <w:szCs w:val="20"/>
                <w:highlight w:val="none"/>
                <w:lang w:eastAsia="zh-CN"/>
              </w:rPr>
              <w:t>处置厂，保障了排放水体的质量。</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2789D0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7</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7F953E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7</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2FE8C4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E988E62">
        <w:tblPrEx>
          <w:tblCellMar>
            <w:top w:w="0" w:type="dxa"/>
            <w:left w:w="108" w:type="dxa"/>
            <w:bottom w:w="0" w:type="dxa"/>
            <w:right w:w="108" w:type="dxa"/>
          </w:tblCellMar>
        </w:tblPrEx>
        <w:trPr>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04F60A4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72" w:type="dxa"/>
            <w:vMerge w:val="continue"/>
            <w:tcBorders>
              <w:top w:val="single" w:color="auto" w:sz="4" w:space="0"/>
              <w:left w:val="single" w:color="auto" w:sz="4" w:space="0"/>
              <w:bottom w:val="single" w:color="auto" w:sz="4" w:space="0"/>
              <w:right w:val="single" w:color="auto" w:sz="4" w:space="0"/>
            </w:tcBorders>
            <w:noWrap w:val="0"/>
            <w:vAlign w:val="center"/>
          </w:tcPr>
          <w:p w14:paraId="52BDE02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7" w:type="dxa"/>
            <w:vMerge w:val="restart"/>
            <w:tcBorders>
              <w:top w:val="single" w:color="auto" w:sz="4" w:space="0"/>
              <w:left w:val="single" w:color="auto" w:sz="4" w:space="0"/>
              <w:bottom w:val="single" w:color="auto" w:sz="4" w:space="0"/>
              <w:right w:val="single" w:color="auto" w:sz="4" w:space="0"/>
            </w:tcBorders>
            <w:noWrap w:val="0"/>
            <w:vAlign w:val="center"/>
          </w:tcPr>
          <w:p w14:paraId="5EC783D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22" w:type="dxa"/>
            <w:tcBorders>
              <w:top w:val="single" w:color="auto" w:sz="4" w:space="0"/>
              <w:left w:val="single" w:color="auto" w:sz="4" w:space="0"/>
              <w:bottom w:val="single" w:color="auto" w:sz="4" w:space="0"/>
              <w:right w:val="single" w:color="auto" w:sz="4" w:space="0"/>
            </w:tcBorders>
            <w:noWrap w:val="0"/>
            <w:vAlign w:val="center"/>
          </w:tcPr>
          <w:p w14:paraId="0B66AC5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城市污水抽排处理率</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2BA612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大于</w:t>
            </w:r>
            <w:r>
              <w:rPr>
                <w:rFonts w:hint="eastAsia" w:ascii="仿宋_GB2312" w:hAnsi="仿宋_GB2312" w:eastAsia="仿宋_GB2312" w:cs="仿宋_GB2312"/>
                <w:color w:val="000000"/>
                <w:sz w:val="20"/>
                <w:szCs w:val="20"/>
                <w:highlight w:val="none"/>
                <w:lang w:val="en-US" w:eastAsia="zh-CN"/>
              </w:rPr>
              <w:t>95%</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273E0AC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100%</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62E806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3160AF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313D9D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9A646C3">
        <w:tblPrEx>
          <w:tblCellMar>
            <w:top w:w="0" w:type="dxa"/>
            <w:left w:w="108" w:type="dxa"/>
            <w:bottom w:w="0" w:type="dxa"/>
            <w:right w:w="108" w:type="dxa"/>
          </w:tblCellMar>
        </w:tblPrEx>
        <w:trPr>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62CE161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72" w:type="dxa"/>
            <w:vMerge w:val="continue"/>
            <w:tcBorders>
              <w:top w:val="single" w:color="auto" w:sz="4" w:space="0"/>
              <w:left w:val="single" w:color="auto" w:sz="4" w:space="0"/>
              <w:bottom w:val="single" w:color="auto" w:sz="4" w:space="0"/>
              <w:right w:val="single" w:color="auto" w:sz="4" w:space="0"/>
            </w:tcBorders>
            <w:noWrap w:val="0"/>
            <w:vAlign w:val="center"/>
          </w:tcPr>
          <w:p w14:paraId="4C968E5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7" w:type="dxa"/>
            <w:vMerge w:val="continue"/>
            <w:tcBorders>
              <w:top w:val="single" w:color="auto" w:sz="4" w:space="0"/>
              <w:left w:val="single" w:color="auto" w:sz="4" w:space="0"/>
              <w:bottom w:val="single" w:color="auto" w:sz="4" w:space="0"/>
              <w:right w:val="single" w:color="auto" w:sz="4" w:space="0"/>
            </w:tcBorders>
            <w:noWrap w:val="0"/>
            <w:vAlign w:val="center"/>
          </w:tcPr>
          <w:p w14:paraId="4955CE1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23201D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处理水体漂浮物，改善水质。</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31AC24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及时处理水体漂浮物，改善水质。</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5FE4F7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均及时有效处置</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7C69912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152D9A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1492D41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568A03D">
        <w:tblPrEx>
          <w:tblCellMar>
            <w:top w:w="0" w:type="dxa"/>
            <w:left w:w="108" w:type="dxa"/>
            <w:bottom w:w="0" w:type="dxa"/>
            <w:right w:w="108" w:type="dxa"/>
          </w:tblCellMar>
        </w:tblPrEx>
        <w:trPr>
          <w:jc w:val="center"/>
        </w:trPr>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60E2F9E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72" w:type="dxa"/>
            <w:tcBorders>
              <w:top w:val="single" w:color="auto" w:sz="4" w:space="0"/>
              <w:left w:val="single" w:color="auto" w:sz="4" w:space="0"/>
              <w:bottom w:val="single" w:color="auto" w:sz="4" w:space="0"/>
              <w:right w:val="single" w:color="auto" w:sz="4" w:space="0"/>
            </w:tcBorders>
            <w:noWrap w:val="0"/>
            <w:vAlign w:val="center"/>
          </w:tcPr>
          <w:p w14:paraId="5532A9B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4AFB38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2E89F14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7A682BB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22" w:type="dxa"/>
            <w:tcBorders>
              <w:top w:val="single" w:color="auto" w:sz="4" w:space="0"/>
              <w:left w:val="single" w:color="auto" w:sz="4" w:space="0"/>
              <w:bottom w:val="single" w:color="auto" w:sz="4" w:space="0"/>
              <w:right w:val="single" w:color="auto" w:sz="4" w:space="0"/>
            </w:tcBorders>
            <w:noWrap w:val="0"/>
            <w:vAlign w:val="center"/>
          </w:tcPr>
          <w:p w14:paraId="1D92DD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市民满意度</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55E9FFA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95%以上</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15B970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96%</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3F2392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6634C7D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000015B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AE6D9AD">
        <w:tblPrEx>
          <w:tblCellMar>
            <w:top w:w="0" w:type="dxa"/>
            <w:left w:w="108" w:type="dxa"/>
            <w:bottom w:w="0" w:type="dxa"/>
            <w:right w:w="108" w:type="dxa"/>
          </w:tblCellMar>
        </w:tblPrEx>
        <w:trPr>
          <w:trHeight w:val="488" w:hRule="atLeast"/>
          <w:jc w:val="center"/>
        </w:trPr>
        <w:tc>
          <w:tcPr>
            <w:tcW w:w="6851" w:type="dxa"/>
            <w:gridSpan w:val="6"/>
            <w:tcBorders>
              <w:top w:val="single" w:color="auto" w:sz="4" w:space="0"/>
              <w:left w:val="single" w:color="auto" w:sz="4" w:space="0"/>
              <w:bottom w:val="single" w:color="auto" w:sz="4" w:space="0"/>
              <w:right w:val="single" w:color="auto" w:sz="4" w:space="0"/>
            </w:tcBorders>
            <w:noWrap w:val="0"/>
            <w:vAlign w:val="center"/>
          </w:tcPr>
          <w:p w14:paraId="7D23D42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057C6B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512463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7BF2FD6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605EDB82">
      <w:pPr>
        <w:widowControl/>
        <w:spacing w:line="600" w:lineRule="exact"/>
        <w:jc w:val="left"/>
        <w:rPr>
          <w:rFonts w:hint="eastAsia" w:ascii="黑体" w:hAnsi="黑体" w:eastAsia="黑体" w:cs="黑体"/>
          <w:color w:val="92D050"/>
          <w:sz w:val="32"/>
          <w:szCs w:val="32"/>
          <w:highlight w:val="none"/>
        </w:rPr>
      </w:pPr>
      <w:r>
        <w:rPr>
          <w:rFonts w:hint="eastAsia" w:ascii="仿宋_GB2312" w:hAnsi="仿宋_GB2312" w:eastAsia="仿宋_GB2312" w:cs="仿宋_GB2312"/>
          <w:sz w:val="22"/>
          <w:szCs w:val="22"/>
          <w:highlight w:val="none"/>
        </w:rPr>
        <w:t>填表人：</w:t>
      </w:r>
      <w:r>
        <w:rPr>
          <w:rFonts w:hint="eastAsia" w:ascii="仿宋_GB2312" w:hAnsi="仿宋_GB2312" w:eastAsia="仿宋_GB2312" w:cs="仿宋_GB2312"/>
          <w:color w:val="000000" w:themeColor="text1"/>
          <w:spacing w:val="0"/>
          <w:sz w:val="22"/>
          <w:szCs w:val="22"/>
          <w:lang w:eastAsia="zh-CN"/>
          <w14:textFill>
            <w14:solidFill>
              <w14:schemeClr w14:val="tx1"/>
            </w14:solidFill>
          </w14:textFill>
        </w:rPr>
        <w:t>刘</w:t>
      </w:r>
      <w:r>
        <w:rPr>
          <w:rFonts w:hint="eastAsia" w:ascii="仿宋_GB2312" w:hAnsi="仿宋_GB2312" w:eastAsia="仿宋_GB2312" w:cs="仿宋_GB2312"/>
          <w:color w:val="000000" w:themeColor="text1"/>
          <w:spacing w:val="0"/>
          <w:sz w:val="22"/>
          <w:szCs w:val="2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sz w:val="22"/>
          <w:szCs w:val="22"/>
          <w:lang w:eastAsia="zh-CN"/>
          <w14:textFill>
            <w14:solidFill>
              <w14:schemeClr w14:val="tx1"/>
            </w14:solidFill>
          </w14:textFill>
        </w:rPr>
        <w:t>蓓</w:t>
      </w:r>
      <w:r>
        <w:rPr>
          <w:rFonts w:hint="eastAsia" w:ascii="仿宋_GB2312" w:hAnsi="仿宋_GB2312" w:eastAsia="仿宋_GB2312" w:cs="仿宋_GB2312"/>
          <w:sz w:val="22"/>
          <w:szCs w:val="22"/>
          <w:highlight w:val="none"/>
        </w:rPr>
        <w:t xml:space="preserve">  填报日期：</w:t>
      </w:r>
      <w:r>
        <w:rPr>
          <w:rFonts w:hint="eastAsia" w:ascii="仿宋_GB2312" w:hAnsi="仿宋_GB2312" w:eastAsia="仿宋_GB2312" w:cs="仿宋_GB2312"/>
          <w:sz w:val="22"/>
          <w:szCs w:val="22"/>
          <w:highlight w:val="none"/>
          <w:lang w:val="en-US" w:eastAsia="zh-CN"/>
        </w:rPr>
        <w:t>2026.6.23</w:t>
      </w:r>
      <w:r>
        <w:rPr>
          <w:rFonts w:hint="eastAsia" w:ascii="仿宋_GB2312" w:hAnsi="仿宋_GB2312" w:eastAsia="仿宋_GB2312" w:cs="仿宋_GB2312"/>
          <w:sz w:val="22"/>
          <w:szCs w:val="22"/>
          <w:highlight w:val="none"/>
        </w:rPr>
        <w:t xml:space="preserve"> 联系电话：</w:t>
      </w:r>
      <w:r>
        <w:rPr>
          <w:rFonts w:hint="eastAsia" w:ascii="仿宋_GB2312" w:hAnsi="仿宋_GB2312" w:eastAsia="仿宋_GB2312" w:cs="仿宋_GB2312"/>
          <w:sz w:val="22"/>
          <w:szCs w:val="22"/>
          <w:highlight w:val="none"/>
          <w:lang w:val="en-US" w:eastAsia="zh-CN"/>
        </w:rPr>
        <w:t>0730-</w:t>
      </w:r>
      <w:r>
        <w:rPr>
          <w:rFonts w:hint="eastAsia" w:ascii="仿宋_GB2312" w:hAnsi="仿宋_GB2312" w:eastAsia="仿宋_GB2312" w:cs="仿宋_GB2312"/>
          <w:color w:val="000000" w:themeColor="text1"/>
          <w:spacing w:val="0"/>
          <w:sz w:val="22"/>
          <w:szCs w:val="22"/>
          <w:lang w:val="en-US" w:eastAsia="zh-CN"/>
          <w14:textFill>
            <w14:solidFill>
              <w14:schemeClr w14:val="tx1"/>
            </w14:solidFill>
          </w14:textFill>
        </w:rPr>
        <w:t>822281</w:t>
      </w:r>
      <w:r>
        <w:rPr>
          <w:rFonts w:hint="eastAsia" w:ascii="仿宋_GB2312" w:hAnsi="仿宋_GB2312" w:eastAsia="仿宋_GB2312" w:cs="仿宋_GB2312"/>
          <w:sz w:val="22"/>
          <w:szCs w:val="22"/>
          <w:highlight w:val="none"/>
          <w:lang w:val="en-US" w:eastAsia="zh-CN"/>
        </w:rPr>
        <w:t xml:space="preserve">  </w:t>
      </w:r>
      <w:r>
        <w:rPr>
          <w:rFonts w:hint="eastAsia" w:ascii="仿宋_GB2312" w:hAnsi="仿宋_GB2312" w:eastAsia="仿宋_GB2312" w:cs="仿宋_GB2312"/>
          <w:sz w:val="22"/>
          <w:szCs w:val="22"/>
          <w:highlight w:val="none"/>
        </w:rPr>
        <w:t xml:space="preserve"> 单位负责人：</w:t>
      </w:r>
      <w:r>
        <w:rPr>
          <w:rFonts w:hint="eastAsia" w:ascii="仿宋_GB2312" w:hAnsi="仿宋_GB2312" w:eastAsia="仿宋_GB2312" w:cs="仿宋_GB2312"/>
          <w:sz w:val="22"/>
          <w:szCs w:val="22"/>
          <w:highlight w:val="none"/>
          <w:lang w:eastAsia="zh-CN"/>
        </w:rPr>
        <w:t>郑</w:t>
      </w:r>
      <w:r>
        <w:rPr>
          <w:rFonts w:hint="eastAsia" w:ascii="仿宋_GB2312" w:hAnsi="仿宋_GB2312" w:eastAsia="仿宋_GB2312" w:cs="仿宋_GB2312"/>
          <w:sz w:val="22"/>
          <w:szCs w:val="22"/>
          <w:highlight w:val="none"/>
          <w:lang w:val="en-US" w:eastAsia="zh-CN"/>
        </w:rPr>
        <w:t xml:space="preserve">  </w:t>
      </w:r>
      <w:r>
        <w:rPr>
          <w:rFonts w:hint="eastAsia" w:ascii="仿宋_GB2312" w:hAnsi="仿宋_GB2312" w:eastAsia="仿宋_GB2312" w:cs="仿宋_GB2312"/>
          <w:sz w:val="22"/>
          <w:szCs w:val="22"/>
          <w:highlight w:val="none"/>
          <w:lang w:eastAsia="zh-CN"/>
        </w:rPr>
        <w:t>伟</w:t>
      </w:r>
    </w:p>
    <w:p w14:paraId="7A6FD074">
      <w:pPr>
        <w:widowControl/>
        <w:spacing w:line="600" w:lineRule="exact"/>
        <w:jc w:val="lef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1-3</w:t>
      </w:r>
    </w:p>
    <w:p w14:paraId="50D68DB5">
      <w:pPr>
        <w:widowControl/>
        <w:spacing w:line="600" w:lineRule="exact"/>
        <w:jc w:val="left"/>
        <w:rPr>
          <w:rFonts w:hint="default" w:ascii="黑体" w:hAnsi="黑体" w:eastAsia="黑体" w:cs="黑体"/>
          <w:color w:val="auto"/>
          <w:sz w:val="32"/>
          <w:szCs w:val="32"/>
          <w:highlight w:val="none"/>
          <w:lang w:val="en" w:eastAsia="zh-CN"/>
        </w:rPr>
      </w:pPr>
    </w:p>
    <w:p w14:paraId="21028F09">
      <w:pPr>
        <w:widowControl/>
        <w:spacing w:line="600" w:lineRule="exact"/>
        <w:jc w:val="center"/>
        <w:rPr>
          <w:rFonts w:hint="eastAsia" w:ascii="方正小标宋简体" w:hAnsi="方正小标宋简体" w:eastAsia="方正小标宋简体" w:cs="方正小标宋简体"/>
          <w:color w:val="auto"/>
          <w:sz w:val="36"/>
          <w:szCs w:val="36"/>
          <w:highlight w:val="none"/>
        </w:rPr>
      </w:pPr>
      <w:r>
        <w:rPr>
          <w:rFonts w:hint="eastAsia" w:ascii="方正小标宋简体" w:hAnsi="方正小标宋简体" w:eastAsia="方正小标宋简体" w:cs="方正小标宋简体"/>
          <w:color w:val="auto"/>
          <w:sz w:val="36"/>
          <w:szCs w:val="36"/>
          <w:highlight w:val="none"/>
        </w:rPr>
        <w:t>202</w:t>
      </w:r>
      <w:r>
        <w:rPr>
          <w:rFonts w:hint="eastAsia" w:ascii="方正小标宋简体" w:hAnsi="方正小标宋简体" w:eastAsia="方正小标宋简体" w:cs="方正小标宋简体"/>
          <w:color w:val="auto"/>
          <w:sz w:val="36"/>
          <w:szCs w:val="36"/>
          <w:highlight w:val="none"/>
          <w:lang w:val="en-US" w:eastAsia="zh-CN"/>
        </w:rPr>
        <w:t>5</w:t>
      </w:r>
      <w:r>
        <w:rPr>
          <w:rFonts w:hint="eastAsia" w:ascii="方正小标宋简体" w:hAnsi="方正小标宋简体" w:eastAsia="方正小标宋简体" w:cs="方正小标宋简体"/>
          <w:color w:val="auto"/>
          <w:sz w:val="36"/>
          <w:szCs w:val="36"/>
          <w:highlight w:val="none"/>
        </w:rPr>
        <w:t>年度项目支出绩效自评表</w:t>
      </w:r>
    </w:p>
    <w:p w14:paraId="7E82538C">
      <w:pPr>
        <w:pStyle w:val="2"/>
        <w:rPr>
          <w:rFonts w:hint="eastAsia"/>
          <w:color w:val="auto"/>
          <w:sz w:val="11"/>
          <w:szCs w:val="11"/>
        </w:rPr>
      </w:pPr>
    </w:p>
    <w:tbl>
      <w:tblPr>
        <w:tblStyle w:val="10"/>
        <w:tblW w:w="9851" w:type="dxa"/>
        <w:jc w:val="center"/>
        <w:tblLayout w:type="fixed"/>
        <w:tblCellMar>
          <w:top w:w="0" w:type="dxa"/>
          <w:left w:w="108" w:type="dxa"/>
          <w:bottom w:w="0" w:type="dxa"/>
          <w:right w:w="108" w:type="dxa"/>
        </w:tblCellMar>
      </w:tblPr>
      <w:tblGrid>
        <w:gridCol w:w="1025"/>
        <w:gridCol w:w="1042"/>
        <w:gridCol w:w="947"/>
        <w:gridCol w:w="1545"/>
        <w:gridCol w:w="1170"/>
        <w:gridCol w:w="1152"/>
        <w:gridCol w:w="789"/>
        <w:gridCol w:w="862"/>
        <w:gridCol w:w="1319"/>
      </w:tblGrid>
      <w:tr w14:paraId="259ED4F4">
        <w:tblPrEx>
          <w:tblCellMar>
            <w:top w:w="0" w:type="dxa"/>
            <w:left w:w="108" w:type="dxa"/>
            <w:bottom w:w="0" w:type="dxa"/>
            <w:right w:w="108" w:type="dxa"/>
          </w:tblCellMar>
        </w:tblPrEx>
        <w:trPr>
          <w:jc w:val="center"/>
        </w:trPr>
        <w:tc>
          <w:tcPr>
            <w:tcW w:w="1025" w:type="dxa"/>
            <w:tcBorders>
              <w:top w:val="single" w:color="auto" w:sz="4" w:space="0"/>
              <w:left w:val="single" w:color="auto" w:sz="4" w:space="0"/>
              <w:bottom w:val="single" w:color="auto" w:sz="4" w:space="0"/>
              <w:right w:val="single" w:color="auto" w:sz="4" w:space="0"/>
            </w:tcBorders>
            <w:noWrap w:val="0"/>
            <w:vAlign w:val="center"/>
          </w:tcPr>
          <w:p w14:paraId="370010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项目支</w:t>
            </w:r>
          </w:p>
          <w:p w14:paraId="51A5D8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出名称</w:t>
            </w:r>
          </w:p>
        </w:tc>
        <w:tc>
          <w:tcPr>
            <w:tcW w:w="8826" w:type="dxa"/>
            <w:gridSpan w:val="8"/>
            <w:tcBorders>
              <w:top w:val="single" w:color="auto" w:sz="4" w:space="0"/>
              <w:left w:val="single" w:color="auto" w:sz="4" w:space="0"/>
              <w:bottom w:val="single" w:color="auto" w:sz="4" w:space="0"/>
              <w:right w:val="single" w:color="auto" w:sz="4" w:space="0"/>
            </w:tcBorders>
            <w:noWrap w:val="0"/>
            <w:vAlign w:val="center"/>
          </w:tcPr>
          <w:p w14:paraId="22F420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2"/>
                <w:szCs w:val="22"/>
                <w:highlight w:val="none"/>
              </w:rPr>
              <w:t>原市政建设总公司改制经费　</w:t>
            </w:r>
          </w:p>
        </w:tc>
      </w:tr>
      <w:tr w14:paraId="6C340D2A">
        <w:tblPrEx>
          <w:tblCellMar>
            <w:top w:w="0" w:type="dxa"/>
            <w:left w:w="108" w:type="dxa"/>
            <w:bottom w:w="0" w:type="dxa"/>
            <w:right w:w="108" w:type="dxa"/>
          </w:tblCellMar>
        </w:tblPrEx>
        <w:trPr>
          <w:trHeight w:val="648" w:hRule="atLeast"/>
          <w:jc w:val="center"/>
        </w:trPr>
        <w:tc>
          <w:tcPr>
            <w:tcW w:w="1025" w:type="dxa"/>
            <w:tcBorders>
              <w:top w:val="single" w:color="auto" w:sz="4" w:space="0"/>
              <w:left w:val="single" w:color="auto" w:sz="4" w:space="0"/>
              <w:bottom w:val="single" w:color="auto" w:sz="4" w:space="0"/>
              <w:right w:val="single" w:color="auto" w:sz="4" w:space="0"/>
            </w:tcBorders>
            <w:noWrap w:val="0"/>
            <w:vAlign w:val="center"/>
          </w:tcPr>
          <w:p w14:paraId="07FA24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704" w:type="dxa"/>
            <w:gridSpan w:val="4"/>
            <w:tcBorders>
              <w:top w:val="single" w:color="auto" w:sz="4" w:space="0"/>
              <w:left w:val="single" w:color="auto" w:sz="4" w:space="0"/>
              <w:bottom w:val="single" w:color="auto" w:sz="4" w:space="0"/>
              <w:right w:val="single" w:color="auto" w:sz="4" w:space="0"/>
            </w:tcBorders>
            <w:noWrap w:val="0"/>
            <w:vAlign w:val="center"/>
          </w:tcPr>
          <w:p w14:paraId="5AED51C1">
            <w:pPr>
              <w:keepNext w:val="0"/>
              <w:keepLines w:val="0"/>
              <w:pageBreakBefore w:val="0"/>
              <w:widowControl/>
              <w:kinsoku/>
              <w:wordWrap/>
              <w:overflowPunct/>
              <w:topLinePunct w:val="0"/>
              <w:autoSpaceDE/>
              <w:autoSpaceDN/>
              <w:bidi w:val="0"/>
              <w:adjustRightInd/>
              <w:snapToGrid/>
              <w:spacing w:line="280" w:lineRule="exact"/>
              <w:ind w:left="0" w:leftChars="0" w:right="0" w:rightChars="0"/>
              <w:jc w:val="center"/>
              <w:textAlignment w:val="auto"/>
              <w:rPr>
                <w:rFonts w:hint="eastAsia" w:ascii="仿宋_GB2312" w:hAnsi="仿宋_GB2312" w:eastAsia="仿宋_GB2312" w:cs="仿宋_GB2312"/>
                <w:color w:val="000000" w:themeColor="text1"/>
                <w:spacing w:val="0"/>
                <w:kern w:val="0"/>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2"/>
                <w:szCs w:val="22"/>
                <w:lang w:eastAsia="zh-CN"/>
                <w14:textFill>
                  <w14:solidFill>
                    <w14:schemeClr w14:val="tx1"/>
                  </w14:solidFill>
                </w14:textFill>
              </w:rPr>
              <w:t>岳阳市城市管理和综合执法局</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77F14E44">
            <w:pPr>
              <w:keepNext w:val="0"/>
              <w:keepLines w:val="0"/>
              <w:pageBreakBefore w:val="0"/>
              <w:widowControl/>
              <w:kinsoku/>
              <w:wordWrap/>
              <w:overflowPunct/>
              <w:topLinePunct w:val="0"/>
              <w:autoSpaceDE/>
              <w:autoSpaceDN/>
              <w:bidi w:val="0"/>
              <w:adjustRightInd/>
              <w:snapToGrid/>
              <w:spacing w:line="280" w:lineRule="exact"/>
              <w:ind w:left="0" w:leftChars="0" w:right="0" w:rightChars="0"/>
              <w:jc w:val="center"/>
              <w:textAlignment w:val="auto"/>
              <w:rPr>
                <w:rFonts w:hint="eastAsia" w:ascii="仿宋_GB2312" w:hAnsi="仿宋_GB2312" w:eastAsia="仿宋_GB2312" w:cs="仿宋_GB2312"/>
                <w:color w:val="000000" w:themeColor="text1"/>
                <w:spacing w:val="0"/>
                <w:kern w:val="0"/>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2"/>
                <w:szCs w:val="22"/>
                <w14:textFill>
                  <w14:solidFill>
                    <w14:schemeClr w14:val="tx1"/>
                  </w14:solidFill>
                </w14:textFill>
              </w:rPr>
              <w:t>实施单位</w:t>
            </w:r>
          </w:p>
        </w:tc>
        <w:tc>
          <w:tcPr>
            <w:tcW w:w="2970" w:type="dxa"/>
            <w:gridSpan w:val="3"/>
            <w:tcBorders>
              <w:top w:val="single" w:color="auto" w:sz="4" w:space="0"/>
              <w:left w:val="single" w:color="auto" w:sz="4" w:space="0"/>
              <w:bottom w:val="single" w:color="auto" w:sz="4" w:space="0"/>
              <w:right w:val="single" w:color="auto" w:sz="4" w:space="0"/>
            </w:tcBorders>
            <w:noWrap w:val="0"/>
            <w:vAlign w:val="center"/>
          </w:tcPr>
          <w:p w14:paraId="6607ED98">
            <w:pPr>
              <w:keepNext w:val="0"/>
              <w:keepLines w:val="0"/>
              <w:pageBreakBefore w:val="0"/>
              <w:widowControl/>
              <w:kinsoku/>
              <w:wordWrap/>
              <w:overflowPunct/>
              <w:topLinePunct w:val="0"/>
              <w:autoSpaceDE/>
              <w:autoSpaceDN/>
              <w:bidi w:val="0"/>
              <w:adjustRightInd/>
              <w:snapToGrid/>
              <w:spacing w:line="280" w:lineRule="exact"/>
              <w:ind w:left="0" w:leftChars="0" w:right="0" w:rightChars="0"/>
              <w:jc w:val="center"/>
              <w:textAlignment w:val="auto"/>
              <w:rPr>
                <w:rFonts w:hint="eastAsia" w:ascii="仿宋_GB2312" w:hAnsi="仿宋_GB2312" w:eastAsia="仿宋_GB2312" w:cs="仿宋_GB2312"/>
                <w:color w:val="000000" w:themeColor="text1"/>
                <w:spacing w:val="0"/>
                <w:kern w:val="0"/>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2"/>
                <w:szCs w:val="22"/>
                <w:lang w:eastAsia="zh-CN"/>
                <w14:textFill>
                  <w14:solidFill>
                    <w14:schemeClr w14:val="tx1"/>
                  </w14:solidFill>
                </w14:textFill>
              </w:rPr>
              <w:t>岳阳市市政维护管理中心</w:t>
            </w:r>
          </w:p>
        </w:tc>
      </w:tr>
      <w:tr w14:paraId="60822057">
        <w:tblPrEx>
          <w:tblCellMar>
            <w:top w:w="0" w:type="dxa"/>
            <w:left w:w="108" w:type="dxa"/>
            <w:bottom w:w="0" w:type="dxa"/>
            <w:right w:w="108" w:type="dxa"/>
          </w:tblCellMar>
        </w:tblPrEx>
        <w:trPr>
          <w:jc w:val="center"/>
        </w:trPr>
        <w:tc>
          <w:tcPr>
            <w:tcW w:w="1025" w:type="dxa"/>
            <w:vMerge w:val="restart"/>
            <w:tcBorders>
              <w:top w:val="single" w:color="auto" w:sz="4" w:space="0"/>
              <w:left w:val="single" w:color="auto" w:sz="4" w:space="0"/>
              <w:bottom w:val="single" w:color="auto" w:sz="4" w:space="0"/>
              <w:right w:val="single" w:color="auto" w:sz="4" w:space="0"/>
            </w:tcBorders>
            <w:noWrap w:val="0"/>
            <w:vAlign w:val="center"/>
          </w:tcPr>
          <w:p w14:paraId="3436E1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1989" w:type="dxa"/>
            <w:gridSpan w:val="2"/>
            <w:tcBorders>
              <w:top w:val="single" w:color="auto" w:sz="4" w:space="0"/>
              <w:left w:val="single" w:color="auto" w:sz="4" w:space="0"/>
              <w:bottom w:val="single" w:color="auto" w:sz="4" w:space="0"/>
              <w:right w:val="single" w:color="auto" w:sz="4" w:space="0"/>
            </w:tcBorders>
            <w:noWrap w:val="0"/>
            <w:vAlign w:val="center"/>
          </w:tcPr>
          <w:p w14:paraId="35E8E9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601D62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68067E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D0387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558C60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208107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3DC278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2000CE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538033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0499D0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387EA247">
        <w:tblPrEx>
          <w:tblCellMar>
            <w:top w:w="0" w:type="dxa"/>
            <w:left w:w="108" w:type="dxa"/>
            <w:bottom w:w="0" w:type="dxa"/>
            <w:right w:w="108" w:type="dxa"/>
          </w:tblCellMar>
        </w:tblPrEx>
        <w:trPr>
          <w:trHeight w:val="335" w:hRule="atLeast"/>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7E9B82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989" w:type="dxa"/>
            <w:gridSpan w:val="2"/>
            <w:tcBorders>
              <w:top w:val="single" w:color="auto" w:sz="4" w:space="0"/>
              <w:left w:val="single" w:color="auto" w:sz="4" w:space="0"/>
              <w:bottom w:val="single" w:color="auto" w:sz="4" w:space="0"/>
              <w:right w:val="single" w:color="auto" w:sz="4" w:space="0"/>
            </w:tcBorders>
            <w:noWrap w:val="0"/>
            <w:vAlign w:val="center"/>
          </w:tcPr>
          <w:p w14:paraId="006183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3C75E2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52012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260.07</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798BC5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259.90</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6F8902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10</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38E0AB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99.93%</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310039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9.99</w:t>
            </w:r>
          </w:p>
        </w:tc>
      </w:tr>
      <w:tr w14:paraId="47BB05DE">
        <w:tblPrEx>
          <w:tblCellMar>
            <w:top w:w="0" w:type="dxa"/>
            <w:left w:w="108" w:type="dxa"/>
            <w:bottom w:w="0" w:type="dxa"/>
            <w:right w:w="108" w:type="dxa"/>
          </w:tblCellMar>
        </w:tblPrEx>
        <w:trPr>
          <w:trHeight w:val="320" w:hRule="atLeast"/>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3AF20D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989" w:type="dxa"/>
            <w:gridSpan w:val="2"/>
            <w:tcBorders>
              <w:top w:val="single" w:color="auto" w:sz="4" w:space="0"/>
              <w:left w:val="single" w:color="auto" w:sz="4" w:space="0"/>
              <w:bottom w:val="single" w:color="auto" w:sz="4" w:space="0"/>
              <w:right w:val="single" w:color="auto" w:sz="4" w:space="0"/>
            </w:tcBorders>
            <w:noWrap w:val="0"/>
            <w:vAlign w:val="center"/>
          </w:tcPr>
          <w:p w14:paraId="538CAD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064723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AABBA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260.07</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05F93B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259.90</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2F21FA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7FBE7F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6D6431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8C98B69">
        <w:tblPrEx>
          <w:tblCellMar>
            <w:top w:w="0" w:type="dxa"/>
            <w:left w:w="108" w:type="dxa"/>
            <w:bottom w:w="0" w:type="dxa"/>
            <w:right w:w="108" w:type="dxa"/>
          </w:tblCellMar>
        </w:tblPrEx>
        <w:trPr>
          <w:trHeight w:val="320" w:hRule="atLeast"/>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19D4F7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989" w:type="dxa"/>
            <w:gridSpan w:val="2"/>
            <w:tcBorders>
              <w:top w:val="single" w:color="auto" w:sz="4" w:space="0"/>
              <w:left w:val="single" w:color="auto" w:sz="4" w:space="0"/>
              <w:bottom w:val="single" w:color="auto" w:sz="4" w:space="0"/>
              <w:right w:val="single" w:color="auto" w:sz="4" w:space="0"/>
            </w:tcBorders>
            <w:noWrap w:val="0"/>
            <w:vAlign w:val="center"/>
          </w:tcPr>
          <w:p w14:paraId="56D70C66">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06F914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43BE4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6BEB71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4ACCF5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42DB71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478511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594C797">
        <w:tblPrEx>
          <w:tblCellMar>
            <w:top w:w="0" w:type="dxa"/>
            <w:left w:w="108" w:type="dxa"/>
            <w:bottom w:w="0" w:type="dxa"/>
            <w:right w:w="108" w:type="dxa"/>
          </w:tblCellMar>
        </w:tblPrEx>
        <w:trPr>
          <w:trHeight w:val="275" w:hRule="atLeast"/>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2FAC0E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989" w:type="dxa"/>
            <w:gridSpan w:val="2"/>
            <w:tcBorders>
              <w:top w:val="single" w:color="auto" w:sz="4" w:space="0"/>
              <w:left w:val="single" w:color="auto" w:sz="4" w:space="0"/>
              <w:bottom w:val="single" w:color="auto" w:sz="4" w:space="0"/>
              <w:right w:val="single" w:color="auto" w:sz="4" w:space="0"/>
            </w:tcBorders>
            <w:noWrap w:val="0"/>
            <w:vAlign w:val="center"/>
          </w:tcPr>
          <w:p w14:paraId="573F074D">
            <w:pPr>
              <w:keepNext w:val="0"/>
              <w:keepLines w:val="0"/>
              <w:pageBreakBefore w:val="0"/>
              <w:widowControl/>
              <w:kinsoku/>
              <w:wordWrap/>
              <w:overflowPunct/>
              <w:topLinePunct w:val="0"/>
              <w:autoSpaceDE/>
              <w:autoSpaceDN/>
              <w:bidi w:val="0"/>
              <w:adjustRightInd/>
              <w:snapToGrid/>
              <w:spacing w:line="280" w:lineRule="exact"/>
              <w:ind w:firstLine="800" w:firstLineChars="4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0C8017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9695C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4408B0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6BC2C8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168A2A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2A07E0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154D60D">
        <w:tblPrEx>
          <w:tblCellMar>
            <w:top w:w="0" w:type="dxa"/>
            <w:left w:w="108" w:type="dxa"/>
            <w:bottom w:w="0" w:type="dxa"/>
            <w:right w:w="108" w:type="dxa"/>
          </w:tblCellMar>
        </w:tblPrEx>
        <w:trPr>
          <w:trHeight w:val="430" w:hRule="atLeast"/>
          <w:jc w:val="center"/>
        </w:trPr>
        <w:tc>
          <w:tcPr>
            <w:tcW w:w="1025" w:type="dxa"/>
            <w:vMerge w:val="restart"/>
            <w:tcBorders>
              <w:top w:val="single" w:color="auto" w:sz="4" w:space="0"/>
              <w:left w:val="single" w:color="auto" w:sz="4" w:space="0"/>
              <w:bottom w:val="single" w:color="auto" w:sz="4" w:space="0"/>
              <w:right w:val="single" w:color="auto" w:sz="4" w:space="0"/>
            </w:tcBorders>
            <w:noWrap w:val="0"/>
            <w:vAlign w:val="center"/>
          </w:tcPr>
          <w:p w14:paraId="59FA59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704" w:type="dxa"/>
            <w:gridSpan w:val="4"/>
            <w:tcBorders>
              <w:top w:val="single" w:color="auto" w:sz="4" w:space="0"/>
              <w:left w:val="single" w:color="auto" w:sz="4" w:space="0"/>
              <w:bottom w:val="single" w:color="auto" w:sz="4" w:space="0"/>
              <w:right w:val="single" w:color="auto" w:sz="4" w:space="0"/>
            </w:tcBorders>
            <w:noWrap w:val="0"/>
            <w:vAlign w:val="center"/>
          </w:tcPr>
          <w:p w14:paraId="410DD4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122" w:type="dxa"/>
            <w:gridSpan w:val="4"/>
            <w:tcBorders>
              <w:top w:val="single" w:color="auto" w:sz="4" w:space="0"/>
              <w:left w:val="single" w:color="auto" w:sz="4" w:space="0"/>
              <w:bottom w:val="single" w:color="auto" w:sz="4" w:space="0"/>
              <w:right w:val="single" w:color="auto" w:sz="4" w:space="0"/>
            </w:tcBorders>
            <w:noWrap w:val="0"/>
            <w:vAlign w:val="center"/>
          </w:tcPr>
          <w:p w14:paraId="103874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5BEE4D33">
        <w:tblPrEx>
          <w:tblCellMar>
            <w:top w:w="0" w:type="dxa"/>
            <w:left w:w="108" w:type="dxa"/>
            <w:bottom w:w="0" w:type="dxa"/>
            <w:right w:w="108" w:type="dxa"/>
          </w:tblCellMar>
        </w:tblPrEx>
        <w:trPr>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0AF686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4704" w:type="dxa"/>
            <w:gridSpan w:val="4"/>
            <w:tcBorders>
              <w:top w:val="single" w:color="auto" w:sz="4" w:space="0"/>
              <w:left w:val="single" w:color="auto" w:sz="4" w:space="0"/>
              <w:bottom w:val="single" w:color="auto" w:sz="4" w:space="0"/>
              <w:right w:val="single" w:color="auto" w:sz="4" w:space="0"/>
            </w:tcBorders>
            <w:noWrap w:val="0"/>
            <w:vAlign w:val="center"/>
          </w:tcPr>
          <w:p w14:paraId="0BEF425D">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负责处理原岳阳市市政建设总公司改制遗留问题，确保改制问题的及时处理，改制经费的及时支付。</w:t>
            </w:r>
          </w:p>
        </w:tc>
        <w:tc>
          <w:tcPr>
            <w:tcW w:w="4122" w:type="dxa"/>
            <w:gridSpan w:val="4"/>
            <w:tcBorders>
              <w:top w:val="single" w:color="auto" w:sz="4" w:space="0"/>
              <w:left w:val="single" w:color="auto" w:sz="4" w:space="0"/>
              <w:bottom w:val="single" w:color="auto" w:sz="4" w:space="0"/>
              <w:right w:val="single" w:color="auto" w:sz="4" w:space="0"/>
            </w:tcBorders>
            <w:noWrap w:val="0"/>
            <w:vAlign w:val="center"/>
          </w:tcPr>
          <w:p w14:paraId="63C578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本年急需解决的原岳阳市市政建设总公司改制遗留问题均得到及时妥善处置。</w:t>
            </w:r>
          </w:p>
        </w:tc>
      </w:tr>
      <w:tr w14:paraId="4B252862">
        <w:tblPrEx>
          <w:tblCellMar>
            <w:top w:w="0" w:type="dxa"/>
            <w:left w:w="108" w:type="dxa"/>
            <w:bottom w:w="0" w:type="dxa"/>
            <w:right w:w="108" w:type="dxa"/>
          </w:tblCellMar>
        </w:tblPrEx>
        <w:trPr>
          <w:jc w:val="center"/>
        </w:trPr>
        <w:tc>
          <w:tcPr>
            <w:tcW w:w="1025" w:type="dxa"/>
            <w:vMerge w:val="restart"/>
            <w:tcBorders>
              <w:top w:val="single" w:color="auto" w:sz="4" w:space="0"/>
              <w:left w:val="single" w:color="auto" w:sz="4" w:space="0"/>
              <w:bottom w:val="single" w:color="auto" w:sz="4" w:space="0"/>
              <w:right w:val="single" w:color="auto" w:sz="4" w:space="0"/>
            </w:tcBorders>
            <w:noWrap w:val="0"/>
            <w:vAlign w:val="center"/>
          </w:tcPr>
          <w:p w14:paraId="27F07C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3A45C3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300556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6D8140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150096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7DF984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7462E2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8FC8B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4535EC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3912D7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215F61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517C8C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463614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42E1A6CD">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1C54B7FB">
        <w:tblPrEx>
          <w:tblCellMar>
            <w:top w:w="0" w:type="dxa"/>
            <w:left w:w="108" w:type="dxa"/>
            <w:bottom w:w="0" w:type="dxa"/>
            <w:right w:w="108" w:type="dxa"/>
          </w:tblCellMar>
        </w:tblPrEx>
        <w:trPr>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3AF57E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42" w:type="dxa"/>
            <w:vMerge w:val="restart"/>
            <w:tcBorders>
              <w:top w:val="single" w:color="auto" w:sz="4" w:space="0"/>
              <w:left w:val="single" w:color="auto" w:sz="4" w:space="0"/>
              <w:bottom w:val="single" w:color="auto" w:sz="4" w:space="0"/>
              <w:right w:val="single" w:color="auto" w:sz="4" w:space="0"/>
            </w:tcBorders>
            <w:noWrap w:val="0"/>
            <w:vAlign w:val="center"/>
          </w:tcPr>
          <w:p w14:paraId="0EAF76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6C9278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p w14:paraId="2E8AF2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947" w:type="dxa"/>
            <w:vMerge w:val="restart"/>
            <w:tcBorders>
              <w:top w:val="single" w:color="auto" w:sz="4" w:space="0"/>
              <w:left w:val="single" w:color="auto" w:sz="4" w:space="0"/>
              <w:bottom w:val="single" w:color="auto" w:sz="4" w:space="0"/>
              <w:right w:val="single" w:color="auto" w:sz="4" w:space="0"/>
            </w:tcBorders>
            <w:noWrap w:val="0"/>
            <w:vAlign w:val="center"/>
          </w:tcPr>
          <w:p w14:paraId="533708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1265B2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eastAsia="zh-CN"/>
              </w:rPr>
              <w:t>原市政建设总公司未移交社区小区</w:t>
            </w:r>
            <w:r>
              <w:rPr>
                <w:rFonts w:hint="eastAsia" w:ascii="仿宋_GB2312" w:hAnsi="仿宋_GB2312" w:eastAsia="仿宋_GB2312" w:cs="仿宋_GB2312"/>
                <w:color w:val="auto"/>
                <w:sz w:val="20"/>
                <w:szCs w:val="20"/>
                <w:highlight w:val="none"/>
                <w:lang w:val="en-US" w:eastAsia="zh-CN"/>
              </w:rPr>
              <w:t>物业费及水电费结算</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9FD7D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1</w:t>
            </w:r>
            <w:r>
              <w:rPr>
                <w:rFonts w:hint="default" w:ascii="仿宋_GB2312" w:hAnsi="仿宋_GB2312" w:eastAsia="仿宋_GB2312" w:cs="仿宋_GB2312"/>
                <w:color w:val="auto"/>
                <w:sz w:val="20"/>
                <w:szCs w:val="20"/>
                <w:highlight w:val="none"/>
                <w:lang w:val="en" w:eastAsia="zh-CN"/>
              </w:rPr>
              <w:t>2</w:t>
            </w:r>
            <w:r>
              <w:rPr>
                <w:rFonts w:hint="eastAsia" w:ascii="仿宋_GB2312" w:hAnsi="仿宋_GB2312" w:eastAsia="仿宋_GB2312" w:cs="仿宋_GB2312"/>
                <w:color w:val="auto"/>
                <w:sz w:val="20"/>
                <w:szCs w:val="20"/>
                <w:highlight w:val="none"/>
                <w:lang w:val="en-US" w:eastAsia="zh-CN"/>
              </w:rPr>
              <w:t>个月</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5FF214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1</w:t>
            </w:r>
            <w:r>
              <w:rPr>
                <w:rFonts w:hint="default" w:ascii="仿宋_GB2312" w:hAnsi="仿宋_GB2312" w:eastAsia="仿宋_GB2312" w:cs="仿宋_GB2312"/>
                <w:color w:val="auto"/>
                <w:sz w:val="20"/>
                <w:szCs w:val="20"/>
                <w:highlight w:val="none"/>
                <w:lang w:val="en" w:eastAsia="zh-CN"/>
              </w:rPr>
              <w:t>2</w:t>
            </w:r>
            <w:r>
              <w:rPr>
                <w:rFonts w:hint="eastAsia" w:ascii="仿宋_GB2312" w:hAnsi="仿宋_GB2312" w:eastAsia="仿宋_GB2312" w:cs="仿宋_GB2312"/>
                <w:color w:val="auto"/>
                <w:sz w:val="20"/>
                <w:szCs w:val="20"/>
                <w:highlight w:val="none"/>
                <w:lang w:val="en-US" w:eastAsia="zh-CN"/>
              </w:rPr>
              <w:t>个月</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688A3A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36366F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36EB8C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C78AA32">
        <w:tblPrEx>
          <w:tblCellMar>
            <w:top w:w="0" w:type="dxa"/>
            <w:left w:w="108" w:type="dxa"/>
            <w:bottom w:w="0" w:type="dxa"/>
            <w:right w:w="108" w:type="dxa"/>
          </w:tblCellMar>
        </w:tblPrEx>
        <w:trPr>
          <w:trHeight w:val="590" w:hRule="atLeast"/>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0236DB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42" w:type="dxa"/>
            <w:vMerge w:val="continue"/>
            <w:tcBorders>
              <w:top w:val="single" w:color="auto" w:sz="4" w:space="0"/>
              <w:left w:val="single" w:color="auto" w:sz="4" w:space="0"/>
              <w:bottom w:val="single" w:color="auto" w:sz="4" w:space="0"/>
              <w:right w:val="single" w:color="auto" w:sz="4" w:space="0"/>
            </w:tcBorders>
            <w:noWrap w:val="0"/>
            <w:vAlign w:val="center"/>
          </w:tcPr>
          <w:p w14:paraId="436EB0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947" w:type="dxa"/>
            <w:vMerge w:val="continue"/>
            <w:tcBorders>
              <w:top w:val="single" w:color="auto" w:sz="4" w:space="0"/>
              <w:left w:val="single" w:color="auto" w:sz="4" w:space="0"/>
              <w:bottom w:val="single" w:color="auto" w:sz="4" w:space="0"/>
              <w:right w:val="single" w:color="auto" w:sz="4" w:space="0"/>
            </w:tcBorders>
            <w:noWrap w:val="0"/>
            <w:vAlign w:val="center"/>
          </w:tcPr>
          <w:p w14:paraId="669E7A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5629BC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代付改制组解除劳动关系经济补偿金</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38277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3人</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2A071A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3人</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458A9D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4F87F6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3</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06EA51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C7CBAF4">
        <w:tblPrEx>
          <w:tblCellMar>
            <w:top w:w="0" w:type="dxa"/>
            <w:left w:w="108" w:type="dxa"/>
            <w:bottom w:w="0" w:type="dxa"/>
            <w:right w:w="108" w:type="dxa"/>
          </w:tblCellMar>
        </w:tblPrEx>
        <w:trPr>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24473C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42" w:type="dxa"/>
            <w:vMerge w:val="continue"/>
            <w:tcBorders>
              <w:top w:val="single" w:color="auto" w:sz="4" w:space="0"/>
              <w:left w:val="single" w:color="auto" w:sz="4" w:space="0"/>
              <w:bottom w:val="single" w:color="auto" w:sz="4" w:space="0"/>
              <w:right w:val="single" w:color="auto" w:sz="4" w:space="0"/>
            </w:tcBorders>
            <w:noWrap w:val="0"/>
            <w:vAlign w:val="center"/>
          </w:tcPr>
          <w:p w14:paraId="64EFC8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947" w:type="dxa"/>
            <w:vMerge w:val="continue"/>
            <w:tcBorders>
              <w:top w:val="single" w:color="auto" w:sz="4" w:space="0"/>
              <w:left w:val="single" w:color="auto" w:sz="4" w:space="0"/>
              <w:bottom w:val="single" w:color="auto" w:sz="4" w:space="0"/>
              <w:right w:val="single" w:color="auto" w:sz="4" w:space="0"/>
            </w:tcBorders>
            <w:noWrap w:val="0"/>
            <w:vAlign w:val="center"/>
          </w:tcPr>
          <w:p w14:paraId="5E0B0C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30A52E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eastAsia="zh-CN"/>
              </w:rPr>
              <w:t>原市政建设总公司未移交社区的小区楼房维护、</w:t>
            </w:r>
            <w:r>
              <w:rPr>
                <w:rFonts w:hint="eastAsia" w:ascii="仿宋_GB2312" w:hAnsi="仿宋_GB2312" w:eastAsia="仿宋_GB2312" w:cs="仿宋_GB2312"/>
                <w:color w:val="auto"/>
                <w:sz w:val="20"/>
                <w:szCs w:val="20"/>
                <w:highlight w:val="none"/>
                <w:lang w:val="en-US" w:eastAsia="zh-CN"/>
              </w:rPr>
              <w:t>下水道清淤、消防设施维护等</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E9DFE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3个小区</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340B35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3个小区</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2EA450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4</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21F776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4</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453094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r>
      <w:tr w14:paraId="150F1BE1">
        <w:tblPrEx>
          <w:tblCellMar>
            <w:top w:w="0" w:type="dxa"/>
            <w:left w:w="108" w:type="dxa"/>
            <w:bottom w:w="0" w:type="dxa"/>
            <w:right w:w="108" w:type="dxa"/>
          </w:tblCellMar>
        </w:tblPrEx>
        <w:trPr>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200A8E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42" w:type="dxa"/>
            <w:vMerge w:val="continue"/>
            <w:tcBorders>
              <w:top w:val="single" w:color="auto" w:sz="4" w:space="0"/>
              <w:left w:val="single" w:color="auto" w:sz="4" w:space="0"/>
              <w:bottom w:val="single" w:color="auto" w:sz="4" w:space="0"/>
              <w:right w:val="single" w:color="auto" w:sz="4" w:space="0"/>
            </w:tcBorders>
            <w:noWrap w:val="0"/>
            <w:vAlign w:val="center"/>
          </w:tcPr>
          <w:p w14:paraId="6F649F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947" w:type="dxa"/>
            <w:vMerge w:val="continue"/>
            <w:tcBorders>
              <w:top w:val="single" w:color="auto" w:sz="4" w:space="0"/>
              <w:left w:val="single" w:color="auto" w:sz="4" w:space="0"/>
              <w:bottom w:val="single" w:color="auto" w:sz="4" w:space="0"/>
              <w:right w:val="single" w:color="auto" w:sz="4" w:space="0"/>
            </w:tcBorders>
            <w:noWrap w:val="0"/>
            <w:vAlign w:val="center"/>
          </w:tcPr>
          <w:p w14:paraId="79CDA1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25A0D4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eastAsia="zh-CN"/>
              </w:rPr>
              <w:t>原市政建设总公司</w:t>
            </w:r>
            <w:r>
              <w:rPr>
                <w:rFonts w:hint="eastAsia" w:ascii="仿宋_GB2312" w:hAnsi="仿宋_GB2312" w:eastAsia="仿宋_GB2312" w:cs="仿宋_GB2312"/>
                <w:color w:val="auto"/>
                <w:sz w:val="20"/>
                <w:szCs w:val="20"/>
                <w:highlight w:val="none"/>
                <w:lang w:val="en-US" w:eastAsia="zh-CN"/>
              </w:rPr>
              <w:t>改制期工程款结算</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1DE85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 w:eastAsia="zh-CN"/>
              </w:rPr>
              <w:t>1</w:t>
            </w:r>
            <w:r>
              <w:rPr>
                <w:rFonts w:hint="eastAsia" w:ascii="仿宋_GB2312" w:hAnsi="仿宋_GB2312" w:eastAsia="仿宋_GB2312" w:cs="仿宋_GB2312"/>
                <w:color w:val="auto"/>
                <w:sz w:val="20"/>
                <w:szCs w:val="20"/>
                <w:highlight w:val="none"/>
                <w:lang w:val="en-US" w:eastAsia="zh-CN"/>
              </w:rPr>
              <w:t>个项目</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62E714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 w:eastAsia="zh-CN"/>
              </w:rPr>
              <w:t>1</w:t>
            </w:r>
            <w:r>
              <w:rPr>
                <w:rFonts w:hint="eastAsia" w:ascii="仿宋_GB2312" w:hAnsi="仿宋_GB2312" w:eastAsia="仿宋_GB2312" w:cs="仿宋_GB2312"/>
                <w:color w:val="auto"/>
                <w:sz w:val="20"/>
                <w:szCs w:val="20"/>
                <w:highlight w:val="none"/>
                <w:lang w:val="en-US" w:eastAsia="zh-CN"/>
              </w:rPr>
              <w:t>个项目</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4D76EE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59B5A9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1718B5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南湖白杨豪邦项目</w:t>
            </w:r>
          </w:p>
        </w:tc>
      </w:tr>
      <w:tr w14:paraId="713815AF">
        <w:tblPrEx>
          <w:tblCellMar>
            <w:top w:w="0" w:type="dxa"/>
            <w:left w:w="108" w:type="dxa"/>
            <w:bottom w:w="0" w:type="dxa"/>
            <w:right w:w="108" w:type="dxa"/>
          </w:tblCellMar>
        </w:tblPrEx>
        <w:trPr>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1C7B14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42" w:type="dxa"/>
            <w:vMerge w:val="continue"/>
            <w:tcBorders>
              <w:top w:val="single" w:color="auto" w:sz="4" w:space="0"/>
              <w:left w:val="single" w:color="auto" w:sz="4" w:space="0"/>
              <w:bottom w:val="single" w:color="auto" w:sz="4" w:space="0"/>
              <w:right w:val="single" w:color="auto" w:sz="4" w:space="0"/>
            </w:tcBorders>
            <w:noWrap w:val="0"/>
            <w:vAlign w:val="center"/>
          </w:tcPr>
          <w:p w14:paraId="5B6CA8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947" w:type="dxa"/>
            <w:vMerge w:val="continue"/>
            <w:tcBorders>
              <w:top w:val="single" w:color="auto" w:sz="4" w:space="0"/>
              <w:left w:val="single" w:color="auto" w:sz="4" w:space="0"/>
              <w:bottom w:val="single" w:color="auto" w:sz="4" w:space="0"/>
              <w:right w:val="single" w:color="auto" w:sz="4" w:space="0"/>
            </w:tcBorders>
            <w:noWrap w:val="0"/>
            <w:vAlign w:val="center"/>
          </w:tcPr>
          <w:p w14:paraId="2F2E4A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2F6794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改制遗留问题处置</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8744E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1个</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41B7E3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1个</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4EFD99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4F432D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1C3DC1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r>
      <w:tr w14:paraId="2F7D0EAA">
        <w:tblPrEx>
          <w:tblCellMar>
            <w:top w:w="0" w:type="dxa"/>
            <w:left w:w="108" w:type="dxa"/>
            <w:bottom w:w="0" w:type="dxa"/>
            <w:right w:w="108" w:type="dxa"/>
          </w:tblCellMar>
        </w:tblPrEx>
        <w:trPr>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35A282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42" w:type="dxa"/>
            <w:vMerge w:val="continue"/>
            <w:tcBorders>
              <w:top w:val="single" w:color="auto" w:sz="4" w:space="0"/>
              <w:left w:val="single" w:color="auto" w:sz="4" w:space="0"/>
              <w:bottom w:val="single" w:color="auto" w:sz="4" w:space="0"/>
              <w:right w:val="single" w:color="auto" w:sz="4" w:space="0"/>
            </w:tcBorders>
            <w:noWrap w:val="0"/>
            <w:vAlign w:val="center"/>
          </w:tcPr>
          <w:p w14:paraId="79D79A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947" w:type="dxa"/>
            <w:vMerge w:val="continue"/>
            <w:tcBorders>
              <w:top w:val="single" w:color="auto" w:sz="4" w:space="0"/>
              <w:left w:val="single" w:color="auto" w:sz="4" w:space="0"/>
              <w:bottom w:val="single" w:color="auto" w:sz="4" w:space="0"/>
              <w:right w:val="single" w:color="auto" w:sz="4" w:space="0"/>
            </w:tcBorders>
            <w:noWrap w:val="0"/>
            <w:vAlign w:val="center"/>
          </w:tcPr>
          <w:p w14:paraId="47AF28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1D7E5A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补缴</w:t>
            </w:r>
            <w:r>
              <w:rPr>
                <w:rFonts w:hint="eastAsia" w:ascii="仿宋_GB2312" w:hAnsi="仿宋_GB2312" w:eastAsia="仿宋_GB2312" w:cs="仿宋_GB2312"/>
                <w:color w:val="000000"/>
                <w:sz w:val="20"/>
                <w:szCs w:val="20"/>
                <w:highlight w:val="none"/>
                <w:lang w:eastAsia="zh-CN"/>
              </w:rPr>
              <w:t>养老保险金</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91595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1人</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321073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1人</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4F483A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11E33C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13020B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r>
      <w:tr w14:paraId="3C6FF3CF">
        <w:tblPrEx>
          <w:tblCellMar>
            <w:top w:w="0" w:type="dxa"/>
            <w:left w:w="108" w:type="dxa"/>
            <w:bottom w:w="0" w:type="dxa"/>
            <w:right w:w="108" w:type="dxa"/>
          </w:tblCellMar>
        </w:tblPrEx>
        <w:trPr>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7AE57A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42" w:type="dxa"/>
            <w:vMerge w:val="continue"/>
            <w:tcBorders>
              <w:top w:val="single" w:color="auto" w:sz="4" w:space="0"/>
              <w:left w:val="single" w:color="auto" w:sz="4" w:space="0"/>
              <w:bottom w:val="single" w:color="auto" w:sz="4" w:space="0"/>
              <w:right w:val="single" w:color="auto" w:sz="4" w:space="0"/>
            </w:tcBorders>
            <w:noWrap w:val="0"/>
            <w:vAlign w:val="center"/>
          </w:tcPr>
          <w:p w14:paraId="3EC98F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947" w:type="dxa"/>
            <w:vMerge w:val="continue"/>
            <w:tcBorders>
              <w:top w:val="single" w:color="auto" w:sz="4" w:space="0"/>
              <w:left w:val="single" w:color="auto" w:sz="4" w:space="0"/>
              <w:bottom w:val="single" w:color="auto" w:sz="4" w:space="0"/>
              <w:right w:val="single" w:color="auto" w:sz="4" w:space="0"/>
            </w:tcBorders>
            <w:noWrap w:val="0"/>
            <w:vAlign w:val="center"/>
          </w:tcPr>
          <w:p w14:paraId="27560F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02DFE1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改制留守人员工资发放</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13D46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1人</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5B6E83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1人</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5C4893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5AC357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4EA759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FF9DF6F">
        <w:tblPrEx>
          <w:tblCellMar>
            <w:top w:w="0" w:type="dxa"/>
            <w:left w:w="108" w:type="dxa"/>
            <w:bottom w:w="0" w:type="dxa"/>
            <w:right w:w="108" w:type="dxa"/>
          </w:tblCellMar>
        </w:tblPrEx>
        <w:trPr>
          <w:trHeight w:val="695" w:hRule="atLeast"/>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29611F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42" w:type="dxa"/>
            <w:vMerge w:val="continue"/>
            <w:tcBorders>
              <w:top w:val="single" w:color="auto" w:sz="4" w:space="0"/>
              <w:left w:val="single" w:color="auto" w:sz="4" w:space="0"/>
              <w:bottom w:val="single" w:color="auto" w:sz="4" w:space="0"/>
              <w:right w:val="single" w:color="auto" w:sz="4" w:space="0"/>
            </w:tcBorders>
            <w:noWrap w:val="0"/>
            <w:vAlign w:val="center"/>
          </w:tcPr>
          <w:p w14:paraId="55FE72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947" w:type="dxa"/>
            <w:tcBorders>
              <w:top w:val="single" w:color="auto" w:sz="4" w:space="0"/>
              <w:left w:val="single" w:color="auto" w:sz="4" w:space="0"/>
              <w:bottom w:val="single" w:color="auto" w:sz="4" w:space="0"/>
              <w:right w:val="single" w:color="auto" w:sz="4" w:space="0"/>
            </w:tcBorders>
            <w:noWrap w:val="0"/>
            <w:vAlign w:val="center"/>
          </w:tcPr>
          <w:p w14:paraId="3DAA19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7C5A1D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工程建设符合相关行业标准</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C11E8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符合行业标准</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642159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均</w:t>
            </w:r>
            <w:r>
              <w:rPr>
                <w:rFonts w:hint="eastAsia" w:ascii="仿宋_GB2312" w:hAnsi="仿宋_GB2312" w:eastAsia="仿宋_GB2312" w:cs="仿宋_GB2312"/>
                <w:color w:val="000000"/>
                <w:sz w:val="20"/>
                <w:szCs w:val="20"/>
                <w:highlight w:val="none"/>
                <w:lang w:val="en-US" w:eastAsia="zh-CN"/>
              </w:rPr>
              <w:t>符合行业标准</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7C41A4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8</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6E4E67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8</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3788E3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0FCA995">
        <w:tblPrEx>
          <w:tblCellMar>
            <w:top w:w="0" w:type="dxa"/>
            <w:left w:w="108" w:type="dxa"/>
            <w:bottom w:w="0" w:type="dxa"/>
            <w:right w:w="108" w:type="dxa"/>
          </w:tblCellMar>
        </w:tblPrEx>
        <w:trPr>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25A2DA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42" w:type="dxa"/>
            <w:vMerge w:val="continue"/>
            <w:tcBorders>
              <w:top w:val="single" w:color="auto" w:sz="4" w:space="0"/>
              <w:left w:val="single" w:color="auto" w:sz="4" w:space="0"/>
              <w:bottom w:val="single" w:color="auto" w:sz="4" w:space="0"/>
              <w:right w:val="single" w:color="auto" w:sz="4" w:space="0"/>
            </w:tcBorders>
            <w:noWrap w:val="0"/>
            <w:vAlign w:val="center"/>
          </w:tcPr>
          <w:p w14:paraId="0F603D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947" w:type="dxa"/>
            <w:vMerge w:val="restart"/>
            <w:tcBorders>
              <w:top w:val="single" w:color="auto" w:sz="4" w:space="0"/>
              <w:left w:val="single" w:color="auto" w:sz="4" w:space="0"/>
              <w:bottom w:val="single" w:color="auto" w:sz="4" w:space="0"/>
              <w:right w:val="single" w:color="auto" w:sz="4" w:space="0"/>
            </w:tcBorders>
            <w:noWrap w:val="0"/>
            <w:vAlign w:val="center"/>
          </w:tcPr>
          <w:p w14:paraId="239A51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0CA1E0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按年度计划实施</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4728D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2025年12月31日前完成</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3CCA69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均如期完成</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426FBA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48C2FA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00ED30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E165D4B">
        <w:tblPrEx>
          <w:tblCellMar>
            <w:top w:w="0" w:type="dxa"/>
            <w:left w:w="108" w:type="dxa"/>
            <w:bottom w:w="0" w:type="dxa"/>
            <w:right w:w="108" w:type="dxa"/>
          </w:tblCellMar>
        </w:tblPrEx>
        <w:trPr>
          <w:trHeight w:val="635" w:hRule="atLeast"/>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51F069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42" w:type="dxa"/>
            <w:vMerge w:val="continue"/>
            <w:tcBorders>
              <w:top w:val="single" w:color="auto" w:sz="4" w:space="0"/>
              <w:left w:val="single" w:color="auto" w:sz="4" w:space="0"/>
              <w:bottom w:val="single" w:color="auto" w:sz="4" w:space="0"/>
              <w:right w:val="single" w:color="auto" w:sz="4" w:space="0"/>
            </w:tcBorders>
            <w:noWrap w:val="0"/>
            <w:vAlign w:val="center"/>
          </w:tcPr>
          <w:p w14:paraId="01567F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947" w:type="dxa"/>
            <w:vMerge w:val="continue"/>
            <w:tcBorders>
              <w:top w:val="single" w:color="auto" w:sz="4" w:space="0"/>
              <w:left w:val="single" w:color="auto" w:sz="4" w:space="0"/>
              <w:bottom w:val="single" w:color="auto" w:sz="4" w:space="0"/>
              <w:right w:val="single" w:color="auto" w:sz="4" w:space="0"/>
            </w:tcBorders>
            <w:noWrap w:val="0"/>
            <w:vAlign w:val="center"/>
          </w:tcPr>
          <w:p w14:paraId="17BCDA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5B7A82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及时支付应付工程款</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6B5C6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及时支付</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57ED93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均及时</w:t>
            </w:r>
            <w:r>
              <w:rPr>
                <w:rFonts w:hint="eastAsia" w:ascii="仿宋_GB2312" w:hAnsi="仿宋_GB2312" w:eastAsia="仿宋_GB2312" w:cs="仿宋_GB2312"/>
                <w:color w:val="000000"/>
                <w:sz w:val="20"/>
                <w:szCs w:val="20"/>
                <w:highlight w:val="none"/>
                <w:lang w:val="en-US" w:eastAsia="zh-CN"/>
              </w:rPr>
              <w:t>完成</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72293B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66054F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5EB9BB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A4705ED">
        <w:tblPrEx>
          <w:tblCellMar>
            <w:top w:w="0" w:type="dxa"/>
            <w:left w:w="108" w:type="dxa"/>
            <w:bottom w:w="0" w:type="dxa"/>
            <w:right w:w="108" w:type="dxa"/>
          </w:tblCellMar>
        </w:tblPrEx>
        <w:trPr>
          <w:trHeight w:val="665" w:hRule="atLeast"/>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3EC202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42" w:type="dxa"/>
            <w:vMerge w:val="continue"/>
            <w:tcBorders>
              <w:top w:val="single" w:color="auto" w:sz="4" w:space="0"/>
              <w:left w:val="single" w:color="auto" w:sz="4" w:space="0"/>
              <w:bottom w:val="single" w:color="auto" w:sz="4" w:space="0"/>
              <w:right w:val="single" w:color="auto" w:sz="4" w:space="0"/>
            </w:tcBorders>
            <w:noWrap w:val="0"/>
            <w:vAlign w:val="center"/>
          </w:tcPr>
          <w:p w14:paraId="293EF5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947" w:type="dxa"/>
            <w:vMerge w:val="restart"/>
            <w:tcBorders>
              <w:top w:val="single" w:color="auto" w:sz="4" w:space="0"/>
              <w:left w:val="single" w:color="auto" w:sz="4" w:space="0"/>
              <w:bottom w:val="single" w:color="auto" w:sz="4" w:space="0"/>
              <w:right w:val="single" w:color="auto" w:sz="4" w:space="0"/>
            </w:tcBorders>
            <w:noWrap w:val="0"/>
            <w:vAlign w:val="center"/>
          </w:tcPr>
          <w:p w14:paraId="51066D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132326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项目实施成本</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D237E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项目预算</w:t>
            </w:r>
            <w:r>
              <w:rPr>
                <w:rFonts w:hint="eastAsia" w:ascii="仿宋_GB2312" w:hAnsi="仿宋_GB2312" w:eastAsia="仿宋_GB2312" w:cs="仿宋_GB2312"/>
                <w:color w:val="000000"/>
                <w:sz w:val="20"/>
                <w:szCs w:val="20"/>
                <w:highlight w:val="none"/>
                <w:lang w:val="en-US" w:eastAsia="zh-CN"/>
              </w:rPr>
              <w:t>260.07万元</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4BC317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未超预算</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32F17C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377E80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32C444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99F6586">
        <w:tblPrEx>
          <w:tblCellMar>
            <w:top w:w="0" w:type="dxa"/>
            <w:left w:w="108" w:type="dxa"/>
            <w:bottom w:w="0" w:type="dxa"/>
            <w:right w:w="108" w:type="dxa"/>
          </w:tblCellMar>
        </w:tblPrEx>
        <w:trPr>
          <w:trHeight w:val="650" w:hRule="atLeast"/>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4767E4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42" w:type="dxa"/>
            <w:vMerge w:val="continue"/>
            <w:tcBorders>
              <w:top w:val="single" w:color="auto" w:sz="4" w:space="0"/>
              <w:left w:val="single" w:color="auto" w:sz="4" w:space="0"/>
              <w:bottom w:val="single" w:color="auto" w:sz="4" w:space="0"/>
              <w:right w:val="single" w:color="auto" w:sz="4" w:space="0"/>
            </w:tcBorders>
            <w:noWrap w:val="0"/>
            <w:vAlign w:val="center"/>
          </w:tcPr>
          <w:p w14:paraId="3B2327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947" w:type="dxa"/>
            <w:vMerge w:val="continue"/>
            <w:tcBorders>
              <w:top w:val="single" w:color="auto" w:sz="4" w:space="0"/>
              <w:left w:val="single" w:color="auto" w:sz="4" w:space="0"/>
              <w:bottom w:val="single" w:color="auto" w:sz="4" w:space="0"/>
              <w:right w:val="single" w:color="auto" w:sz="4" w:space="0"/>
            </w:tcBorders>
            <w:noWrap w:val="0"/>
            <w:vAlign w:val="center"/>
          </w:tcPr>
          <w:p w14:paraId="75500A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417E47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对社会造成负面影响</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11AA6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无负面影响</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3108C9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1025C0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7F48A7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68C186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8CE8469">
        <w:tblPrEx>
          <w:tblCellMar>
            <w:top w:w="0" w:type="dxa"/>
            <w:left w:w="108" w:type="dxa"/>
            <w:bottom w:w="0" w:type="dxa"/>
            <w:right w:w="108" w:type="dxa"/>
          </w:tblCellMar>
        </w:tblPrEx>
        <w:trPr>
          <w:trHeight w:val="715" w:hRule="atLeast"/>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22147B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42" w:type="dxa"/>
            <w:vMerge w:val="continue"/>
            <w:tcBorders>
              <w:top w:val="single" w:color="auto" w:sz="4" w:space="0"/>
              <w:left w:val="single" w:color="auto" w:sz="4" w:space="0"/>
              <w:bottom w:val="single" w:color="auto" w:sz="4" w:space="0"/>
              <w:right w:val="single" w:color="auto" w:sz="4" w:space="0"/>
            </w:tcBorders>
            <w:noWrap w:val="0"/>
            <w:vAlign w:val="center"/>
          </w:tcPr>
          <w:p w14:paraId="0876B2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947" w:type="dxa"/>
            <w:vMerge w:val="continue"/>
            <w:tcBorders>
              <w:top w:val="single" w:color="auto" w:sz="4" w:space="0"/>
              <w:left w:val="single" w:color="auto" w:sz="4" w:space="0"/>
              <w:bottom w:val="single" w:color="auto" w:sz="4" w:space="0"/>
              <w:right w:val="single" w:color="auto" w:sz="4" w:space="0"/>
            </w:tcBorders>
            <w:noWrap w:val="0"/>
            <w:vAlign w:val="center"/>
          </w:tcPr>
          <w:p w14:paraId="619DF7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32202D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对生态环境造成负面影响</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833C9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50D7AF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3B2F7D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4324C1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2D7343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529A477">
        <w:tblPrEx>
          <w:tblCellMar>
            <w:top w:w="0" w:type="dxa"/>
            <w:left w:w="108" w:type="dxa"/>
            <w:bottom w:w="0" w:type="dxa"/>
            <w:right w:w="108" w:type="dxa"/>
          </w:tblCellMar>
        </w:tblPrEx>
        <w:trPr>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5E18B5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42" w:type="dxa"/>
            <w:vMerge w:val="restart"/>
            <w:tcBorders>
              <w:top w:val="single" w:color="auto" w:sz="4" w:space="0"/>
              <w:left w:val="single" w:color="auto" w:sz="4" w:space="0"/>
              <w:right w:val="single" w:color="auto" w:sz="4" w:space="0"/>
            </w:tcBorders>
            <w:noWrap w:val="0"/>
            <w:vAlign w:val="center"/>
          </w:tcPr>
          <w:p w14:paraId="7FBC6A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12D7B5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p w14:paraId="53378C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65A25A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0F1BCE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21254E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6268C249">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不适用</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8D075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不适用</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3F9EE6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不适用</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3A0DBF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1F3D99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0DA310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40EE0EF">
        <w:tblPrEx>
          <w:tblCellMar>
            <w:top w:w="0" w:type="dxa"/>
            <w:left w:w="108" w:type="dxa"/>
            <w:bottom w:w="0" w:type="dxa"/>
            <w:right w:w="108" w:type="dxa"/>
          </w:tblCellMar>
        </w:tblPrEx>
        <w:trPr>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5ED7BF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42" w:type="dxa"/>
            <w:vMerge w:val="continue"/>
            <w:tcBorders>
              <w:left w:val="single" w:color="auto" w:sz="4" w:space="0"/>
              <w:right w:val="single" w:color="auto" w:sz="4" w:space="0"/>
            </w:tcBorders>
            <w:noWrap w:val="0"/>
            <w:vAlign w:val="center"/>
          </w:tcPr>
          <w:p w14:paraId="3BEF88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947" w:type="dxa"/>
            <w:vMerge w:val="restart"/>
            <w:tcBorders>
              <w:top w:val="single" w:color="auto" w:sz="4" w:space="0"/>
              <w:left w:val="single" w:color="auto" w:sz="4" w:space="0"/>
              <w:bottom w:val="single" w:color="auto" w:sz="4" w:space="0"/>
              <w:right w:val="single" w:color="auto" w:sz="4" w:space="0"/>
            </w:tcBorders>
            <w:noWrap w:val="0"/>
            <w:vAlign w:val="center"/>
          </w:tcPr>
          <w:p w14:paraId="6A48CF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5BD4E0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4A1BFD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处置原市政建设总公司改制遗留问题</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3C21F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妥善处置年度内急需处理问题</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23E6E2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均及时、妥善处理</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25D134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44031F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6EB81E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部分遗留问题处置进程有待加快，加强沟通协调，加快遗留问题处置进程。</w:t>
            </w:r>
          </w:p>
        </w:tc>
      </w:tr>
      <w:tr w14:paraId="033F1860">
        <w:tblPrEx>
          <w:tblCellMar>
            <w:top w:w="0" w:type="dxa"/>
            <w:left w:w="108" w:type="dxa"/>
            <w:bottom w:w="0" w:type="dxa"/>
            <w:right w:w="108" w:type="dxa"/>
          </w:tblCellMar>
        </w:tblPrEx>
        <w:trPr>
          <w:trHeight w:val="940" w:hRule="atLeast"/>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42E0D1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42" w:type="dxa"/>
            <w:vMerge w:val="continue"/>
            <w:tcBorders>
              <w:left w:val="single" w:color="auto" w:sz="4" w:space="0"/>
              <w:right w:val="single" w:color="auto" w:sz="4" w:space="0"/>
            </w:tcBorders>
            <w:noWrap w:val="0"/>
            <w:vAlign w:val="center"/>
          </w:tcPr>
          <w:p w14:paraId="6C5918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947" w:type="dxa"/>
            <w:vMerge w:val="continue"/>
            <w:tcBorders>
              <w:top w:val="single" w:color="auto" w:sz="4" w:space="0"/>
              <w:left w:val="single" w:color="auto" w:sz="4" w:space="0"/>
              <w:bottom w:val="single" w:color="auto" w:sz="4" w:space="0"/>
              <w:right w:val="single" w:color="auto" w:sz="4" w:space="0"/>
            </w:tcBorders>
            <w:noWrap w:val="0"/>
            <w:vAlign w:val="center"/>
          </w:tcPr>
          <w:p w14:paraId="1BE9BA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75179A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维护未移交小区年久失修房屋</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5A279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及时维修</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7C185F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及时完成相关维护维修</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125807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0B76FF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036496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B29CE17">
        <w:tblPrEx>
          <w:tblCellMar>
            <w:top w:w="0" w:type="dxa"/>
            <w:left w:w="108" w:type="dxa"/>
            <w:bottom w:w="0" w:type="dxa"/>
            <w:right w:w="108" w:type="dxa"/>
          </w:tblCellMar>
        </w:tblPrEx>
        <w:trPr>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5B6A4A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42" w:type="dxa"/>
            <w:vMerge w:val="continue"/>
            <w:tcBorders>
              <w:left w:val="single" w:color="auto" w:sz="4" w:space="0"/>
              <w:right w:val="single" w:color="auto" w:sz="4" w:space="0"/>
            </w:tcBorders>
            <w:noWrap w:val="0"/>
            <w:vAlign w:val="center"/>
          </w:tcPr>
          <w:p w14:paraId="7B7441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947" w:type="dxa"/>
            <w:tcBorders>
              <w:top w:val="single" w:color="auto" w:sz="4" w:space="0"/>
              <w:left w:val="single" w:color="auto" w:sz="4" w:space="0"/>
              <w:bottom w:val="single" w:color="auto" w:sz="4" w:space="0"/>
              <w:right w:val="single" w:color="auto" w:sz="4" w:space="0"/>
            </w:tcBorders>
            <w:noWrap w:val="0"/>
            <w:vAlign w:val="center"/>
          </w:tcPr>
          <w:p w14:paraId="617705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0F2A2F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6F8533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改善老旧小区环境</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8A509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改善原市政建设总公司未移交小区环境</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5527A9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老旧小区环境得到有效改善</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641370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2F1222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52AED4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4592F9B">
        <w:tblPrEx>
          <w:tblCellMar>
            <w:top w:w="0" w:type="dxa"/>
            <w:left w:w="108" w:type="dxa"/>
            <w:bottom w:w="0" w:type="dxa"/>
            <w:right w:w="108" w:type="dxa"/>
          </w:tblCellMar>
        </w:tblPrEx>
        <w:trPr>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5CC275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42" w:type="dxa"/>
            <w:vMerge w:val="continue"/>
            <w:tcBorders>
              <w:left w:val="single" w:color="auto" w:sz="4" w:space="0"/>
              <w:right w:val="single" w:color="auto" w:sz="4" w:space="0"/>
            </w:tcBorders>
            <w:noWrap w:val="0"/>
            <w:vAlign w:val="center"/>
          </w:tcPr>
          <w:p w14:paraId="73B7B6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947" w:type="dxa"/>
            <w:vMerge w:val="restart"/>
            <w:tcBorders>
              <w:top w:val="single" w:color="auto" w:sz="4" w:space="0"/>
              <w:left w:val="single" w:color="auto" w:sz="4" w:space="0"/>
              <w:right w:val="single" w:color="auto" w:sz="4" w:space="0"/>
            </w:tcBorders>
            <w:noWrap w:val="0"/>
            <w:vAlign w:val="center"/>
          </w:tcPr>
          <w:p w14:paraId="34CBB6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1BECB9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 w:eastAsia="zh-CN"/>
              </w:rPr>
            </w:pPr>
            <w:r>
              <w:rPr>
                <w:rFonts w:hint="eastAsia" w:ascii="仿宋_GB2312" w:hAnsi="仿宋_GB2312" w:eastAsia="仿宋_GB2312" w:cs="仿宋_GB2312"/>
                <w:color w:val="000000"/>
                <w:sz w:val="20"/>
                <w:szCs w:val="20"/>
                <w:highlight w:val="none"/>
                <w:lang w:val="en" w:eastAsia="zh-CN"/>
              </w:rPr>
              <w:t>支付应付工程款</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2B50D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支付应付工程，优化营商环境</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4FC828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及时支付，维护了单位信誉。</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1FD4E2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6</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0437BA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65D502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r>
      <w:tr w14:paraId="1B09386F">
        <w:tblPrEx>
          <w:tblCellMar>
            <w:top w:w="0" w:type="dxa"/>
            <w:left w:w="108" w:type="dxa"/>
            <w:bottom w:w="0" w:type="dxa"/>
            <w:right w:w="108" w:type="dxa"/>
          </w:tblCellMar>
        </w:tblPrEx>
        <w:trPr>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11125E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42" w:type="dxa"/>
            <w:vMerge w:val="continue"/>
            <w:tcBorders>
              <w:left w:val="single" w:color="auto" w:sz="4" w:space="0"/>
              <w:bottom w:val="single" w:color="auto" w:sz="4" w:space="0"/>
              <w:right w:val="single" w:color="auto" w:sz="4" w:space="0"/>
            </w:tcBorders>
            <w:noWrap w:val="0"/>
            <w:vAlign w:val="center"/>
          </w:tcPr>
          <w:p w14:paraId="08B499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947" w:type="dxa"/>
            <w:vMerge w:val="continue"/>
            <w:tcBorders>
              <w:left w:val="single" w:color="auto" w:sz="4" w:space="0"/>
              <w:bottom w:val="single" w:color="auto" w:sz="4" w:space="0"/>
              <w:right w:val="single" w:color="auto" w:sz="4" w:space="0"/>
            </w:tcBorders>
            <w:noWrap w:val="0"/>
            <w:vAlign w:val="center"/>
          </w:tcPr>
          <w:p w14:paraId="178671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738BF2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处置原市政建设总公司改制遗留问题</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B4A2C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解决原改制职工困难，避免信访事件。</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3EE80D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及时解决</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26EF96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6</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4F8970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3ABC10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r>
      <w:tr w14:paraId="11928DE9">
        <w:tblPrEx>
          <w:tblCellMar>
            <w:top w:w="0" w:type="dxa"/>
            <w:left w:w="108" w:type="dxa"/>
            <w:bottom w:w="0" w:type="dxa"/>
            <w:right w:w="108" w:type="dxa"/>
          </w:tblCellMar>
        </w:tblPrEx>
        <w:trPr>
          <w:jc w:val="center"/>
        </w:trPr>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65FACA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0A9BA8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5767E4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1DC1F2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04CC70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74C748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服务对象满意度</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820A9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90%以上</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2EECDF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94%以上</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4A7F5D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320C7108">
            <w:pPr>
              <w:keepNext w:val="0"/>
              <w:keepLines w:val="0"/>
              <w:pageBreakBefore w:val="0"/>
              <w:widowControl/>
              <w:kinsoku/>
              <w:wordWrap/>
              <w:overflowPunct/>
              <w:topLinePunct w:val="0"/>
              <w:autoSpaceDE/>
              <w:autoSpaceDN/>
              <w:bidi w:val="0"/>
              <w:adjustRightInd/>
              <w:snapToGrid/>
              <w:spacing w:line="280" w:lineRule="exact"/>
              <w:ind w:firstLine="200" w:firstLineChars="100"/>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3D7670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EC1FC77">
        <w:tblPrEx>
          <w:tblCellMar>
            <w:top w:w="0" w:type="dxa"/>
            <w:left w:w="108" w:type="dxa"/>
            <w:bottom w:w="0" w:type="dxa"/>
            <w:right w:w="108" w:type="dxa"/>
          </w:tblCellMar>
        </w:tblPrEx>
        <w:trPr>
          <w:trHeight w:val="425" w:hRule="atLeast"/>
          <w:jc w:val="center"/>
        </w:trPr>
        <w:tc>
          <w:tcPr>
            <w:tcW w:w="6881" w:type="dxa"/>
            <w:gridSpan w:val="6"/>
            <w:tcBorders>
              <w:top w:val="single" w:color="auto" w:sz="4" w:space="0"/>
              <w:left w:val="single" w:color="auto" w:sz="4" w:space="0"/>
              <w:bottom w:val="single" w:color="auto" w:sz="4" w:space="0"/>
              <w:right w:val="single" w:color="auto" w:sz="4" w:space="0"/>
            </w:tcBorders>
            <w:noWrap w:val="0"/>
            <w:vAlign w:val="center"/>
          </w:tcPr>
          <w:p w14:paraId="7298C6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617336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6216BE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98.99</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6C0B02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r>
    </w:tbl>
    <w:p w14:paraId="26B1D89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highlight w:val="none"/>
        </w:rPr>
      </w:pPr>
    </w:p>
    <w:p w14:paraId="49C8C54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sz w:val="22"/>
          <w:szCs w:val="22"/>
          <w:highlight w:val="none"/>
          <w:lang w:val="en-US" w:eastAsia="zh-CN"/>
        </w:rPr>
      </w:pPr>
      <w:r>
        <w:rPr>
          <w:rFonts w:hint="eastAsia" w:ascii="仿宋_GB2312" w:hAnsi="仿宋_GB2312" w:eastAsia="仿宋_GB2312" w:cs="仿宋_GB2312"/>
          <w:sz w:val="22"/>
          <w:szCs w:val="22"/>
          <w:highlight w:val="none"/>
        </w:rPr>
        <w:t>填表人：</w:t>
      </w:r>
      <w:r>
        <w:rPr>
          <w:rFonts w:hint="eastAsia" w:ascii="仿宋_GB2312" w:hAnsi="仿宋_GB2312" w:eastAsia="仿宋_GB2312" w:cs="仿宋_GB2312"/>
          <w:color w:val="000000" w:themeColor="text1"/>
          <w:spacing w:val="0"/>
          <w:sz w:val="22"/>
          <w:szCs w:val="22"/>
          <w:lang w:eastAsia="zh-CN"/>
          <w14:textFill>
            <w14:solidFill>
              <w14:schemeClr w14:val="tx1"/>
            </w14:solidFill>
          </w14:textFill>
        </w:rPr>
        <w:t>刘</w:t>
      </w:r>
      <w:r>
        <w:rPr>
          <w:rFonts w:hint="eastAsia" w:ascii="仿宋_GB2312" w:hAnsi="仿宋_GB2312" w:eastAsia="仿宋_GB2312" w:cs="仿宋_GB2312"/>
          <w:color w:val="000000" w:themeColor="text1"/>
          <w:spacing w:val="0"/>
          <w:sz w:val="22"/>
          <w:szCs w:val="2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sz w:val="22"/>
          <w:szCs w:val="22"/>
          <w:lang w:eastAsia="zh-CN"/>
          <w14:textFill>
            <w14:solidFill>
              <w14:schemeClr w14:val="tx1"/>
            </w14:solidFill>
          </w14:textFill>
        </w:rPr>
        <w:t>蓓</w:t>
      </w:r>
      <w:r>
        <w:rPr>
          <w:rFonts w:hint="eastAsia" w:ascii="仿宋_GB2312" w:hAnsi="仿宋_GB2312" w:eastAsia="仿宋_GB2312" w:cs="仿宋_GB2312"/>
          <w:sz w:val="22"/>
          <w:szCs w:val="22"/>
          <w:highlight w:val="none"/>
        </w:rPr>
        <w:t xml:space="preserve">  填报日期：</w:t>
      </w:r>
      <w:r>
        <w:rPr>
          <w:rFonts w:hint="eastAsia" w:ascii="仿宋_GB2312" w:hAnsi="仿宋_GB2312" w:eastAsia="仿宋_GB2312" w:cs="仿宋_GB2312"/>
          <w:sz w:val="22"/>
          <w:szCs w:val="22"/>
          <w:highlight w:val="none"/>
          <w:lang w:val="en-US" w:eastAsia="zh-CN"/>
        </w:rPr>
        <w:t xml:space="preserve">2026.6.23 </w:t>
      </w:r>
      <w:r>
        <w:rPr>
          <w:rFonts w:hint="eastAsia" w:ascii="仿宋_GB2312" w:hAnsi="仿宋_GB2312" w:eastAsia="仿宋_GB2312" w:cs="仿宋_GB2312"/>
          <w:sz w:val="22"/>
          <w:szCs w:val="22"/>
          <w:highlight w:val="none"/>
        </w:rPr>
        <w:t>联系电话：</w:t>
      </w:r>
      <w:r>
        <w:rPr>
          <w:rFonts w:hint="eastAsia" w:ascii="仿宋_GB2312" w:hAnsi="仿宋_GB2312" w:eastAsia="仿宋_GB2312" w:cs="仿宋_GB2312"/>
          <w:sz w:val="22"/>
          <w:szCs w:val="22"/>
          <w:highlight w:val="none"/>
          <w:lang w:val="en-US" w:eastAsia="zh-CN"/>
        </w:rPr>
        <w:t>0730-</w:t>
      </w:r>
      <w:r>
        <w:rPr>
          <w:rFonts w:hint="eastAsia" w:ascii="仿宋_GB2312" w:hAnsi="仿宋_GB2312" w:eastAsia="仿宋_GB2312" w:cs="仿宋_GB2312"/>
          <w:color w:val="000000" w:themeColor="text1"/>
          <w:spacing w:val="0"/>
          <w:sz w:val="22"/>
          <w:szCs w:val="22"/>
          <w:lang w:val="en-US" w:eastAsia="zh-CN"/>
          <w14:textFill>
            <w14:solidFill>
              <w14:schemeClr w14:val="tx1"/>
            </w14:solidFill>
          </w14:textFill>
        </w:rPr>
        <w:t>822281</w:t>
      </w:r>
      <w:r>
        <w:rPr>
          <w:rFonts w:hint="eastAsia" w:ascii="仿宋_GB2312" w:hAnsi="仿宋_GB2312" w:eastAsia="仿宋_GB2312" w:cs="仿宋_GB2312"/>
          <w:sz w:val="22"/>
          <w:szCs w:val="22"/>
          <w:highlight w:val="none"/>
          <w:lang w:val="en-US" w:eastAsia="zh-CN"/>
        </w:rPr>
        <w:t xml:space="preserve">  </w:t>
      </w:r>
      <w:r>
        <w:rPr>
          <w:rFonts w:hint="eastAsia" w:ascii="仿宋_GB2312" w:hAnsi="仿宋_GB2312" w:eastAsia="仿宋_GB2312" w:cs="仿宋_GB2312"/>
          <w:sz w:val="22"/>
          <w:szCs w:val="22"/>
          <w:highlight w:val="none"/>
        </w:rPr>
        <w:t xml:space="preserve"> 单位负责人：</w:t>
      </w:r>
      <w:r>
        <w:rPr>
          <w:rFonts w:hint="eastAsia" w:ascii="仿宋_GB2312" w:hAnsi="仿宋_GB2312" w:eastAsia="仿宋_GB2312" w:cs="仿宋_GB2312"/>
          <w:sz w:val="22"/>
          <w:szCs w:val="22"/>
          <w:highlight w:val="none"/>
          <w:lang w:eastAsia="zh-CN"/>
        </w:rPr>
        <w:t>郑</w:t>
      </w:r>
      <w:r>
        <w:rPr>
          <w:rFonts w:hint="eastAsia" w:ascii="仿宋_GB2312" w:hAnsi="仿宋_GB2312" w:eastAsia="仿宋_GB2312" w:cs="仿宋_GB2312"/>
          <w:sz w:val="22"/>
          <w:szCs w:val="22"/>
          <w:highlight w:val="none"/>
          <w:lang w:val="en-US" w:eastAsia="zh-CN"/>
        </w:rPr>
        <w:t xml:space="preserve">  伟</w:t>
      </w:r>
    </w:p>
    <w:p w14:paraId="773B0117">
      <w:pPr>
        <w:widowControl/>
        <w:spacing w:line="600" w:lineRule="exact"/>
        <w:jc w:val="left"/>
        <w:rPr>
          <w:rFonts w:hint="eastAsia" w:ascii="黑体" w:hAnsi="黑体" w:eastAsia="黑体" w:cs="黑体"/>
          <w:color w:val="auto"/>
          <w:sz w:val="32"/>
          <w:szCs w:val="32"/>
          <w:highlight w:val="none"/>
        </w:rPr>
      </w:pPr>
    </w:p>
    <w:p w14:paraId="253C4C3E">
      <w:pPr>
        <w:widowControl/>
        <w:spacing w:line="600" w:lineRule="exact"/>
        <w:jc w:val="lef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1-4</w:t>
      </w:r>
    </w:p>
    <w:p w14:paraId="0783F2F5">
      <w:pPr>
        <w:pStyle w:val="2"/>
        <w:rPr>
          <w:rFonts w:hint="eastAsia"/>
          <w:sz w:val="21"/>
          <w:szCs w:val="21"/>
          <w:lang w:val="en-US" w:eastAsia="zh-CN"/>
        </w:rPr>
      </w:pPr>
    </w:p>
    <w:p w14:paraId="6AA090C8">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p w14:paraId="2046189E">
      <w:pPr>
        <w:widowControl/>
        <w:spacing w:line="600" w:lineRule="exact"/>
        <w:jc w:val="center"/>
        <w:rPr>
          <w:rFonts w:hint="eastAsia" w:ascii="方正小标宋简体" w:hAnsi="方正小标宋简体" w:eastAsia="方正小标宋简体" w:cs="方正小标宋简体"/>
          <w:color w:val="000000"/>
          <w:sz w:val="15"/>
          <w:szCs w:val="15"/>
          <w:highlight w:val="none"/>
        </w:rPr>
      </w:pPr>
    </w:p>
    <w:tbl>
      <w:tblPr>
        <w:tblStyle w:val="10"/>
        <w:tblW w:w="9851" w:type="dxa"/>
        <w:jc w:val="center"/>
        <w:tblLayout w:type="autofit"/>
        <w:tblCellMar>
          <w:top w:w="0" w:type="dxa"/>
          <w:left w:w="108" w:type="dxa"/>
          <w:bottom w:w="0" w:type="dxa"/>
          <w:right w:w="108" w:type="dxa"/>
        </w:tblCellMar>
      </w:tblPr>
      <w:tblGrid>
        <w:gridCol w:w="970"/>
        <w:gridCol w:w="1005"/>
        <w:gridCol w:w="941"/>
        <w:gridCol w:w="1716"/>
        <w:gridCol w:w="1058"/>
        <w:gridCol w:w="1140"/>
        <w:gridCol w:w="673"/>
        <w:gridCol w:w="1096"/>
        <w:gridCol w:w="1252"/>
      </w:tblGrid>
      <w:tr w14:paraId="4ED45260">
        <w:tblPrEx>
          <w:tblCellMar>
            <w:top w:w="0" w:type="dxa"/>
            <w:left w:w="108" w:type="dxa"/>
            <w:bottom w:w="0" w:type="dxa"/>
            <w:right w:w="108" w:type="dxa"/>
          </w:tblCellMar>
        </w:tblPrEx>
        <w:trPr>
          <w:jc w:val="center"/>
        </w:trPr>
        <w:tc>
          <w:tcPr>
            <w:tcW w:w="970" w:type="dxa"/>
            <w:tcBorders>
              <w:top w:val="single" w:color="auto" w:sz="4" w:space="0"/>
              <w:left w:val="single" w:color="auto" w:sz="4" w:space="0"/>
              <w:bottom w:val="single" w:color="auto" w:sz="4" w:space="0"/>
              <w:right w:val="single" w:color="auto" w:sz="4" w:space="0"/>
            </w:tcBorders>
            <w:noWrap w:val="0"/>
            <w:vAlign w:val="center"/>
          </w:tcPr>
          <w:p w14:paraId="7C8A97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46FAFD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881" w:type="dxa"/>
            <w:gridSpan w:val="8"/>
            <w:tcBorders>
              <w:top w:val="single" w:color="auto" w:sz="4" w:space="0"/>
              <w:left w:val="single" w:color="auto" w:sz="4" w:space="0"/>
              <w:bottom w:val="single" w:color="auto" w:sz="4" w:space="0"/>
              <w:right w:val="single" w:color="auto" w:sz="4" w:space="0"/>
            </w:tcBorders>
            <w:noWrap w:val="0"/>
            <w:vAlign w:val="center"/>
          </w:tcPr>
          <w:p w14:paraId="02BADC8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sz w:val="20"/>
                <w:szCs w:val="20"/>
                <w:highlight w:val="none"/>
                <w:lang w:val="en-US" w:eastAsia="zh-CN"/>
              </w:rPr>
              <w:t>旅发大会桥梁隧道涂装翻新项目</w:t>
            </w:r>
          </w:p>
        </w:tc>
      </w:tr>
      <w:tr w14:paraId="4CE640B7">
        <w:tblPrEx>
          <w:tblCellMar>
            <w:top w:w="0" w:type="dxa"/>
            <w:left w:w="108" w:type="dxa"/>
            <w:bottom w:w="0" w:type="dxa"/>
            <w:right w:w="108" w:type="dxa"/>
          </w:tblCellMar>
        </w:tblPrEx>
        <w:trPr>
          <w:jc w:val="center"/>
        </w:trPr>
        <w:tc>
          <w:tcPr>
            <w:tcW w:w="970" w:type="dxa"/>
            <w:tcBorders>
              <w:top w:val="single" w:color="auto" w:sz="4" w:space="0"/>
              <w:left w:val="single" w:color="auto" w:sz="4" w:space="0"/>
              <w:bottom w:val="single" w:color="auto" w:sz="4" w:space="0"/>
              <w:right w:val="single" w:color="auto" w:sz="4" w:space="0"/>
            </w:tcBorders>
            <w:noWrap w:val="0"/>
            <w:vAlign w:val="center"/>
          </w:tcPr>
          <w:p w14:paraId="40B5A34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720" w:type="dxa"/>
            <w:gridSpan w:val="4"/>
            <w:tcBorders>
              <w:top w:val="single" w:color="auto" w:sz="4" w:space="0"/>
              <w:left w:val="single" w:color="auto" w:sz="4" w:space="0"/>
              <w:bottom w:val="single" w:color="auto" w:sz="4" w:space="0"/>
              <w:right w:val="single" w:color="auto" w:sz="4" w:space="0"/>
            </w:tcBorders>
            <w:noWrap w:val="0"/>
            <w:vAlign w:val="center"/>
          </w:tcPr>
          <w:p w14:paraId="6D79F813">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lang w:eastAsia="zh-CN"/>
                <w14:textFill>
                  <w14:solidFill>
                    <w14:schemeClr w14:val="tx1"/>
                  </w14:solidFill>
                </w14:textFill>
              </w:rPr>
              <w:t>岳阳市城市管理和综合执法局</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15BC7AF4">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14:textFill>
                  <w14:solidFill>
                    <w14:schemeClr w14:val="tx1"/>
                  </w14:solidFill>
                </w14:textFill>
              </w:rPr>
              <w:t>实施单位</w:t>
            </w:r>
          </w:p>
        </w:tc>
        <w:tc>
          <w:tcPr>
            <w:tcW w:w="3021" w:type="dxa"/>
            <w:gridSpan w:val="3"/>
            <w:tcBorders>
              <w:top w:val="single" w:color="auto" w:sz="4" w:space="0"/>
              <w:left w:val="single" w:color="auto" w:sz="4" w:space="0"/>
              <w:bottom w:val="single" w:color="auto" w:sz="4" w:space="0"/>
              <w:right w:val="single" w:color="auto" w:sz="4" w:space="0"/>
            </w:tcBorders>
            <w:noWrap w:val="0"/>
            <w:vAlign w:val="center"/>
          </w:tcPr>
          <w:p w14:paraId="3226348B">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lang w:eastAsia="zh-CN"/>
                <w14:textFill>
                  <w14:solidFill>
                    <w14:schemeClr w14:val="tx1"/>
                  </w14:solidFill>
                </w14:textFill>
              </w:rPr>
              <w:t>岳阳市市政维护管理中心</w:t>
            </w:r>
          </w:p>
        </w:tc>
      </w:tr>
      <w:tr w14:paraId="2085B3D6">
        <w:tblPrEx>
          <w:tblCellMar>
            <w:top w:w="0" w:type="dxa"/>
            <w:left w:w="108" w:type="dxa"/>
            <w:bottom w:w="0" w:type="dxa"/>
            <w:right w:w="108" w:type="dxa"/>
          </w:tblCellMar>
        </w:tblPrEx>
        <w:trPr>
          <w:jc w:val="center"/>
        </w:trPr>
        <w:tc>
          <w:tcPr>
            <w:tcW w:w="970" w:type="dxa"/>
            <w:vMerge w:val="restart"/>
            <w:tcBorders>
              <w:top w:val="single" w:color="auto" w:sz="4" w:space="0"/>
              <w:left w:val="single" w:color="auto" w:sz="4" w:space="0"/>
              <w:bottom w:val="single" w:color="auto" w:sz="4" w:space="0"/>
              <w:right w:val="single" w:color="auto" w:sz="4" w:space="0"/>
            </w:tcBorders>
            <w:noWrap w:val="0"/>
            <w:vAlign w:val="center"/>
          </w:tcPr>
          <w:p w14:paraId="439C17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1946" w:type="dxa"/>
            <w:gridSpan w:val="2"/>
            <w:tcBorders>
              <w:top w:val="single" w:color="auto" w:sz="4" w:space="0"/>
              <w:left w:val="single" w:color="auto" w:sz="4" w:space="0"/>
              <w:bottom w:val="single" w:color="auto" w:sz="4" w:space="0"/>
              <w:right w:val="single" w:color="auto" w:sz="4" w:space="0"/>
            </w:tcBorders>
            <w:noWrap w:val="0"/>
            <w:vAlign w:val="center"/>
          </w:tcPr>
          <w:p w14:paraId="072A459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75CE71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2FB241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7005579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2F1843A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19FA5C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781AFEE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17D569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22B78AC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20E1B3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69E77809">
        <w:tblPrEx>
          <w:tblCellMar>
            <w:top w:w="0" w:type="dxa"/>
            <w:left w:w="108" w:type="dxa"/>
            <w:bottom w:w="0" w:type="dxa"/>
            <w:right w:w="108" w:type="dxa"/>
          </w:tblCellMar>
        </w:tblPrEx>
        <w:trPr>
          <w:trHeight w:val="405" w:hRule="atLeast"/>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4C7BD87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946" w:type="dxa"/>
            <w:gridSpan w:val="2"/>
            <w:tcBorders>
              <w:top w:val="single" w:color="auto" w:sz="4" w:space="0"/>
              <w:left w:val="single" w:color="auto" w:sz="4" w:space="0"/>
              <w:bottom w:val="single" w:color="auto" w:sz="4" w:space="0"/>
              <w:right w:val="single" w:color="auto" w:sz="4" w:space="0"/>
            </w:tcBorders>
            <w:noWrap w:val="0"/>
            <w:vAlign w:val="center"/>
          </w:tcPr>
          <w:p w14:paraId="3184636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511F6E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F51FD2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267.45</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14DF59E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256.94</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417BE80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10</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22ECC2C0">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96.07%</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6C4FAE6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9.61</w:t>
            </w:r>
          </w:p>
        </w:tc>
      </w:tr>
      <w:tr w14:paraId="6F4EBDC9">
        <w:tblPrEx>
          <w:tblCellMar>
            <w:top w:w="0" w:type="dxa"/>
            <w:left w:w="108" w:type="dxa"/>
            <w:bottom w:w="0" w:type="dxa"/>
            <w:right w:w="108" w:type="dxa"/>
          </w:tblCellMar>
        </w:tblPrEx>
        <w:trPr>
          <w:trHeight w:val="485" w:hRule="atLeast"/>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548D599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946" w:type="dxa"/>
            <w:gridSpan w:val="2"/>
            <w:tcBorders>
              <w:top w:val="single" w:color="auto" w:sz="4" w:space="0"/>
              <w:left w:val="single" w:color="auto" w:sz="4" w:space="0"/>
              <w:bottom w:val="single" w:color="auto" w:sz="4" w:space="0"/>
              <w:right w:val="single" w:color="auto" w:sz="4" w:space="0"/>
            </w:tcBorders>
            <w:noWrap w:val="0"/>
            <w:vAlign w:val="center"/>
          </w:tcPr>
          <w:p w14:paraId="30C8FD6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153993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3B579A2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267.45</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EFCB59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256.94</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4B6EFAF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691B895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060DFA5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C7EF46C">
        <w:tblPrEx>
          <w:tblCellMar>
            <w:top w:w="0" w:type="dxa"/>
            <w:left w:w="108" w:type="dxa"/>
            <w:bottom w:w="0" w:type="dxa"/>
            <w:right w:w="108" w:type="dxa"/>
          </w:tblCellMar>
        </w:tblPrEx>
        <w:trPr>
          <w:trHeight w:val="480" w:hRule="atLeast"/>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1CD2904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946" w:type="dxa"/>
            <w:gridSpan w:val="2"/>
            <w:tcBorders>
              <w:top w:val="single" w:color="auto" w:sz="4" w:space="0"/>
              <w:left w:val="single" w:color="auto" w:sz="4" w:space="0"/>
              <w:bottom w:val="single" w:color="auto" w:sz="4" w:space="0"/>
              <w:right w:val="single" w:color="auto" w:sz="4" w:space="0"/>
            </w:tcBorders>
            <w:noWrap w:val="0"/>
            <w:vAlign w:val="center"/>
          </w:tcPr>
          <w:p w14:paraId="00E967A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179F7D1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6BA9E13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123701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p>
        </w:tc>
        <w:tc>
          <w:tcPr>
            <w:tcW w:w="673" w:type="dxa"/>
            <w:tcBorders>
              <w:top w:val="single" w:color="auto" w:sz="4" w:space="0"/>
              <w:left w:val="single" w:color="auto" w:sz="4" w:space="0"/>
              <w:bottom w:val="single" w:color="auto" w:sz="4" w:space="0"/>
              <w:right w:val="single" w:color="auto" w:sz="4" w:space="0"/>
            </w:tcBorders>
            <w:noWrap w:val="0"/>
            <w:vAlign w:val="center"/>
          </w:tcPr>
          <w:p w14:paraId="5F67CC8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4685E9A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2DF1AE8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ACCBBD3">
        <w:tblPrEx>
          <w:tblCellMar>
            <w:top w:w="0" w:type="dxa"/>
            <w:left w:w="108" w:type="dxa"/>
            <w:bottom w:w="0" w:type="dxa"/>
            <w:right w:w="108" w:type="dxa"/>
          </w:tblCellMar>
        </w:tblPrEx>
        <w:trPr>
          <w:trHeight w:val="530" w:hRule="atLeast"/>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3D326ED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946" w:type="dxa"/>
            <w:gridSpan w:val="2"/>
            <w:tcBorders>
              <w:top w:val="single" w:color="auto" w:sz="4" w:space="0"/>
              <w:left w:val="single" w:color="auto" w:sz="4" w:space="0"/>
              <w:bottom w:val="single" w:color="auto" w:sz="4" w:space="0"/>
              <w:right w:val="single" w:color="auto" w:sz="4" w:space="0"/>
            </w:tcBorders>
            <w:noWrap w:val="0"/>
            <w:vAlign w:val="center"/>
          </w:tcPr>
          <w:p w14:paraId="66608850">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2792708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60D4B44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5168B0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1390A16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7BC5862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613DC94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2B2109B">
        <w:tblPrEx>
          <w:tblCellMar>
            <w:top w:w="0" w:type="dxa"/>
            <w:left w:w="108" w:type="dxa"/>
            <w:bottom w:w="0" w:type="dxa"/>
            <w:right w:w="108" w:type="dxa"/>
          </w:tblCellMar>
        </w:tblPrEx>
        <w:trPr>
          <w:trHeight w:val="590" w:hRule="atLeast"/>
          <w:jc w:val="center"/>
        </w:trPr>
        <w:tc>
          <w:tcPr>
            <w:tcW w:w="970" w:type="dxa"/>
            <w:vMerge w:val="restart"/>
            <w:tcBorders>
              <w:top w:val="single" w:color="auto" w:sz="4" w:space="0"/>
              <w:left w:val="single" w:color="auto" w:sz="4" w:space="0"/>
              <w:bottom w:val="single" w:color="auto" w:sz="4" w:space="0"/>
              <w:right w:val="single" w:color="auto" w:sz="4" w:space="0"/>
            </w:tcBorders>
            <w:noWrap w:val="0"/>
            <w:vAlign w:val="center"/>
          </w:tcPr>
          <w:p w14:paraId="3CFEC7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720" w:type="dxa"/>
            <w:gridSpan w:val="4"/>
            <w:tcBorders>
              <w:top w:val="single" w:color="auto" w:sz="4" w:space="0"/>
              <w:left w:val="single" w:color="auto" w:sz="4" w:space="0"/>
              <w:bottom w:val="single" w:color="auto" w:sz="4" w:space="0"/>
              <w:right w:val="single" w:color="auto" w:sz="4" w:space="0"/>
            </w:tcBorders>
            <w:noWrap w:val="0"/>
            <w:vAlign w:val="center"/>
          </w:tcPr>
          <w:p w14:paraId="4367F3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161" w:type="dxa"/>
            <w:gridSpan w:val="4"/>
            <w:tcBorders>
              <w:top w:val="single" w:color="auto" w:sz="4" w:space="0"/>
              <w:left w:val="single" w:color="auto" w:sz="4" w:space="0"/>
              <w:bottom w:val="single" w:color="auto" w:sz="4" w:space="0"/>
              <w:right w:val="single" w:color="auto" w:sz="4" w:space="0"/>
            </w:tcBorders>
            <w:noWrap w:val="0"/>
            <w:vAlign w:val="center"/>
          </w:tcPr>
          <w:p w14:paraId="5460728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08DAC51E">
        <w:tblPrEx>
          <w:tblCellMar>
            <w:top w:w="0" w:type="dxa"/>
            <w:left w:w="108" w:type="dxa"/>
            <w:bottom w:w="0" w:type="dxa"/>
            <w:right w:w="108" w:type="dxa"/>
          </w:tblCellMar>
        </w:tblPrEx>
        <w:trPr>
          <w:trHeight w:val="1290" w:hRule="atLeast"/>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266EF66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4720" w:type="dxa"/>
            <w:gridSpan w:val="4"/>
            <w:tcBorders>
              <w:top w:val="single" w:color="auto" w:sz="4" w:space="0"/>
              <w:left w:val="single" w:color="auto" w:sz="4" w:space="0"/>
              <w:bottom w:val="single" w:color="auto" w:sz="4" w:space="0"/>
              <w:right w:val="single" w:color="auto" w:sz="4" w:space="0"/>
            </w:tcBorders>
            <w:noWrap w:val="0"/>
            <w:vAlign w:val="center"/>
          </w:tcPr>
          <w:p w14:paraId="007937A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auto"/>
                <w:sz w:val="20"/>
                <w:szCs w:val="20"/>
                <w:highlight w:val="none"/>
                <w:lang w:val="en-US"/>
              </w:rPr>
            </w:pPr>
            <w:r>
              <w:rPr>
                <w:rFonts w:hint="eastAsia" w:ascii="仿宋_GB2312" w:hAnsi="仿宋_GB2312" w:eastAsia="仿宋_GB2312" w:cs="仿宋_GB2312"/>
                <w:color w:val="auto"/>
                <w:spacing w:val="0"/>
                <w:sz w:val="20"/>
                <w:szCs w:val="20"/>
                <w:lang w:val="en-US" w:eastAsia="zh-CN"/>
              </w:rPr>
              <w:t xml:space="preserve">  对市中心城区部分桥梁、隧道进行涂装翻新，改善城乡风貌，提升城市整体形象，助力第四届湖南旅游发展大会成功举办。</w:t>
            </w:r>
          </w:p>
        </w:tc>
        <w:tc>
          <w:tcPr>
            <w:tcW w:w="4161" w:type="dxa"/>
            <w:gridSpan w:val="4"/>
            <w:tcBorders>
              <w:top w:val="single" w:color="auto" w:sz="4" w:space="0"/>
              <w:left w:val="single" w:color="auto" w:sz="4" w:space="0"/>
              <w:bottom w:val="single" w:color="auto" w:sz="4" w:space="0"/>
              <w:right w:val="single" w:color="auto" w:sz="4" w:space="0"/>
            </w:tcBorders>
            <w:noWrap w:val="0"/>
            <w:vAlign w:val="center"/>
          </w:tcPr>
          <w:p w14:paraId="1DC6379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及时</w:t>
            </w:r>
            <w:r>
              <w:rPr>
                <w:rFonts w:hint="eastAsia" w:ascii="仿宋_GB2312" w:hAnsi="仿宋_GB2312" w:eastAsia="仿宋_GB2312" w:cs="仿宋_GB2312"/>
                <w:color w:val="auto"/>
                <w:spacing w:val="0"/>
                <w:sz w:val="20"/>
                <w:szCs w:val="20"/>
                <w:lang w:val="en-US" w:eastAsia="zh-CN"/>
              </w:rPr>
              <w:t>对市中心城区16座桥梁（含8座人行天桥）、1条隧道进行涂装翻新，城乡风貌明显改善，城市整体形象得到提升，有效助力了第四届湖南旅游发展大会成功举办。</w:t>
            </w:r>
          </w:p>
        </w:tc>
      </w:tr>
      <w:tr w14:paraId="7B2B5457">
        <w:tblPrEx>
          <w:tblCellMar>
            <w:top w:w="0" w:type="dxa"/>
            <w:left w:w="108" w:type="dxa"/>
            <w:bottom w:w="0" w:type="dxa"/>
            <w:right w:w="108" w:type="dxa"/>
          </w:tblCellMar>
        </w:tblPrEx>
        <w:trPr>
          <w:jc w:val="center"/>
        </w:trPr>
        <w:tc>
          <w:tcPr>
            <w:tcW w:w="970" w:type="dxa"/>
            <w:vMerge w:val="restart"/>
            <w:tcBorders>
              <w:top w:val="single" w:color="auto" w:sz="4" w:space="0"/>
              <w:left w:val="single" w:color="auto" w:sz="4" w:space="0"/>
              <w:bottom w:val="single" w:color="auto" w:sz="4" w:space="0"/>
              <w:right w:val="single" w:color="auto" w:sz="4" w:space="0"/>
            </w:tcBorders>
            <w:noWrap w:val="0"/>
            <w:vAlign w:val="center"/>
          </w:tcPr>
          <w:p w14:paraId="12D5D18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1D9ED8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0C3E686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709C68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6148FF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一级指标</w:t>
            </w:r>
          </w:p>
        </w:tc>
        <w:tc>
          <w:tcPr>
            <w:tcW w:w="941" w:type="dxa"/>
            <w:tcBorders>
              <w:top w:val="single" w:color="auto" w:sz="4" w:space="0"/>
              <w:left w:val="single" w:color="auto" w:sz="4" w:space="0"/>
              <w:bottom w:val="single" w:color="auto" w:sz="4" w:space="0"/>
              <w:right w:val="single" w:color="auto" w:sz="4" w:space="0"/>
            </w:tcBorders>
            <w:noWrap w:val="0"/>
            <w:vAlign w:val="center"/>
          </w:tcPr>
          <w:p w14:paraId="0DA7AD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二级指标</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1BDF4A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三级指标</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2967BD4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年度</w:t>
            </w:r>
          </w:p>
          <w:p w14:paraId="403A24F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指标值</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C7AD6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60D9671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67FAA23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0AAB09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543536AC">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29CFC92C">
        <w:tblPrEx>
          <w:tblCellMar>
            <w:top w:w="0" w:type="dxa"/>
            <w:left w:w="108" w:type="dxa"/>
            <w:bottom w:w="0" w:type="dxa"/>
            <w:right w:w="108" w:type="dxa"/>
          </w:tblCellMar>
        </w:tblPrEx>
        <w:trPr>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108965D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05" w:type="dxa"/>
            <w:vMerge w:val="restart"/>
            <w:tcBorders>
              <w:top w:val="single" w:color="auto" w:sz="4" w:space="0"/>
              <w:left w:val="single" w:color="auto" w:sz="4" w:space="0"/>
              <w:bottom w:val="single" w:color="auto" w:sz="4" w:space="0"/>
              <w:right w:val="single" w:color="auto" w:sz="4" w:space="0"/>
            </w:tcBorders>
            <w:noWrap w:val="0"/>
            <w:vAlign w:val="center"/>
          </w:tcPr>
          <w:p w14:paraId="5A9BCC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67E88BA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156299E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941" w:type="dxa"/>
            <w:vMerge w:val="restart"/>
            <w:tcBorders>
              <w:top w:val="single" w:color="auto" w:sz="4" w:space="0"/>
              <w:left w:val="single" w:color="auto" w:sz="4" w:space="0"/>
              <w:bottom w:val="single" w:color="auto" w:sz="4" w:space="0"/>
              <w:right w:val="single" w:color="auto" w:sz="4" w:space="0"/>
            </w:tcBorders>
            <w:noWrap w:val="0"/>
            <w:vAlign w:val="center"/>
          </w:tcPr>
          <w:p w14:paraId="4D2793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06148893">
            <w:pPr>
              <w:keepNext w:val="0"/>
              <w:keepLines w:val="0"/>
              <w:widowControl/>
              <w:suppressLineNumbers w:val="0"/>
              <w:jc w:val="left"/>
              <w:textAlignment w:val="center"/>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i w:val="0"/>
                <w:color w:val="000000"/>
                <w:kern w:val="0"/>
                <w:sz w:val="20"/>
                <w:szCs w:val="20"/>
                <w:u w:val="none"/>
                <w:lang w:val="en-US" w:eastAsia="zh-CN" w:bidi="ar"/>
              </w:rPr>
              <w:t>重点桥梁维护翻新</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27FBCE88">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8座</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619384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8座</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3A20E4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0F09D83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654C909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p>
        </w:tc>
      </w:tr>
      <w:tr w14:paraId="1A3B5430">
        <w:tblPrEx>
          <w:tblCellMar>
            <w:top w:w="0" w:type="dxa"/>
            <w:left w:w="108" w:type="dxa"/>
            <w:bottom w:w="0" w:type="dxa"/>
            <w:right w:w="108" w:type="dxa"/>
          </w:tblCellMar>
        </w:tblPrEx>
        <w:trPr>
          <w:trHeight w:val="635" w:hRule="atLeast"/>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39E5753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05" w:type="dxa"/>
            <w:vMerge w:val="continue"/>
            <w:tcBorders>
              <w:top w:val="single" w:color="auto" w:sz="4" w:space="0"/>
              <w:left w:val="single" w:color="auto" w:sz="4" w:space="0"/>
              <w:bottom w:val="single" w:color="auto" w:sz="4" w:space="0"/>
              <w:right w:val="single" w:color="auto" w:sz="4" w:space="0"/>
            </w:tcBorders>
            <w:noWrap w:val="0"/>
            <w:vAlign w:val="center"/>
          </w:tcPr>
          <w:p w14:paraId="1660BD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941" w:type="dxa"/>
            <w:vMerge w:val="continue"/>
            <w:tcBorders>
              <w:top w:val="single" w:color="auto" w:sz="4" w:space="0"/>
              <w:left w:val="single" w:color="auto" w:sz="4" w:space="0"/>
              <w:bottom w:val="single" w:color="auto" w:sz="4" w:space="0"/>
              <w:right w:val="single" w:color="auto" w:sz="4" w:space="0"/>
            </w:tcBorders>
            <w:noWrap w:val="0"/>
            <w:vAlign w:val="center"/>
          </w:tcPr>
          <w:p w14:paraId="57D1F4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716" w:type="dxa"/>
            <w:tcBorders>
              <w:top w:val="single" w:color="auto" w:sz="4" w:space="0"/>
              <w:left w:val="single" w:color="auto" w:sz="4" w:space="0"/>
              <w:bottom w:val="single" w:color="auto" w:sz="4" w:space="0"/>
              <w:right w:val="single" w:color="auto" w:sz="4" w:space="0"/>
            </w:tcBorders>
            <w:noWrap w:val="0"/>
            <w:vAlign w:val="center"/>
          </w:tcPr>
          <w:p w14:paraId="2B734849">
            <w:pPr>
              <w:keepNext w:val="0"/>
              <w:keepLines w:val="0"/>
              <w:widowControl/>
              <w:suppressLineNumbers w:val="0"/>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auto"/>
                <w:spacing w:val="0"/>
                <w:sz w:val="20"/>
                <w:szCs w:val="20"/>
                <w:lang w:val="en-US" w:eastAsia="zh-CN"/>
              </w:rPr>
              <w:t>隧道涂装翻新</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2362AC1">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1 条</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B66F13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i w:val="0"/>
                <w:color w:val="000000"/>
                <w:kern w:val="0"/>
                <w:sz w:val="20"/>
                <w:szCs w:val="20"/>
                <w:u w:val="none"/>
                <w:lang w:val="en-US" w:eastAsia="zh-CN" w:bidi="ar"/>
              </w:rPr>
              <w:t>1 条</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6F535A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22FC33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56BDC7F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FF0000"/>
                <w:sz w:val="20"/>
                <w:szCs w:val="20"/>
                <w:highlight w:val="none"/>
                <w:lang w:val="en-US" w:eastAsia="zh-CN"/>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面积22624平方米</w:t>
            </w:r>
          </w:p>
        </w:tc>
      </w:tr>
      <w:tr w14:paraId="54000629">
        <w:tblPrEx>
          <w:tblCellMar>
            <w:top w:w="0" w:type="dxa"/>
            <w:left w:w="108" w:type="dxa"/>
            <w:bottom w:w="0" w:type="dxa"/>
            <w:right w:w="108" w:type="dxa"/>
          </w:tblCellMar>
        </w:tblPrEx>
        <w:trPr>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11FEC1F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05" w:type="dxa"/>
            <w:vMerge w:val="continue"/>
            <w:tcBorders>
              <w:top w:val="single" w:color="auto" w:sz="4" w:space="0"/>
              <w:left w:val="single" w:color="auto" w:sz="4" w:space="0"/>
              <w:bottom w:val="single" w:color="auto" w:sz="4" w:space="0"/>
              <w:right w:val="single" w:color="auto" w:sz="4" w:space="0"/>
            </w:tcBorders>
            <w:noWrap w:val="0"/>
            <w:vAlign w:val="center"/>
          </w:tcPr>
          <w:p w14:paraId="692E068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941" w:type="dxa"/>
            <w:vMerge w:val="continue"/>
            <w:tcBorders>
              <w:top w:val="single" w:color="auto" w:sz="4" w:space="0"/>
              <w:left w:val="single" w:color="auto" w:sz="4" w:space="0"/>
              <w:bottom w:val="single" w:color="auto" w:sz="4" w:space="0"/>
              <w:right w:val="single" w:color="auto" w:sz="4" w:space="0"/>
            </w:tcBorders>
            <w:noWrap w:val="0"/>
            <w:vAlign w:val="center"/>
          </w:tcPr>
          <w:p w14:paraId="37E304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716" w:type="dxa"/>
            <w:tcBorders>
              <w:top w:val="single" w:color="auto" w:sz="4" w:space="0"/>
              <w:left w:val="single" w:color="auto" w:sz="4" w:space="0"/>
              <w:bottom w:val="single" w:color="auto" w:sz="4" w:space="0"/>
              <w:right w:val="single" w:color="auto" w:sz="4" w:space="0"/>
            </w:tcBorders>
            <w:noWrap w:val="0"/>
            <w:vAlign w:val="center"/>
          </w:tcPr>
          <w:p w14:paraId="2C4C3FC9">
            <w:pPr>
              <w:keepNext w:val="0"/>
              <w:keepLines w:val="0"/>
              <w:widowControl/>
              <w:suppressLineNumbers w:val="0"/>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人行天桥</w:t>
            </w:r>
            <w:r>
              <w:rPr>
                <w:rFonts w:hint="eastAsia" w:ascii="仿宋_GB2312" w:hAnsi="仿宋_GB2312" w:eastAsia="仿宋_GB2312" w:cs="仿宋_GB2312"/>
                <w:i w:val="0"/>
                <w:color w:val="000000"/>
                <w:kern w:val="0"/>
                <w:sz w:val="20"/>
                <w:szCs w:val="20"/>
                <w:u w:val="none"/>
                <w:lang w:val="en-US" w:eastAsia="zh-CN" w:bidi="ar"/>
              </w:rPr>
              <w:t>维护翻新</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6408D637">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8座</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1F7D91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auto"/>
                <w:sz w:val="20"/>
                <w:szCs w:val="20"/>
                <w:lang w:val="en-US" w:eastAsia="zh-CN"/>
              </w:rPr>
              <w:t>8座</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1B3A7E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5613B0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76EA20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F24FB32">
        <w:tblPrEx>
          <w:tblCellMar>
            <w:top w:w="0" w:type="dxa"/>
            <w:left w:w="108" w:type="dxa"/>
            <w:bottom w:w="0" w:type="dxa"/>
            <w:right w:w="108" w:type="dxa"/>
          </w:tblCellMar>
        </w:tblPrEx>
        <w:trPr>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7924623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05" w:type="dxa"/>
            <w:vMerge w:val="continue"/>
            <w:tcBorders>
              <w:top w:val="single" w:color="auto" w:sz="4" w:space="0"/>
              <w:left w:val="single" w:color="auto" w:sz="4" w:space="0"/>
              <w:bottom w:val="single" w:color="auto" w:sz="4" w:space="0"/>
              <w:right w:val="single" w:color="auto" w:sz="4" w:space="0"/>
            </w:tcBorders>
            <w:noWrap w:val="0"/>
            <w:vAlign w:val="center"/>
          </w:tcPr>
          <w:p w14:paraId="4BA3FB2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vMerge w:val="restart"/>
            <w:tcBorders>
              <w:top w:val="single" w:color="auto" w:sz="4" w:space="0"/>
              <w:left w:val="single" w:color="auto" w:sz="4" w:space="0"/>
              <w:bottom w:val="single" w:color="auto" w:sz="4" w:space="0"/>
              <w:right w:val="single" w:color="auto" w:sz="4" w:space="0"/>
            </w:tcBorders>
            <w:noWrap w:val="0"/>
            <w:vAlign w:val="center"/>
          </w:tcPr>
          <w:p w14:paraId="0179296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709D6C36">
            <w:pPr>
              <w:keepNext w:val="0"/>
              <w:keepLines w:val="0"/>
              <w:pageBreakBefore w:val="0"/>
              <w:widowControl/>
              <w:kinsoku/>
              <w:wordWrap/>
              <w:overflowPunct/>
              <w:topLinePunct w:val="0"/>
              <w:autoSpaceDE/>
              <w:autoSpaceDN/>
              <w:bidi w:val="0"/>
              <w:adjustRightInd/>
              <w:snapToGrid/>
              <w:spacing w:line="260" w:lineRule="exact"/>
              <w:ind w:left="0" w:lef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符合CJJ</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99</w:t>
            </w:r>
            <w:r>
              <w:rPr>
                <w:rFonts w:hint="eastAsia" w:ascii="仿宋_GB2312" w:hAnsi="仿宋_GB2312" w:eastAsia="仿宋_GB2312" w:cs="仿宋_GB2312"/>
                <w:color w:val="000000" w:themeColor="text1"/>
                <w:sz w:val="20"/>
                <w:szCs w:val="20"/>
                <w:highlight w:val="none"/>
                <w14:textFill>
                  <w14:solidFill>
                    <w14:schemeClr w14:val="tx1"/>
                  </w14:solidFill>
                </w14:textFill>
              </w:rPr>
              <w:t>-201</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0"/>
                <w:szCs w:val="20"/>
                <w:highlight w:val="none"/>
                <w14:textFill>
                  <w14:solidFill>
                    <w14:schemeClr w14:val="tx1"/>
                  </w14:solidFill>
                </w14:textFill>
              </w:rPr>
              <w:t>《城市</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桥梁</w:t>
            </w:r>
            <w:r>
              <w:rPr>
                <w:rFonts w:hint="eastAsia" w:ascii="仿宋_GB2312" w:hAnsi="仿宋_GB2312" w:eastAsia="仿宋_GB2312" w:cs="仿宋_GB2312"/>
                <w:color w:val="000000" w:themeColor="text1"/>
                <w:sz w:val="20"/>
                <w:szCs w:val="20"/>
                <w:highlight w:val="none"/>
                <w14:textFill>
                  <w14:solidFill>
                    <w14:schemeClr w14:val="tx1"/>
                  </w14:solidFill>
                </w14:textFill>
              </w:rPr>
              <w:t>养护技术</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标准</w:t>
            </w:r>
            <w:r>
              <w:rPr>
                <w:rFonts w:hint="eastAsia" w:ascii="仿宋_GB2312" w:hAnsi="仿宋_GB2312" w:eastAsia="仿宋_GB2312" w:cs="仿宋_GB2312"/>
                <w:color w:val="000000" w:themeColor="text1"/>
                <w:sz w:val="20"/>
                <w:szCs w:val="20"/>
                <w:highlight w:val="none"/>
                <w14:textFill>
                  <w14:solidFill>
                    <w14:schemeClr w14:val="tx1"/>
                  </w14:solidFill>
                </w14:textFill>
              </w:rPr>
              <w:t>》</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3C7126EA">
            <w:pPr>
              <w:keepNext w:val="0"/>
              <w:keepLines w:val="0"/>
              <w:pageBreakBefore w:val="0"/>
              <w:widowControl/>
              <w:tabs>
                <w:tab w:val="left" w:pos="465"/>
              </w:tabs>
              <w:kinsoku/>
              <w:wordWrap/>
              <w:overflowPunct/>
              <w:topLinePunct w:val="0"/>
              <w:autoSpaceDE/>
              <w:autoSpaceDN/>
              <w:bidi w:val="0"/>
              <w:adjustRightInd/>
              <w:snapToGrid/>
              <w:spacing w:line="260" w:lineRule="exact"/>
              <w:ind w:left="0" w:lef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lang w:val="en-US" w:eastAsia="zh-CN"/>
                <w14:textFill>
                  <w14:solidFill>
                    <w14:schemeClr w14:val="tx1"/>
                  </w14:solidFill>
                </w14:textFill>
              </w:rPr>
              <w:t>100%</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627DAD44">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lang w:val="en-US" w:eastAsia="zh-CN"/>
                <w14:textFill>
                  <w14:solidFill>
                    <w14:schemeClr w14:val="tx1"/>
                  </w14:solidFill>
                </w14:textFill>
              </w:rPr>
              <w:t>100%</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3759BB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4</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2E50CA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4</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4304599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B8A74F7">
        <w:tblPrEx>
          <w:tblCellMar>
            <w:top w:w="0" w:type="dxa"/>
            <w:left w:w="108" w:type="dxa"/>
            <w:bottom w:w="0" w:type="dxa"/>
            <w:right w:w="108" w:type="dxa"/>
          </w:tblCellMar>
        </w:tblPrEx>
        <w:trPr>
          <w:trHeight w:val="778" w:hRule="atLeast"/>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6426835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05" w:type="dxa"/>
            <w:vMerge w:val="continue"/>
            <w:tcBorders>
              <w:top w:val="single" w:color="auto" w:sz="4" w:space="0"/>
              <w:left w:val="single" w:color="auto" w:sz="4" w:space="0"/>
              <w:bottom w:val="single" w:color="auto" w:sz="4" w:space="0"/>
              <w:right w:val="single" w:color="auto" w:sz="4" w:space="0"/>
            </w:tcBorders>
            <w:noWrap w:val="0"/>
            <w:vAlign w:val="center"/>
          </w:tcPr>
          <w:p w14:paraId="5006F8E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vMerge w:val="continue"/>
            <w:tcBorders>
              <w:top w:val="single" w:color="auto" w:sz="4" w:space="0"/>
              <w:left w:val="single" w:color="auto" w:sz="4" w:space="0"/>
              <w:bottom w:val="single" w:color="auto" w:sz="4" w:space="0"/>
              <w:right w:val="single" w:color="auto" w:sz="4" w:space="0"/>
            </w:tcBorders>
            <w:noWrap w:val="0"/>
            <w:vAlign w:val="center"/>
          </w:tcPr>
          <w:p w14:paraId="3FA288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716" w:type="dxa"/>
            <w:tcBorders>
              <w:top w:val="single" w:color="auto" w:sz="4" w:space="0"/>
              <w:left w:val="single" w:color="auto" w:sz="4" w:space="0"/>
              <w:bottom w:val="single" w:color="auto" w:sz="4" w:space="0"/>
              <w:right w:val="single" w:color="auto" w:sz="4" w:space="0"/>
            </w:tcBorders>
            <w:noWrap w:val="0"/>
            <w:vAlign w:val="center"/>
          </w:tcPr>
          <w:p w14:paraId="7E7ADB79">
            <w:pPr>
              <w:keepNext w:val="0"/>
              <w:keepLines w:val="0"/>
              <w:pageBreakBefore w:val="0"/>
              <w:widowControl/>
              <w:kinsoku/>
              <w:wordWrap/>
              <w:overflowPunct/>
              <w:topLinePunct w:val="0"/>
              <w:autoSpaceDE/>
              <w:autoSpaceDN/>
              <w:bidi w:val="0"/>
              <w:adjustRightInd/>
              <w:snapToGrid/>
              <w:spacing w:line="260" w:lineRule="exact"/>
              <w:ind w:left="0" w:leftChars="0"/>
              <w:jc w:val="center"/>
              <w:textAlignment w:val="auto"/>
              <w:rPr>
                <w:rFonts w:hint="default"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符合</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JTG36 H12-2015《公路隧道养护技术规范》标准</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38CF2AAF">
            <w:pPr>
              <w:keepNext w:val="0"/>
              <w:keepLines w:val="0"/>
              <w:pageBreakBefore w:val="0"/>
              <w:widowControl/>
              <w:tabs>
                <w:tab w:val="left" w:pos="465"/>
              </w:tabs>
              <w:kinsoku/>
              <w:wordWrap/>
              <w:overflowPunct/>
              <w:topLinePunct w:val="0"/>
              <w:autoSpaceDE/>
              <w:autoSpaceDN/>
              <w:bidi w:val="0"/>
              <w:adjustRightInd/>
              <w:snapToGrid/>
              <w:spacing w:line="260" w:lineRule="exact"/>
              <w:ind w:left="0" w:leftChars="0"/>
              <w:jc w:val="center"/>
              <w:textAlignment w:val="auto"/>
              <w:rPr>
                <w:rFonts w:hint="default" w:ascii="仿宋_GB2312" w:hAnsi="仿宋_GB2312" w:eastAsia="仿宋_GB2312" w:cs="仿宋_GB2312"/>
                <w:color w:val="000000" w:themeColor="text1"/>
                <w:spacing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pacing w:val="0"/>
                <w:sz w:val="20"/>
                <w:szCs w:val="20"/>
                <w:lang w:val="en-US" w:eastAsia="zh-CN"/>
                <w14:textFill>
                  <w14:solidFill>
                    <w14:schemeClr w14:val="tx1"/>
                  </w14:solidFill>
                </w14:textFill>
              </w:rPr>
              <w:t>100%</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CD0758F">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default" w:ascii="仿宋_GB2312" w:hAnsi="仿宋_GB2312" w:eastAsia="仿宋_GB2312" w:cs="仿宋_GB2312"/>
                <w:color w:val="000000" w:themeColor="text1"/>
                <w:spacing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pacing w:val="0"/>
                <w:sz w:val="20"/>
                <w:szCs w:val="20"/>
                <w:lang w:val="en-US" w:eastAsia="zh-CN"/>
                <w14:textFill>
                  <w14:solidFill>
                    <w14:schemeClr w14:val="tx1"/>
                  </w14:solidFill>
                </w14:textFill>
              </w:rPr>
              <w:t>100%</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44824F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4</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0607D6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4</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34AD7AA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FF0000"/>
                <w:sz w:val="20"/>
                <w:szCs w:val="20"/>
                <w:highlight w:val="none"/>
                <w:lang w:eastAsia="zh-CN"/>
              </w:rPr>
            </w:pPr>
          </w:p>
        </w:tc>
      </w:tr>
      <w:tr w14:paraId="1DC3851E">
        <w:tblPrEx>
          <w:tblCellMar>
            <w:top w:w="0" w:type="dxa"/>
            <w:left w:w="108" w:type="dxa"/>
            <w:bottom w:w="0" w:type="dxa"/>
            <w:right w:w="108" w:type="dxa"/>
          </w:tblCellMar>
        </w:tblPrEx>
        <w:trPr>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7303DA0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05" w:type="dxa"/>
            <w:vMerge w:val="continue"/>
            <w:tcBorders>
              <w:top w:val="single" w:color="auto" w:sz="4" w:space="0"/>
              <w:left w:val="single" w:color="auto" w:sz="4" w:space="0"/>
              <w:bottom w:val="single" w:color="auto" w:sz="4" w:space="0"/>
              <w:right w:val="single" w:color="auto" w:sz="4" w:space="0"/>
            </w:tcBorders>
            <w:noWrap w:val="0"/>
            <w:vAlign w:val="center"/>
          </w:tcPr>
          <w:p w14:paraId="10BA02C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vMerge w:val="continue"/>
            <w:tcBorders>
              <w:top w:val="single" w:color="auto" w:sz="4" w:space="0"/>
              <w:left w:val="single" w:color="auto" w:sz="4" w:space="0"/>
              <w:bottom w:val="single" w:color="auto" w:sz="4" w:space="0"/>
              <w:right w:val="single" w:color="auto" w:sz="4" w:space="0"/>
            </w:tcBorders>
            <w:noWrap w:val="0"/>
            <w:vAlign w:val="center"/>
          </w:tcPr>
          <w:p w14:paraId="5D9BE80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716" w:type="dxa"/>
            <w:tcBorders>
              <w:top w:val="single" w:color="auto" w:sz="4" w:space="0"/>
              <w:left w:val="single" w:color="auto" w:sz="4" w:space="0"/>
              <w:bottom w:val="single" w:color="auto" w:sz="4" w:space="0"/>
              <w:right w:val="single" w:color="auto" w:sz="4" w:space="0"/>
            </w:tcBorders>
            <w:noWrap w:val="0"/>
            <w:vAlign w:val="center"/>
          </w:tcPr>
          <w:p w14:paraId="58422E5C">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符合</w:t>
            </w: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GB50017-2017</w:t>
            </w:r>
            <w:r>
              <w:rPr>
                <w:rFonts w:hint="eastAsia" w:ascii="仿宋_GB2312" w:hAnsi="仿宋_GB2312" w:eastAsia="仿宋_GB2312" w:cs="仿宋_GB2312"/>
                <w:color w:val="000000" w:themeColor="text1"/>
                <w:sz w:val="20"/>
                <w:szCs w:val="20"/>
                <w14:textFill>
                  <w14:solidFill>
                    <w14:schemeClr w14:val="tx1"/>
                  </w14:solidFill>
                </w14:textFill>
              </w:rPr>
              <w:t>《</w:t>
            </w:r>
            <w:r>
              <w:rPr>
                <w:rFonts w:hint="eastAsia" w:ascii="仿宋_GB2312" w:hAnsi="仿宋_GB2312" w:eastAsia="仿宋_GB2312" w:cs="仿宋_GB2312"/>
                <w:color w:val="000000" w:themeColor="text1"/>
                <w:sz w:val="20"/>
                <w:szCs w:val="20"/>
                <w:lang w:eastAsia="zh-CN"/>
                <w14:textFill>
                  <w14:solidFill>
                    <w14:schemeClr w14:val="tx1"/>
                  </w14:solidFill>
                </w14:textFill>
              </w:rPr>
              <w:t>钢结构设计标准</w:t>
            </w:r>
            <w:r>
              <w:rPr>
                <w:rFonts w:hint="eastAsia" w:ascii="仿宋_GB2312" w:hAnsi="仿宋_GB2312" w:eastAsia="仿宋_GB2312" w:cs="仿宋_GB2312"/>
                <w:color w:val="000000" w:themeColor="text1"/>
                <w:sz w:val="20"/>
                <w:szCs w:val="20"/>
                <w14:textFill>
                  <w14:solidFill>
                    <w14:schemeClr w14:val="tx1"/>
                  </w14:solidFill>
                </w14:textFill>
              </w:rPr>
              <w:t>》</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F1A25B6">
            <w:pPr>
              <w:keepNext w:val="0"/>
              <w:keepLines w:val="0"/>
              <w:pageBreakBefore w:val="0"/>
              <w:widowControl/>
              <w:tabs>
                <w:tab w:val="left" w:pos="465"/>
              </w:tabs>
              <w:kinsoku/>
              <w:wordWrap/>
              <w:overflowPunct/>
              <w:topLinePunct w:val="0"/>
              <w:autoSpaceDE/>
              <w:autoSpaceDN/>
              <w:bidi w:val="0"/>
              <w:adjustRightInd/>
              <w:snapToGrid/>
              <w:spacing w:line="260" w:lineRule="exact"/>
              <w:ind w:left="0" w:leftChars="0"/>
              <w:jc w:val="center"/>
              <w:textAlignment w:val="auto"/>
              <w:rPr>
                <w:rFonts w:hint="default"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lang w:val="en-US" w:eastAsia="zh-CN"/>
                <w14:textFill>
                  <w14:solidFill>
                    <w14:schemeClr w14:val="tx1"/>
                  </w14:solidFill>
                </w14:textFill>
              </w:rPr>
              <w:t>100%</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7DDBB30">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default"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lang w:val="en-US" w:eastAsia="zh-CN"/>
                <w14:textFill>
                  <w14:solidFill>
                    <w14:schemeClr w14:val="tx1"/>
                  </w14:solidFill>
                </w14:textFill>
              </w:rPr>
              <w:t>100%</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090A21F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4</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5F7D6A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4</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3A3F063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FF0000"/>
                <w:sz w:val="20"/>
                <w:szCs w:val="20"/>
                <w:highlight w:val="none"/>
                <w:lang w:eastAsia="zh-CN"/>
              </w:rPr>
            </w:pPr>
          </w:p>
        </w:tc>
      </w:tr>
      <w:tr w14:paraId="7E12F1A4">
        <w:tblPrEx>
          <w:tblCellMar>
            <w:top w:w="0" w:type="dxa"/>
            <w:left w:w="108" w:type="dxa"/>
            <w:bottom w:w="0" w:type="dxa"/>
            <w:right w:w="108" w:type="dxa"/>
          </w:tblCellMar>
        </w:tblPrEx>
        <w:trPr>
          <w:trHeight w:val="635" w:hRule="atLeast"/>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3A0E296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05" w:type="dxa"/>
            <w:vMerge w:val="continue"/>
            <w:tcBorders>
              <w:left w:val="single" w:color="auto" w:sz="4" w:space="0"/>
              <w:right w:val="single" w:color="auto" w:sz="4" w:space="0"/>
            </w:tcBorders>
            <w:noWrap w:val="0"/>
            <w:vAlign w:val="center"/>
          </w:tcPr>
          <w:p w14:paraId="452148F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tcBorders>
              <w:top w:val="single" w:color="auto" w:sz="4" w:space="0"/>
              <w:left w:val="single" w:color="auto" w:sz="4" w:space="0"/>
              <w:bottom w:val="single" w:color="auto" w:sz="4" w:space="0"/>
              <w:right w:val="single" w:color="auto" w:sz="4" w:space="0"/>
            </w:tcBorders>
            <w:noWrap w:val="0"/>
            <w:vAlign w:val="center"/>
          </w:tcPr>
          <w:p w14:paraId="0D75B3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29F0973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themeColor="text1"/>
                <w:spacing w:val="0"/>
                <w:sz w:val="20"/>
                <w:szCs w:val="20"/>
                <w:lang w:eastAsia="zh-CN"/>
                <w14:textFill>
                  <w14:solidFill>
                    <w14:schemeClr w14:val="tx1"/>
                  </w14:solidFill>
                </w14:textFill>
              </w:rPr>
              <w:t>目标任务完成时间</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8D7BD5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2025年4月30日前</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0220EF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均如期完成</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3D7E1BB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12</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7AD14F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12</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764C8D7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DC518E6">
        <w:tblPrEx>
          <w:tblCellMar>
            <w:top w:w="0" w:type="dxa"/>
            <w:left w:w="108" w:type="dxa"/>
            <w:bottom w:w="0" w:type="dxa"/>
            <w:right w:w="108" w:type="dxa"/>
          </w:tblCellMar>
        </w:tblPrEx>
        <w:trPr>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5005F64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05" w:type="dxa"/>
            <w:vMerge w:val="continue"/>
            <w:tcBorders>
              <w:left w:val="single" w:color="auto" w:sz="4" w:space="0"/>
              <w:right w:val="single" w:color="auto" w:sz="4" w:space="0"/>
            </w:tcBorders>
            <w:noWrap w:val="0"/>
            <w:vAlign w:val="center"/>
          </w:tcPr>
          <w:p w14:paraId="3699360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vMerge w:val="restart"/>
            <w:tcBorders>
              <w:top w:val="single" w:color="auto" w:sz="4" w:space="0"/>
              <w:left w:val="single" w:color="auto" w:sz="4" w:space="0"/>
              <w:bottom w:val="single" w:color="auto" w:sz="4" w:space="0"/>
              <w:right w:val="single" w:color="auto" w:sz="4" w:space="0"/>
            </w:tcBorders>
            <w:noWrap w:val="0"/>
            <w:vAlign w:val="center"/>
          </w:tcPr>
          <w:p w14:paraId="578981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6F5DA59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项目实施成本经济成本指标</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EC47C3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控制在预算</w:t>
            </w:r>
            <w:r>
              <w:rPr>
                <w:rFonts w:hint="eastAsia" w:ascii="仿宋_GB2312" w:hAnsi="仿宋_GB2312" w:eastAsia="仿宋_GB2312" w:cs="仿宋_GB2312"/>
                <w:color w:val="000000"/>
                <w:sz w:val="20"/>
                <w:szCs w:val="20"/>
                <w:highlight w:val="none"/>
                <w:lang w:val="en-US" w:eastAsia="zh-CN"/>
              </w:rPr>
              <w:t>267.45万元内</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EDD9CE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实际支出</w:t>
            </w:r>
            <w:r>
              <w:rPr>
                <w:rFonts w:hint="eastAsia" w:ascii="仿宋_GB2312" w:hAnsi="仿宋_GB2312" w:eastAsia="仿宋_GB2312" w:cs="仿宋_GB2312"/>
                <w:color w:val="000000"/>
                <w:sz w:val="20"/>
                <w:szCs w:val="20"/>
                <w:highlight w:val="none"/>
                <w:lang w:val="en-US" w:eastAsia="zh-CN"/>
              </w:rPr>
              <w:t>256.94万元</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791045B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02B43B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77F95BB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项目70%的进度款</w:t>
            </w:r>
          </w:p>
        </w:tc>
      </w:tr>
      <w:tr w14:paraId="06A9D367">
        <w:tblPrEx>
          <w:tblCellMar>
            <w:top w:w="0" w:type="dxa"/>
            <w:left w:w="108" w:type="dxa"/>
            <w:bottom w:w="0" w:type="dxa"/>
            <w:right w:w="108" w:type="dxa"/>
          </w:tblCellMar>
        </w:tblPrEx>
        <w:trPr>
          <w:trHeight w:val="605" w:hRule="atLeast"/>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741E7A3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05" w:type="dxa"/>
            <w:vMerge w:val="continue"/>
            <w:tcBorders>
              <w:left w:val="single" w:color="auto" w:sz="4" w:space="0"/>
              <w:right w:val="single" w:color="auto" w:sz="4" w:space="0"/>
            </w:tcBorders>
            <w:noWrap w:val="0"/>
            <w:vAlign w:val="center"/>
          </w:tcPr>
          <w:p w14:paraId="7D95FB8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vMerge w:val="continue"/>
            <w:tcBorders>
              <w:top w:val="single" w:color="auto" w:sz="4" w:space="0"/>
              <w:left w:val="single" w:color="auto" w:sz="4" w:space="0"/>
              <w:bottom w:val="single" w:color="auto" w:sz="4" w:space="0"/>
              <w:right w:val="single" w:color="auto" w:sz="4" w:space="0"/>
            </w:tcBorders>
            <w:noWrap w:val="0"/>
            <w:vAlign w:val="center"/>
          </w:tcPr>
          <w:p w14:paraId="13ED0F5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716" w:type="dxa"/>
            <w:tcBorders>
              <w:top w:val="single" w:color="auto" w:sz="4" w:space="0"/>
              <w:left w:val="single" w:color="auto" w:sz="4" w:space="0"/>
              <w:bottom w:val="single" w:color="auto" w:sz="4" w:space="0"/>
              <w:right w:val="single" w:color="auto" w:sz="4" w:space="0"/>
            </w:tcBorders>
            <w:noWrap w:val="0"/>
            <w:vAlign w:val="center"/>
          </w:tcPr>
          <w:p w14:paraId="3FC0740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是否对社会造成负面影响</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730FFFC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F733F4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33CA9B6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617DF4D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37C97F5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B3AC980">
        <w:tblPrEx>
          <w:tblCellMar>
            <w:top w:w="0" w:type="dxa"/>
            <w:left w:w="108" w:type="dxa"/>
            <w:bottom w:w="0" w:type="dxa"/>
            <w:right w:w="108" w:type="dxa"/>
          </w:tblCellMar>
        </w:tblPrEx>
        <w:trPr>
          <w:trHeight w:val="710" w:hRule="atLeast"/>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72F572A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05" w:type="dxa"/>
            <w:vMerge w:val="continue"/>
            <w:tcBorders>
              <w:left w:val="single" w:color="auto" w:sz="4" w:space="0"/>
              <w:bottom w:val="single" w:color="auto" w:sz="4" w:space="0"/>
              <w:right w:val="single" w:color="auto" w:sz="4" w:space="0"/>
            </w:tcBorders>
            <w:noWrap w:val="0"/>
            <w:vAlign w:val="center"/>
          </w:tcPr>
          <w:p w14:paraId="7F7538E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vMerge w:val="continue"/>
            <w:tcBorders>
              <w:top w:val="single" w:color="auto" w:sz="4" w:space="0"/>
              <w:left w:val="single" w:color="auto" w:sz="4" w:space="0"/>
              <w:bottom w:val="single" w:color="auto" w:sz="4" w:space="0"/>
              <w:right w:val="single" w:color="auto" w:sz="4" w:space="0"/>
            </w:tcBorders>
            <w:noWrap w:val="0"/>
            <w:vAlign w:val="center"/>
          </w:tcPr>
          <w:p w14:paraId="057805C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716" w:type="dxa"/>
            <w:tcBorders>
              <w:top w:val="single" w:color="auto" w:sz="4" w:space="0"/>
              <w:left w:val="single" w:color="auto" w:sz="4" w:space="0"/>
              <w:bottom w:val="single" w:color="auto" w:sz="4" w:space="0"/>
              <w:right w:val="single" w:color="auto" w:sz="4" w:space="0"/>
            </w:tcBorders>
            <w:noWrap w:val="0"/>
            <w:vAlign w:val="center"/>
          </w:tcPr>
          <w:p w14:paraId="624CD5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对生态环境造成负面影响</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65D2D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4248B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5A5AB3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21D897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53BD3B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r>
      <w:tr w14:paraId="23B36AE9">
        <w:tblPrEx>
          <w:tblCellMar>
            <w:top w:w="0" w:type="dxa"/>
            <w:left w:w="108" w:type="dxa"/>
            <w:bottom w:w="0" w:type="dxa"/>
            <w:right w:w="108" w:type="dxa"/>
          </w:tblCellMar>
        </w:tblPrEx>
        <w:trPr>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63555C1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05" w:type="dxa"/>
            <w:vMerge w:val="restart"/>
            <w:tcBorders>
              <w:top w:val="single" w:color="auto" w:sz="4" w:space="0"/>
              <w:left w:val="single" w:color="auto" w:sz="4" w:space="0"/>
              <w:bottom w:val="single" w:color="auto" w:sz="4" w:space="0"/>
              <w:right w:val="single" w:color="auto" w:sz="4" w:space="0"/>
            </w:tcBorders>
            <w:noWrap w:val="0"/>
            <w:vAlign w:val="center"/>
          </w:tcPr>
          <w:p w14:paraId="56E3F04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5B6E626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14:paraId="5672924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2C97FA6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941" w:type="dxa"/>
            <w:tcBorders>
              <w:top w:val="single" w:color="auto" w:sz="4" w:space="0"/>
              <w:left w:val="single" w:color="auto" w:sz="4" w:space="0"/>
              <w:bottom w:val="single" w:color="auto" w:sz="4" w:space="0"/>
              <w:right w:val="single" w:color="auto" w:sz="4" w:space="0"/>
            </w:tcBorders>
            <w:noWrap w:val="0"/>
            <w:vAlign w:val="center"/>
          </w:tcPr>
          <w:p w14:paraId="3CF2273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384D98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000E255B">
            <w:pPr>
              <w:keepNext w:val="0"/>
              <w:keepLines w:val="0"/>
              <w:pageBreakBefore w:val="0"/>
              <w:widowControl/>
              <w:kinsoku/>
              <w:wordWrap/>
              <w:overflowPunct/>
              <w:topLinePunct w:val="0"/>
              <w:autoSpaceDE/>
              <w:autoSpaceDN/>
              <w:bidi w:val="0"/>
              <w:adjustRightInd/>
              <w:snapToGrid/>
              <w:spacing w:line="260" w:lineRule="exact"/>
              <w:ind w:left="0" w:leftChars="0"/>
              <w:jc w:val="center"/>
              <w:textAlignment w:val="auto"/>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lang w:eastAsia="zh-CN"/>
              </w:rPr>
              <w:t>是否有益于经济的发展</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38A0EDF7">
            <w:pPr>
              <w:keepNext w:val="0"/>
              <w:keepLines w:val="0"/>
              <w:pageBreakBefore w:val="0"/>
              <w:widowControl/>
              <w:kinsoku/>
              <w:wordWrap/>
              <w:overflowPunct/>
              <w:topLinePunct w:val="0"/>
              <w:autoSpaceDE/>
              <w:autoSpaceDN/>
              <w:bidi w:val="0"/>
              <w:adjustRightInd/>
              <w:snapToGrid/>
              <w:spacing w:line="260" w:lineRule="exact"/>
              <w:ind w:left="0" w:leftChars="0"/>
              <w:jc w:val="center"/>
              <w:textAlignment w:val="auto"/>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lang w:eastAsia="zh-CN"/>
              </w:rPr>
              <w:t>助力</w:t>
            </w:r>
            <w:r>
              <w:rPr>
                <w:rFonts w:hint="eastAsia" w:ascii="仿宋_GB2312" w:hAnsi="仿宋_GB2312" w:eastAsia="仿宋_GB2312" w:cs="仿宋_GB2312"/>
                <w:color w:val="auto"/>
                <w:sz w:val="20"/>
                <w:szCs w:val="20"/>
                <w:lang w:val="en-US" w:eastAsia="zh-CN"/>
              </w:rPr>
              <w:t>旅游业发展，带动</w:t>
            </w:r>
            <w:r>
              <w:rPr>
                <w:rFonts w:hint="eastAsia" w:ascii="仿宋_GB2312" w:hAnsi="仿宋_GB2312" w:eastAsia="仿宋_GB2312" w:cs="仿宋_GB2312"/>
                <w:color w:val="auto"/>
                <w:sz w:val="20"/>
                <w:szCs w:val="20"/>
                <w:lang w:eastAsia="zh-CN"/>
              </w:rPr>
              <w:t>经济发展</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5F5F954">
            <w:pPr>
              <w:keepNext w:val="0"/>
              <w:keepLines w:val="0"/>
              <w:pageBreakBefore w:val="0"/>
              <w:widowControl/>
              <w:kinsoku/>
              <w:wordWrap/>
              <w:overflowPunct/>
              <w:topLinePunct w:val="0"/>
              <w:autoSpaceDE/>
              <w:autoSpaceDN/>
              <w:bidi w:val="0"/>
              <w:adjustRightInd/>
              <w:snapToGrid/>
              <w:spacing w:line="260" w:lineRule="exact"/>
              <w:ind w:left="0" w:leftChars="0"/>
              <w:jc w:val="center"/>
              <w:textAlignment w:val="auto"/>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lang w:eastAsia="zh-CN"/>
              </w:rPr>
              <w:t>有效助力岳阳经济发展</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2D3BBD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6</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454CE90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39F58A3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DAECDF9">
        <w:tblPrEx>
          <w:tblCellMar>
            <w:top w:w="0" w:type="dxa"/>
            <w:left w:w="108" w:type="dxa"/>
            <w:bottom w:w="0" w:type="dxa"/>
            <w:right w:w="108" w:type="dxa"/>
          </w:tblCellMar>
        </w:tblPrEx>
        <w:trPr>
          <w:trHeight w:val="635" w:hRule="atLeast"/>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7263BB9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05" w:type="dxa"/>
            <w:vMerge w:val="continue"/>
            <w:tcBorders>
              <w:top w:val="single" w:color="auto" w:sz="4" w:space="0"/>
              <w:left w:val="single" w:color="auto" w:sz="4" w:space="0"/>
              <w:bottom w:val="single" w:color="auto" w:sz="4" w:space="0"/>
              <w:right w:val="single" w:color="auto" w:sz="4" w:space="0"/>
            </w:tcBorders>
            <w:noWrap w:val="0"/>
            <w:vAlign w:val="center"/>
          </w:tcPr>
          <w:p w14:paraId="53292B9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vMerge w:val="restart"/>
            <w:tcBorders>
              <w:top w:val="single" w:color="auto" w:sz="4" w:space="0"/>
              <w:left w:val="single" w:color="auto" w:sz="4" w:space="0"/>
              <w:bottom w:val="single" w:color="auto" w:sz="4" w:space="0"/>
              <w:right w:val="single" w:color="auto" w:sz="4" w:space="0"/>
            </w:tcBorders>
            <w:noWrap w:val="0"/>
            <w:vAlign w:val="center"/>
          </w:tcPr>
          <w:p w14:paraId="578C51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691A993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3E9E12BA">
            <w:pPr>
              <w:keepNext w:val="0"/>
              <w:keepLines w:val="0"/>
              <w:pageBreakBefore w:val="0"/>
              <w:widowControl/>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改善城市</w:t>
            </w: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容貌</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488FD2E">
            <w:pPr>
              <w:keepNext w:val="0"/>
              <w:keepLines w:val="0"/>
              <w:pageBreakBefore w:val="0"/>
              <w:widowControl/>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lang w:val="en-US" w:eastAsia="zh-CN"/>
                <w14:textFill>
                  <w14:solidFill>
                    <w14:schemeClr w14:val="tx1"/>
                  </w14:solidFill>
                </w14:textFill>
              </w:rPr>
              <w:t>改善城乡风貌</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6E388596">
            <w:pPr>
              <w:keepNext w:val="0"/>
              <w:keepLines w:val="0"/>
              <w:pageBreakBefore w:val="0"/>
              <w:widowControl/>
              <w:kinsoku/>
              <w:wordWrap/>
              <w:overflowPunct/>
              <w:topLinePunct w:val="0"/>
              <w:autoSpaceDE/>
              <w:autoSpaceDN/>
              <w:bidi w:val="0"/>
              <w:adjustRightInd/>
              <w:snapToGrid/>
              <w:spacing w:line="240" w:lineRule="exact"/>
              <w:ind w:left="0" w:leftChars="0"/>
              <w:jc w:val="center"/>
              <w:textAlignment w:val="auto"/>
              <w:rPr>
                <w:rFonts w:hint="default"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明显改善</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14E3DB8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6</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0B897F3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6</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2D0FE44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FF0000"/>
                <w:sz w:val="20"/>
                <w:szCs w:val="20"/>
                <w:highlight w:val="none"/>
              </w:rPr>
            </w:pPr>
            <w:r>
              <w:rPr>
                <w:rFonts w:hint="eastAsia" w:ascii="仿宋_GB2312" w:hAnsi="仿宋_GB2312" w:eastAsia="仿宋_GB2312" w:cs="仿宋_GB2312"/>
                <w:color w:val="FF0000"/>
                <w:sz w:val="20"/>
                <w:szCs w:val="20"/>
                <w:highlight w:val="none"/>
              </w:rPr>
              <w:t>　</w:t>
            </w:r>
          </w:p>
        </w:tc>
      </w:tr>
      <w:tr w14:paraId="60093FEE">
        <w:tblPrEx>
          <w:tblCellMar>
            <w:top w:w="0" w:type="dxa"/>
            <w:left w:w="108" w:type="dxa"/>
            <w:bottom w:w="0" w:type="dxa"/>
            <w:right w:w="108" w:type="dxa"/>
          </w:tblCellMar>
        </w:tblPrEx>
        <w:trPr>
          <w:trHeight w:val="1425" w:hRule="atLeast"/>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30E616D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05" w:type="dxa"/>
            <w:vMerge w:val="continue"/>
            <w:tcBorders>
              <w:top w:val="single" w:color="auto" w:sz="4" w:space="0"/>
              <w:left w:val="single" w:color="auto" w:sz="4" w:space="0"/>
              <w:bottom w:val="single" w:color="auto" w:sz="4" w:space="0"/>
              <w:right w:val="single" w:color="auto" w:sz="4" w:space="0"/>
            </w:tcBorders>
            <w:noWrap w:val="0"/>
            <w:vAlign w:val="center"/>
          </w:tcPr>
          <w:p w14:paraId="15992C9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vMerge w:val="continue"/>
            <w:tcBorders>
              <w:top w:val="single" w:color="auto" w:sz="4" w:space="0"/>
              <w:left w:val="single" w:color="auto" w:sz="4" w:space="0"/>
              <w:bottom w:val="single" w:color="auto" w:sz="4" w:space="0"/>
              <w:right w:val="single" w:color="auto" w:sz="4" w:space="0"/>
            </w:tcBorders>
            <w:noWrap w:val="0"/>
            <w:vAlign w:val="center"/>
          </w:tcPr>
          <w:p w14:paraId="59A7C8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716" w:type="dxa"/>
            <w:tcBorders>
              <w:top w:val="single" w:color="auto" w:sz="4" w:space="0"/>
              <w:left w:val="single" w:color="auto" w:sz="4" w:space="0"/>
              <w:bottom w:val="single" w:color="auto" w:sz="4" w:space="0"/>
              <w:right w:val="single" w:color="auto" w:sz="4" w:space="0"/>
            </w:tcBorders>
            <w:noWrap w:val="0"/>
            <w:vAlign w:val="center"/>
          </w:tcPr>
          <w:p w14:paraId="4207E1C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pacing w:val="0"/>
                <w:sz w:val="20"/>
                <w:szCs w:val="20"/>
                <w:lang w:val="en-US" w:eastAsia="zh-CN"/>
              </w:rPr>
              <w:t>提升城市整体形象</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7ACACF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pacing w:val="0"/>
                <w:sz w:val="20"/>
                <w:szCs w:val="20"/>
                <w:lang w:val="en-US" w:eastAsia="zh-CN"/>
              </w:rPr>
              <w:t>提升城市整体形象</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EB2934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pacing w:val="0"/>
                <w:sz w:val="20"/>
                <w:szCs w:val="20"/>
                <w:lang w:val="en-US" w:eastAsia="zh-CN"/>
              </w:rPr>
              <w:t>城市整体形象不断</w:t>
            </w:r>
            <w:r>
              <w:rPr>
                <w:rFonts w:hint="eastAsia" w:ascii="仿宋_GB2312" w:hAnsi="仿宋_GB2312" w:eastAsia="仿宋_GB2312" w:cs="仿宋_GB2312"/>
                <w:color w:val="auto"/>
                <w:sz w:val="20"/>
                <w:szCs w:val="20"/>
                <w:highlight w:val="none"/>
                <w:lang w:eastAsia="zh-CN"/>
              </w:rPr>
              <w:t>提升</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4183EF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6</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2B63ED8E">
            <w:pPr>
              <w:keepNext w:val="0"/>
              <w:keepLines w:val="0"/>
              <w:pageBreakBefore w:val="0"/>
              <w:widowControl/>
              <w:kinsoku/>
              <w:wordWrap/>
              <w:overflowPunct/>
              <w:topLinePunct w:val="0"/>
              <w:autoSpaceDE/>
              <w:autoSpaceDN/>
              <w:bidi w:val="0"/>
              <w:adjustRightInd/>
              <w:snapToGrid/>
              <w:spacing w:line="260" w:lineRule="exact"/>
              <w:ind w:firstLine="400" w:firstLineChars="200"/>
              <w:jc w:val="both"/>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7F5E97D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23C046C">
        <w:tblPrEx>
          <w:tblCellMar>
            <w:top w:w="0" w:type="dxa"/>
            <w:left w:w="108" w:type="dxa"/>
            <w:bottom w:w="0" w:type="dxa"/>
            <w:right w:w="108" w:type="dxa"/>
          </w:tblCellMar>
        </w:tblPrEx>
        <w:trPr>
          <w:trHeight w:val="630" w:hRule="atLeast"/>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3870A5B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05" w:type="dxa"/>
            <w:vMerge w:val="continue"/>
            <w:tcBorders>
              <w:top w:val="single" w:color="auto" w:sz="4" w:space="0"/>
              <w:left w:val="single" w:color="auto" w:sz="4" w:space="0"/>
              <w:bottom w:val="single" w:color="auto" w:sz="4" w:space="0"/>
              <w:right w:val="single" w:color="auto" w:sz="4" w:space="0"/>
            </w:tcBorders>
            <w:noWrap w:val="0"/>
            <w:vAlign w:val="center"/>
          </w:tcPr>
          <w:p w14:paraId="4632276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tcBorders>
              <w:top w:val="single" w:color="auto" w:sz="4" w:space="0"/>
              <w:left w:val="single" w:color="auto" w:sz="4" w:space="0"/>
              <w:bottom w:val="single" w:color="auto" w:sz="4" w:space="0"/>
              <w:right w:val="single" w:color="auto" w:sz="4" w:space="0"/>
            </w:tcBorders>
            <w:noWrap w:val="0"/>
            <w:vAlign w:val="center"/>
          </w:tcPr>
          <w:p w14:paraId="04D890E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1746C6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2B15FED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不适用</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794B85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不适用</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FD5E2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不适用</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4262C4E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0</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6E77A49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0FB89BD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EA9562D">
        <w:tblPrEx>
          <w:tblCellMar>
            <w:top w:w="0" w:type="dxa"/>
            <w:left w:w="108" w:type="dxa"/>
            <w:bottom w:w="0" w:type="dxa"/>
            <w:right w:w="108" w:type="dxa"/>
          </w:tblCellMar>
        </w:tblPrEx>
        <w:trPr>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340E68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05" w:type="dxa"/>
            <w:vMerge w:val="continue"/>
            <w:tcBorders>
              <w:top w:val="single" w:color="auto" w:sz="4" w:space="0"/>
              <w:left w:val="single" w:color="auto" w:sz="4" w:space="0"/>
              <w:bottom w:val="single" w:color="auto" w:sz="4" w:space="0"/>
              <w:right w:val="single" w:color="auto" w:sz="4" w:space="0"/>
            </w:tcBorders>
            <w:noWrap w:val="0"/>
            <w:vAlign w:val="center"/>
          </w:tcPr>
          <w:p w14:paraId="38FDEC2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vMerge w:val="restart"/>
            <w:tcBorders>
              <w:top w:val="single" w:color="auto" w:sz="4" w:space="0"/>
              <w:left w:val="single" w:color="auto" w:sz="4" w:space="0"/>
              <w:bottom w:val="single" w:color="auto" w:sz="4" w:space="0"/>
              <w:right w:val="single" w:color="auto" w:sz="4" w:space="0"/>
            </w:tcBorders>
            <w:noWrap w:val="0"/>
            <w:vAlign w:val="center"/>
          </w:tcPr>
          <w:p w14:paraId="7EF3014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448DC1D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改善市政设施容貌，美化城市环境</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1B79A87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改善市政设施容貌，美化城市环境</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1897C9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eastAsia="zh-CN"/>
              </w:rPr>
              <w:t>市政</w:t>
            </w:r>
            <w:r>
              <w:rPr>
                <w:rFonts w:hint="eastAsia" w:ascii="仿宋_GB2312" w:hAnsi="仿宋_GB2312" w:eastAsia="仿宋_GB2312" w:cs="仿宋_GB2312"/>
                <w:color w:val="auto"/>
                <w:sz w:val="20"/>
                <w:szCs w:val="20"/>
                <w:highlight w:val="none"/>
                <w:lang w:val="en-US" w:eastAsia="zh-CN"/>
              </w:rPr>
              <w:t>设施旧貌换新颜</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378EC1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6</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50EDCC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697DD56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F8CAD12">
        <w:tblPrEx>
          <w:tblCellMar>
            <w:top w:w="0" w:type="dxa"/>
            <w:left w:w="108" w:type="dxa"/>
            <w:bottom w:w="0" w:type="dxa"/>
            <w:right w:w="108" w:type="dxa"/>
          </w:tblCellMar>
        </w:tblPrEx>
        <w:trPr>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7F6AA58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05" w:type="dxa"/>
            <w:vMerge w:val="continue"/>
            <w:tcBorders>
              <w:top w:val="single" w:color="auto" w:sz="4" w:space="0"/>
              <w:left w:val="single" w:color="auto" w:sz="4" w:space="0"/>
              <w:bottom w:val="single" w:color="auto" w:sz="4" w:space="0"/>
              <w:right w:val="single" w:color="auto" w:sz="4" w:space="0"/>
            </w:tcBorders>
            <w:noWrap w:val="0"/>
            <w:vAlign w:val="center"/>
          </w:tcPr>
          <w:p w14:paraId="09AB792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vMerge w:val="continue"/>
            <w:tcBorders>
              <w:top w:val="single" w:color="auto" w:sz="4" w:space="0"/>
              <w:left w:val="single" w:color="auto" w:sz="4" w:space="0"/>
              <w:bottom w:val="single" w:color="auto" w:sz="4" w:space="0"/>
              <w:right w:val="single" w:color="auto" w:sz="4" w:space="0"/>
            </w:tcBorders>
            <w:noWrap w:val="0"/>
            <w:vAlign w:val="center"/>
          </w:tcPr>
          <w:p w14:paraId="01D1E06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716" w:type="dxa"/>
            <w:tcBorders>
              <w:top w:val="single" w:color="auto" w:sz="4" w:space="0"/>
              <w:left w:val="single" w:color="auto" w:sz="4" w:space="0"/>
              <w:bottom w:val="single" w:color="auto" w:sz="4" w:space="0"/>
              <w:right w:val="single" w:color="auto" w:sz="4" w:space="0"/>
            </w:tcBorders>
            <w:noWrap w:val="0"/>
            <w:vAlign w:val="center"/>
          </w:tcPr>
          <w:p w14:paraId="0F58369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吸引外来游客，助力旅游业发展</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424EB25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吸引外来游客，助力旅游业发展</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D22C5E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旅游发展优势不断增强</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292165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6</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5A6751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785CFA0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市政设施整体容貌有待进一步提高，下一步加强精细化管养，提升整体效果。</w:t>
            </w:r>
          </w:p>
        </w:tc>
      </w:tr>
      <w:tr w14:paraId="502AD26F">
        <w:tblPrEx>
          <w:tblCellMar>
            <w:top w:w="0" w:type="dxa"/>
            <w:left w:w="108" w:type="dxa"/>
            <w:bottom w:w="0" w:type="dxa"/>
            <w:right w:w="108" w:type="dxa"/>
          </w:tblCellMar>
        </w:tblPrEx>
        <w:trPr>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05661D0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46BE3E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78F0D6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544D3B9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941" w:type="dxa"/>
            <w:tcBorders>
              <w:top w:val="single" w:color="auto" w:sz="4" w:space="0"/>
              <w:left w:val="single" w:color="auto" w:sz="4" w:space="0"/>
              <w:bottom w:val="single" w:color="auto" w:sz="4" w:space="0"/>
              <w:right w:val="single" w:color="auto" w:sz="4" w:space="0"/>
            </w:tcBorders>
            <w:noWrap w:val="0"/>
            <w:vAlign w:val="center"/>
          </w:tcPr>
          <w:p w14:paraId="6BF5346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074E9EA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市民</w:t>
            </w:r>
            <w:r>
              <w:rPr>
                <w:rFonts w:hint="eastAsia" w:ascii="仿宋_GB2312" w:hAnsi="仿宋_GB2312" w:eastAsia="仿宋_GB2312" w:cs="仿宋_GB2312"/>
                <w:color w:val="auto"/>
                <w:sz w:val="20"/>
                <w:szCs w:val="20"/>
                <w:highlight w:val="none"/>
                <w:lang w:eastAsia="zh-CN"/>
              </w:rPr>
              <w:t>满意度</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02E72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95%</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B3968A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96%</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0EC360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10</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44FC10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7949DC9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C2D567C">
        <w:tblPrEx>
          <w:tblCellMar>
            <w:top w:w="0" w:type="dxa"/>
            <w:left w:w="108" w:type="dxa"/>
            <w:bottom w:w="0" w:type="dxa"/>
            <w:right w:w="108" w:type="dxa"/>
          </w:tblCellMar>
        </w:tblPrEx>
        <w:trPr>
          <w:trHeight w:val="585" w:hRule="atLeast"/>
          <w:jc w:val="center"/>
        </w:trPr>
        <w:tc>
          <w:tcPr>
            <w:tcW w:w="6830" w:type="dxa"/>
            <w:gridSpan w:val="6"/>
            <w:tcBorders>
              <w:top w:val="single" w:color="auto" w:sz="4" w:space="0"/>
              <w:left w:val="single" w:color="auto" w:sz="4" w:space="0"/>
              <w:bottom w:val="single" w:color="auto" w:sz="4" w:space="0"/>
              <w:right w:val="single" w:color="auto" w:sz="4" w:space="0"/>
            </w:tcBorders>
            <w:noWrap w:val="0"/>
            <w:vAlign w:val="center"/>
          </w:tcPr>
          <w:p w14:paraId="6C9279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3F28FB8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27810E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97.61</w:t>
            </w:r>
          </w:p>
        </w:tc>
        <w:tc>
          <w:tcPr>
            <w:tcW w:w="1252" w:type="dxa"/>
            <w:tcBorders>
              <w:top w:val="single" w:color="auto" w:sz="4" w:space="0"/>
              <w:left w:val="single" w:color="auto" w:sz="4" w:space="0"/>
              <w:bottom w:val="single" w:color="auto" w:sz="4" w:space="0"/>
              <w:right w:val="single" w:color="auto" w:sz="4" w:space="0"/>
            </w:tcBorders>
            <w:noWrap w:val="0"/>
            <w:vAlign w:val="center"/>
          </w:tcPr>
          <w:p w14:paraId="66E1935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58E82FFB">
      <w:pPr>
        <w:keepNext w:val="0"/>
        <w:keepLines w:val="0"/>
        <w:pageBreakBefore w:val="0"/>
        <w:widowControl w:val="0"/>
        <w:kinsoku/>
        <w:wordWrap/>
        <w:overflowPunct/>
        <w:topLinePunct w:val="0"/>
        <w:autoSpaceDE/>
        <w:autoSpaceDN/>
        <w:bidi w:val="0"/>
        <w:adjustRightInd/>
        <w:snapToGrid/>
        <w:spacing w:afterLines="0" w:line="500" w:lineRule="exact"/>
        <w:ind w:right="0" w:rightChars="0"/>
        <w:jc w:val="both"/>
        <w:textAlignment w:val="auto"/>
        <w:rPr>
          <w:rFonts w:hint="eastAsia" w:ascii="仿宋_GB2312" w:hAnsi="仿宋_GB2312" w:eastAsia="仿宋_GB2312" w:cs="仿宋_GB2312"/>
          <w:sz w:val="22"/>
          <w:szCs w:val="22"/>
          <w:highlight w:val="none"/>
        </w:rPr>
      </w:pPr>
    </w:p>
    <w:p w14:paraId="1F25C545">
      <w:pPr>
        <w:keepNext w:val="0"/>
        <w:keepLines w:val="0"/>
        <w:pageBreakBefore w:val="0"/>
        <w:widowControl w:val="0"/>
        <w:kinsoku/>
        <w:wordWrap/>
        <w:overflowPunct/>
        <w:topLinePunct w:val="0"/>
        <w:autoSpaceDE/>
        <w:autoSpaceDN/>
        <w:bidi w:val="0"/>
        <w:adjustRightInd/>
        <w:snapToGrid/>
        <w:spacing w:afterLines="0" w:line="360" w:lineRule="auto"/>
        <w:ind w:right="0" w:rightChars="0"/>
        <w:jc w:val="both"/>
        <w:textAlignment w:val="auto"/>
        <w:rPr>
          <w:rFonts w:hint="eastAsia" w:ascii="宋体" w:hAnsi="宋体" w:eastAsia="宋体" w:cs="宋体"/>
          <w:b/>
          <w:bCs/>
          <w:color w:val="000000" w:themeColor="text1"/>
          <w:spacing w:val="2"/>
          <w:sz w:val="44"/>
          <w:szCs w:val="44"/>
          <w:lang w:val="en-US" w:eastAsia="zh-CN"/>
          <w14:textFill>
            <w14:solidFill>
              <w14:schemeClr w14:val="tx1"/>
            </w14:solidFill>
          </w14:textFill>
        </w:rPr>
        <w:sectPr>
          <w:footerReference r:id="rId3" w:type="default"/>
          <w:pgSz w:w="11906" w:h="16838"/>
          <w:pgMar w:top="1440" w:right="1800" w:bottom="1440" w:left="1800" w:header="851" w:footer="992" w:gutter="0"/>
          <w:pgNumType w:fmt="decimal" w:start="1"/>
          <w:cols w:space="425" w:num="1"/>
          <w:docGrid w:type="lines" w:linePitch="312" w:charSpace="0"/>
        </w:sectPr>
      </w:pPr>
      <w:r>
        <w:rPr>
          <w:rFonts w:hint="eastAsia" w:ascii="仿宋_GB2312" w:hAnsi="仿宋_GB2312" w:eastAsia="仿宋_GB2312" w:cs="仿宋_GB2312"/>
          <w:sz w:val="22"/>
          <w:szCs w:val="22"/>
          <w:highlight w:val="none"/>
        </w:rPr>
        <w:t>填表人：</w:t>
      </w:r>
      <w:r>
        <w:rPr>
          <w:rFonts w:hint="eastAsia" w:ascii="仿宋_GB2312" w:hAnsi="仿宋_GB2312" w:eastAsia="仿宋_GB2312" w:cs="仿宋_GB2312"/>
          <w:color w:val="000000" w:themeColor="text1"/>
          <w:spacing w:val="0"/>
          <w:sz w:val="22"/>
          <w:szCs w:val="22"/>
          <w:lang w:eastAsia="zh-CN"/>
          <w14:textFill>
            <w14:solidFill>
              <w14:schemeClr w14:val="tx1"/>
            </w14:solidFill>
          </w14:textFill>
        </w:rPr>
        <w:t>刘</w:t>
      </w:r>
      <w:r>
        <w:rPr>
          <w:rFonts w:hint="eastAsia" w:ascii="仿宋_GB2312" w:hAnsi="仿宋_GB2312" w:eastAsia="仿宋_GB2312" w:cs="仿宋_GB2312"/>
          <w:color w:val="000000" w:themeColor="text1"/>
          <w:spacing w:val="0"/>
          <w:sz w:val="22"/>
          <w:szCs w:val="2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sz w:val="22"/>
          <w:szCs w:val="22"/>
          <w:lang w:eastAsia="zh-CN"/>
          <w14:textFill>
            <w14:solidFill>
              <w14:schemeClr w14:val="tx1"/>
            </w14:solidFill>
          </w14:textFill>
        </w:rPr>
        <w:t>蓓</w:t>
      </w:r>
      <w:r>
        <w:rPr>
          <w:rFonts w:hint="eastAsia" w:ascii="仿宋_GB2312" w:hAnsi="仿宋_GB2312" w:eastAsia="仿宋_GB2312" w:cs="仿宋_GB2312"/>
          <w:sz w:val="22"/>
          <w:szCs w:val="22"/>
          <w:highlight w:val="none"/>
        </w:rPr>
        <w:t xml:space="preserve">  填报日期：</w:t>
      </w:r>
      <w:r>
        <w:rPr>
          <w:rFonts w:hint="eastAsia" w:ascii="仿宋_GB2312" w:hAnsi="仿宋_GB2312" w:eastAsia="仿宋_GB2312" w:cs="仿宋_GB2312"/>
          <w:sz w:val="22"/>
          <w:szCs w:val="22"/>
          <w:highlight w:val="none"/>
          <w:lang w:val="en-US" w:eastAsia="zh-CN"/>
        </w:rPr>
        <w:t xml:space="preserve">2026.6.23 </w:t>
      </w:r>
      <w:r>
        <w:rPr>
          <w:rFonts w:hint="eastAsia" w:ascii="仿宋_GB2312" w:hAnsi="仿宋_GB2312" w:eastAsia="仿宋_GB2312" w:cs="仿宋_GB2312"/>
          <w:sz w:val="22"/>
          <w:szCs w:val="22"/>
          <w:highlight w:val="none"/>
        </w:rPr>
        <w:t xml:space="preserve"> 联系电话：</w:t>
      </w:r>
      <w:r>
        <w:rPr>
          <w:rFonts w:hint="eastAsia" w:ascii="仿宋_GB2312" w:hAnsi="仿宋_GB2312" w:eastAsia="仿宋_GB2312" w:cs="仿宋_GB2312"/>
          <w:sz w:val="22"/>
          <w:szCs w:val="22"/>
          <w:highlight w:val="none"/>
          <w:lang w:val="en-US" w:eastAsia="zh-CN"/>
        </w:rPr>
        <w:t>0730-</w:t>
      </w:r>
      <w:r>
        <w:rPr>
          <w:rFonts w:hint="eastAsia" w:ascii="仿宋_GB2312" w:hAnsi="仿宋_GB2312" w:eastAsia="仿宋_GB2312" w:cs="仿宋_GB2312"/>
          <w:color w:val="000000" w:themeColor="text1"/>
          <w:spacing w:val="0"/>
          <w:sz w:val="22"/>
          <w:szCs w:val="22"/>
          <w:lang w:val="en-US" w:eastAsia="zh-CN"/>
          <w14:textFill>
            <w14:solidFill>
              <w14:schemeClr w14:val="tx1"/>
            </w14:solidFill>
          </w14:textFill>
        </w:rPr>
        <w:t>822281</w:t>
      </w:r>
      <w:r>
        <w:rPr>
          <w:rFonts w:hint="eastAsia" w:ascii="仿宋_GB2312" w:hAnsi="仿宋_GB2312" w:eastAsia="仿宋_GB2312" w:cs="仿宋_GB2312"/>
          <w:sz w:val="22"/>
          <w:szCs w:val="22"/>
          <w:highlight w:val="none"/>
          <w:lang w:val="en-US" w:eastAsia="zh-CN"/>
        </w:rPr>
        <w:t xml:space="preserve">  </w:t>
      </w:r>
      <w:r>
        <w:rPr>
          <w:rFonts w:hint="eastAsia" w:ascii="仿宋_GB2312" w:hAnsi="仿宋_GB2312" w:eastAsia="仿宋_GB2312" w:cs="仿宋_GB2312"/>
          <w:sz w:val="22"/>
          <w:szCs w:val="22"/>
          <w:highlight w:val="none"/>
        </w:rPr>
        <w:t xml:space="preserve"> 单位负责人：</w:t>
      </w:r>
      <w:r>
        <w:rPr>
          <w:rFonts w:hint="eastAsia" w:ascii="仿宋_GB2312" w:hAnsi="仿宋_GB2312" w:eastAsia="仿宋_GB2312" w:cs="仿宋_GB2312"/>
          <w:sz w:val="22"/>
          <w:szCs w:val="22"/>
          <w:highlight w:val="none"/>
          <w:lang w:eastAsia="zh-CN"/>
        </w:rPr>
        <w:t>郑</w:t>
      </w:r>
      <w:r>
        <w:rPr>
          <w:rFonts w:hint="eastAsia" w:ascii="仿宋_GB2312" w:hAnsi="仿宋_GB2312" w:eastAsia="仿宋_GB2312" w:cs="仿宋_GB2312"/>
          <w:sz w:val="22"/>
          <w:szCs w:val="22"/>
          <w:highlight w:val="none"/>
          <w:lang w:val="en-US" w:eastAsia="zh-CN"/>
        </w:rPr>
        <w:t xml:space="preserve">  伟</w:t>
      </w:r>
    </w:p>
    <w:p w14:paraId="2741A8A8">
      <w:pPr>
        <w:widowControl/>
        <w:spacing w:line="600" w:lineRule="exact"/>
        <w:jc w:val="left"/>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1-5</w:t>
      </w:r>
    </w:p>
    <w:p w14:paraId="796CE5A5">
      <w:pPr>
        <w:pStyle w:val="2"/>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lang w:val="en" w:eastAsia="zh-CN"/>
        </w:rPr>
      </w:pPr>
    </w:p>
    <w:p w14:paraId="68CF931A">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p w14:paraId="56782B2E">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p>
    <w:tbl>
      <w:tblPr>
        <w:tblStyle w:val="10"/>
        <w:tblW w:w="9851" w:type="dxa"/>
        <w:jc w:val="center"/>
        <w:tblLayout w:type="autofit"/>
        <w:tblCellMar>
          <w:top w:w="0" w:type="dxa"/>
          <w:left w:w="108" w:type="dxa"/>
          <w:bottom w:w="0" w:type="dxa"/>
          <w:right w:w="108" w:type="dxa"/>
        </w:tblCellMar>
      </w:tblPr>
      <w:tblGrid>
        <w:gridCol w:w="989"/>
        <w:gridCol w:w="1017"/>
        <w:gridCol w:w="965"/>
        <w:gridCol w:w="1816"/>
        <w:gridCol w:w="1067"/>
        <w:gridCol w:w="1154"/>
        <w:gridCol w:w="680"/>
        <w:gridCol w:w="896"/>
        <w:gridCol w:w="1267"/>
      </w:tblGrid>
      <w:tr w14:paraId="19BC29BA">
        <w:tblPrEx>
          <w:tblCellMar>
            <w:top w:w="0" w:type="dxa"/>
            <w:left w:w="108" w:type="dxa"/>
            <w:bottom w:w="0" w:type="dxa"/>
            <w:right w:w="108" w:type="dxa"/>
          </w:tblCellMar>
        </w:tblPrEx>
        <w:trPr>
          <w:jc w:val="center"/>
        </w:trPr>
        <w:tc>
          <w:tcPr>
            <w:tcW w:w="989" w:type="dxa"/>
            <w:tcBorders>
              <w:top w:val="single" w:color="auto" w:sz="4" w:space="0"/>
              <w:left w:val="single" w:color="auto" w:sz="4" w:space="0"/>
              <w:bottom w:val="single" w:color="auto" w:sz="4" w:space="0"/>
              <w:right w:val="single" w:color="auto" w:sz="4" w:space="0"/>
            </w:tcBorders>
            <w:noWrap w:val="0"/>
            <w:vAlign w:val="center"/>
          </w:tcPr>
          <w:p w14:paraId="6D2F7F0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0AFAC47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862" w:type="dxa"/>
            <w:gridSpan w:val="8"/>
            <w:tcBorders>
              <w:top w:val="single" w:color="auto" w:sz="4" w:space="0"/>
              <w:left w:val="single" w:color="auto" w:sz="4" w:space="0"/>
              <w:bottom w:val="single" w:color="auto" w:sz="4" w:space="0"/>
              <w:right w:val="single" w:color="auto" w:sz="4" w:space="0"/>
            </w:tcBorders>
            <w:noWrap w:val="0"/>
            <w:vAlign w:val="center"/>
          </w:tcPr>
          <w:p w14:paraId="1D34FE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巴陵石化公司老厂区原泵站维修改造项目</w:t>
            </w:r>
          </w:p>
        </w:tc>
      </w:tr>
      <w:tr w14:paraId="4E7255E4">
        <w:tblPrEx>
          <w:tblCellMar>
            <w:top w:w="0" w:type="dxa"/>
            <w:left w:w="108" w:type="dxa"/>
            <w:bottom w:w="0" w:type="dxa"/>
            <w:right w:w="108" w:type="dxa"/>
          </w:tblCellMar>
        </w:tblPrEx>
        <w:trPr>
          <w:trHeight w:val="420" w:hRule="atLeast"/>
          <w:jc w:val="center"/>
        </w:trPr>
        <w:tc>
          <w:tcPr>
            <w:tcW w:w="989" w:type="dxa"/>
            <w:tcBorders>
              <w:top w:val="single" w:color="auto" w:sz="4" w:space="0"/>
              <w:left w:val="single" w:color="auto" w:sz="4" w:space="0"/>
              <w:bottom w:val="single" w:color="auto" w:sz="4" w:space="0"/>
              <w:right w:val="single" w:color="auto" w:sz="4" w:space="0"/>
            </w:tcBorders>
            <w:noWrap w:val="0"/>
            <w:vAlign w:val="center"/>
          </w:tcPr>
          <w:p w14:paraId="3C464E6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865" w:type="dxa"/>
            <w:gridSpan w:val="4"/>
            <w:tcBorders>
              <w:top w:val="single" w:color="auto" w:sz="4" w:space="0"/>
              <w:left w:val="single" w:color="auto" w:sz="4" w:space="0"/>
              <w:bottom w:val="single" w:color="auto" w:sz="4" w:space="0"/>
              <w:right w:val="single" w:color="auto" w:sz="4" w:space="0"/>
            </w:tcBorders>
            <w:noWrap w:val="0"/>
            <w:vAlign w:val="center"/>
          </w:tcPr>
          <w:p w14:paraId="38E5F414">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lang w:eastAsia="zh-CN"/>
                <w14:textFill>
                  <w14:solidFill>
                    <w14:schemeClr w14:val="tx1"/>
                  </w14:solidFill>
                </w14:textFill>
              </w:rPr>
              <w:t>岳阳市城市管理和综合执法局</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06CE55AA">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14:textFill>
                  <w14:solidFill>
                    <w14:schemeClr w14:val="tx1"/>
                  </w14:solidFill>
                </w14:textFill>
              </w:rPr>
              <w:t>实施单位</w:t>
            </w:r>
          </w:p>
        </w:tc>
        <w:tc>
          <w:tcPr>
            <w:tcW w:w="2843" w:type="dxa"/>
            <w:gridSpan w:val="3"/>
            <w:tcBorders>
              <w:top w:val="single" w:color="auto" w:sz="4" w:space="0"/>
              <w:left w:val="single" w:color="auto" w:sz="4" w:space="0"/>
              <w:bottom w:val="single" w:color="auto" w:sz="4" w:space="0"/>
              <w:right w:val="single" w:color="auto" w:sz="4" w:space="0"/>
            </w:tcBorders>
            <w:noWrap w:val="0"/>
            <w:vAlign w:val="center"/>
          </w:tcPr>
          <w:p w14:paraId="303B6106">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lang w:eastAsia="zh-CN"/>
                <w14:textFill>
                  <w14:solidFill>
                    <w14:schemeClr w14:val="tx1"/>
                  </w14:solidFill>
                </w14:textFill>
              </w:rPr>
              <w:t>岳阳市市政维护管理中心</w:t>
            </w:r>
          </w:p>
        </w:tc>
      </w:tr>
      <w:tr w14:paraId="4083281F">
        <w:tblPrEx>
          <w:tblCellMar>
            <w:top w:w="0" w:type="dxa"/>
            <w:left w:w="108" w:type="dxa"/>
            <w:bottom w:w="0" w:type="dxa"/>
            <w:right w:w="108" w:type="dxa"/>
          </w:tblCellMar>
        </w:tblPrEx>
        <w:trPr>
          <w:jc w:val="center"/>
        </w:trPr>
        <w:tc>
          <w:tcPr>
            <w:tcW w:w="989" w:type="dxa"/>
            <w:vMerge w:val="restart"/>
            <w:tcBorders>
              <w:top w:val="single" w:color="auto" w:sz="4" w:space="0"/>
              <w:left w:val="single" w:color="auto" w:sz="4" w:space="0"/>
              <w:bottom w:val="single" w:color="auto" w:sz="4" w:space="0"/>
              <w:right w:val="single" w:color="auto" w:sz="4" w:space="0"/>
            </w:tcBorders>
            <w:noWrap w:val="0"/>
            <w:vAlign w:val="center"/>
          </w:tcPr>
          <w:p w14:paraId="05E87B8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14:paraId="69FF36C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816" w:type="dxa"/>
            <w:tcBorders>
              <w:top w:val="single" w:color="auto" w:sz="4" w:space="0"/>
              <w:left w:val="single" w:color="auto" w:sz="4" w:space="0"/>
              <w:bottom w:val="single" w:color="auto" w:sz="4" w:space="0"/>
              <w:right w:val="single" w:color="auto" w:sz="4" w:space="0"/>
            </w:tcBorders>
            <w:noWrap w:val="0"/>
            <w:vAlign w:val="center"/>
          </w:tcPr>
          <w:p w14:paraId="355557E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008BC7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5BAAE13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54A2F24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194770D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7302AE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1DA5FD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4CA9022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1038792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76EEBAC7">
        <w:tblPrEx>
          <w:tblCellMar>
            <w:top w:w="0" w:type="dxa"/>
            <w:left w:w="108" w:type="dxa"/>
            <w:bottom w:w="0" w:type="dxa"/>
            <w:right w:w="108" w:type="dxa"/>
          </w:tblCellMar>
        </w:tblPrEx>
        <w:trPr>
          <w:trHeight w:val="495" w:hRule="atLeast"/>
          <w:jc w:val="center"/>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0FDDD7E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14:paraId="657EA23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816" w:type="dxa"/>
            <w:tcBorders>
              <w:top w:val="single" w:color="auto" w:sz="4" w:space="0"/>
              <w:left w:val="single" w:color="auto" w:sz="4" w:space="0"/>
              <w:bottom w:val="single" w:color="auto" w:sz="4" w:space="0"/>
              <w:right w:val="single" w:color="auto" w:sz="4" w:space="0"/>
            </w:tcBorders>
            <w:noWrap w:val="0"/>
            <w:vAlign w:val="center"/>
          </w:tcPr>
          <w:p w14:paraId="08084A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690E04E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455.31</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480F729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455.31</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2C6DF47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10</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5FBD0DC2">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035C778B">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r>
      <w:tr w14:paraId="1F4EF969">
        <w:tblPrEx>
          <w:tblCellMar>
            <w:top w:w="0" w:type="dxa"/>
            <w:left w:w="108" w:type="dxa"/>
            <w:bottom w:w="0" w:type="dxa"/>
            <w:right w:w="108" w:type="dxa"/>
          </w:tblCellMar>
        </w:tblPrEx>
        <w:trPr>
          <w:trHeight w:val="400" w:hRule="atLeast"/>
          <w:jc w:val="center"/>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0E37BD9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14:paraId="1840331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816" w:type="dxa"/>
            <w:tcBorders>
              <w:top w:val="single" w:color="auto" w:sz="4" w:space="0"/>
              <w:left w:val="single" w:color="auto" w:sz="4" w:space="0"/>
              <w:bottom w:val="single" w:color="auto" w:sz="4" w:space="0"/>
              <w:right w:val="single" w:color="auto" w:sz="4" w:space="0"/>
            </w:tcBorders>
            <w:noWrap w:val="0"/>
            <w:vAlign w:val="center"/>
          </w:tcPr>
          <w:p w14:paraId="07EA3D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013ADE0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455.31</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33A402A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455.31</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1B38193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60CEC05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769B2F1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21C7AF2">
        <w:tblPrEx>
          <w:tblCellMar>
            <w:top w:w="0" w:type="dxa"/>
            <w:left w:w="108" w:type="dxa"/>
            <w:bottom w:w="0" w:type="dxa"/>
            <w:right w:w="108" w:type="dxa"/>
          </w:tblCellMar>
        </w:tblPrEx>
        <w:trPr>
          <w:trHeight w:val="405" w:hRule="atLeast"/>
          <w:jc w:val="center"/>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2E5D70C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14:paraId="1269A436">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816" w:type="dxa"/>
            <w:tcBorders>
              <w:top w:val="single" w:color="auto" w:sz="4" w:space="0"/>
              <w:left w:val="single" w:color="auto" w:sz="4" w:space="0"/>
              <w:bottom w:val="single" w:color="auto" w:sz="4" w:space="0"/>
              <w:right w:val="single" w:color="auto" w:sz="4" w:space="0"/>
            </w:tcBorders>
            <w:noWrap w:val="0"/>
            <w:vAlign w:val="center"/>
          </w:tcPr>
          <w:p w14:paraId="47B64A8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p>
        </w:tc>
        <w:tc>
          <w:tcPr>
            <w:tcW w:w="1067" w:type="dxa"/>
            <w:tcBorders>
              <w:top w:val="single" w:color="auto" w:sz="4" w:space="0"/>
              <w:left w:val="single" w:color="auto" w:sz="4" w:space="0"/>
              <w:bottom w:val="single" w:color="auto" w:sz="4" w:space="0"/>
              <w:right w:val="single" w:color="auto" w:sz="4" w:space="0"/>
            </w:tcBorders>
            <w:noWrap w:val="0"/>
            <w:vAlign w:val="center"/>
          </w:tcPr>
          <w:p w14:paraId="298BDC0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p>
        </w:tc>
        <w:tc>
          <w:tcPr>
            <w:tcW w:w="1154" w:type="dxa"/>
            <w:tcBorders>
              <w:top w:val="single" w:color="auto" w:sz="4" w:space="0"/>
              <w:left w:val="single" w:color="auto" w:sz="4" w:space="0"/>
              <w:bottom w:val="single" w:color="auto" w:sz="4" w:space="0"/>
              <w:right w:val="single" w:color="auto" w:sz="4" w:space="0"/>
            </w:tcBorders>
            <w:noWrap w:val="0"/>
            <w:vAlign w:val="center"/>
          </w:tcPr>
          <w:p w14:paraId="150BB2D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p>
        </w:tc>
        <w:tc>
          <w:tcPr>
            <w:tcW w:w="680" w:type="dxa"/>
            <w:tcBorders>
              <w:top w:val="single" w:color="auto" w:sz="4" w:space="0"/>
              <w:left w:val="single" w:color="auto" w:sz="4" w:space="0"/>
              <w:bottom w:val="single" w:color="auto" w:sz="4" w:space="0"/>
              <w:right w:val="single" w:color="auto" w:sz="4" w:space="0"/>
            </w:tcBorders>
            <w:noWrap w:val="0"/>
            <w:vAlign w:val="center"/>
          </w:tcPr>
          <w:p w14:paraId="2F3544C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6A89A71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2289742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258227E">
        <w:tblPrEx>
          <w:tblCellMar>
            <w:top w:w="0" w:type="dxa"/>
            <w:left w:w="108" w:type="dxa"/>
            <w:bottom w:w="0" w:type="dxa"/>
            <w:right w:w="108" w:type="dxa"/>
          </w:tblCellMar>
        </w:tblPrEx>
        <w:trPr>
          <w:trHeight w:val="445" w:hRule="atLeast"/>
          <w:jc w:val="center"/>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4B4BB3E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14:paraId="1E66A3D9">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816" w:type="dxa"/>
            <w:tcBorders>
              <w:top w:val="single" w:color="auto" w:sz="4" w:space="0"/>
              <w:left w:val="single" w:color="auto" w:sz="4" w:space="0"/>
              <w:bottom w:val="single" w:color="auto" w:sz="4" w:space="0"/>
              <w:right w:val="single" w:color="auto" w:sz="4" w:space="0"/>
            </w:tcBorders>
            <w:noWrap w:val="0"/>
            <w:vAlign w:val="center"/>
          </w:tcPr>
          <w:p w14:paraId="78ACF4C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4B4E20E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6F7FEB5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073AF94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7E08961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094EFCC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82CF487">
        <w:tblPrEx>
          <w:tblCellMar>
            <w:top w:w="0" w:type="dxa"/>
            <w:left w:w="108" w:type="dxa"/>
            <w:bottom w:w="0" w:type="dxa"/>
            <w:right w:w="108" w:type="dxa"/>
          </w:tblCellMar>
        </w:tblPrEx>
        <w:trPr>
          <w:trHeight w:val="435" w:hRule="atLeast"/>
          <w:jc w:val="center"/>
        </w:trPr>
        <w:tc>
          <w:tcPr>
            <w:tcW w:w="989" w:type="dxa"/>
            <w:vMerge w:val="restart"/>
            <w:tcBorders>
              <w:top w:val="single" w:color="auto" w:sz="4" w:space="0"/>
              <w:left w:val="single" w:color="auto" w:sz="4" w:space="0"/>
              <w:bottom w:val="single" w:color="auto" w:sz="4" w:space="0"/>
              <w:right w:val="single" w:color="auto" w:sz="4" w:space="0"/>
            </w:tcBorders>
            <w:noWrap w:val="0"/>
            <w:vAlign w:val="center"/>
          </w:tcPr>
          <w:p w14:paraId="09A613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865" w:type="dxa"/>
            <w:gridSpan w:val="4"/>
            <w:tcBorders>
              <w:top w:val="single" w:color="auto" w:sz="4" w:space="0"/>
              <w:left w:val="single" w:color="auto" w:sz="4" w:space="0"/>
              <w:bottom w:val="single" w:color="auto" w:sz="4" w:space="0"/>
              <w:right w:val="single" w:color="auto" w:sz="4" w:space="0"/>
            </w:tcBorders>
            <w:noWrap w:val="0"/>
            <w:vAlign w:val="center"/>
          </w:tcPr>
          <w:p w14:paraId="55A6DC6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3997" w:type="dxa"/>
            <w:gridSpan w:val="4"/>
            <w:tcBorders>
              <w:top w:val="single" w:color="auto" w:sz="4" w:space="0"/>
              <w:left w:val="single" w:color="auto" w:sz="4" w:space="0"/>
              <w:bottom w:val="single" w:color="auto" w:sz="4" w:space="0"/>
              <w:right w:val="single" w:color="auto" w:sz="4" w:space="0"/>
            </w:tcBorders>
            <w:noWrap w:val="0"/>
            <w:vAlign w:val="center"/>
          </w:tcPr>
          <w:p w14:paraId="1D9732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15B8D081">
        <w:tblPrEx>
          <w:tblCellMar>
            <w:top w:w="0" w:type="dxa"/>
            <w:left w:w="108" w:type="dxa"/>
            <w:bottom w:w="0" w:type="dxa"/>
            <w:right w:w="108" w:type="dxa"/>
          </w:tblCellMar>
        </w:tblPrEx>
        <w:trPr>
          <w:trHeight w:val="905" w:hRule="atLeast"/>
          <w:jc w:val="center"/>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50FEA04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4865" w:type="dxa"/>
            <w:gridSpan w:val="4"/>
            <w:tcBorders>
              <w:top w:val="single" w:color="auto" w:sz="4" w:space="0"/>
              <w:left w:val="single" w:color="auto" w:sz="4" w:space="0"/>
              <w:bottom w:val="single" w:color="auto" w:sz="4" w:space="0"/>
              <w:right w:val="single" w:color="auto" w:sz="4" w:space="0"/>
            </w:tcBorders>
            <w:noWrap w:val="0"/>
            <w:vAlign w:val="center"/>
          </w:tcPr>
          <w:p w14:paraId="46C38B1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pacing w:val="0"/>
                <w:sz w:val="20"/>
                <w:szCs w:val="20"/>
                <w:lang w:val="en-US" w:eastAsia="zh-CN"/>
              </w:rPr>
              <w:t xml:space="preserve">   对</w:t>
            </w:r>
            <w:r>
              <w:rPr>
                <w:rFonts w:hint="eastAsia" w:ascii="仿宋_GB2312" w:hAnsi="仿宋_GB2312" w:eastAsia="仿宋_GB2312" w:cs="仿宋_GB2312"/>
                <w:color w:val="auto"/>
                <w:spacing w:val="0"/>
                <w:sz w:val="20"/>
                <w:szCs w:val="20"/>
                <w:lang w:eastAsia="zh-CN"/>
              </w:rPr>
              <w:t>原洞庭</w:t>
            </w:r>
            <w:r>
              <w:rPr>
                <w:rFonts w:hint="eastAsia" w:ascii="仿宋_GB2312" w:hAnsi="仿宋_GB2312" w:eastAsia="仿宋_GB2312" w:cs="仿宋_GB2312"/>
                <w:color w:val="auto"/>
                <w:sz w:val="20"/>
                <w:szCs w:val="20"/>
                <w:highlight w:val="none"/>
                <w:lang w:eastAsia="zh-CN"/>
              </w:rPr>
              <w:t>氮肥厂权属泵站及配套设施进行升级改造，确保该片区雨污水及时处置。</w:t>
            </w:r>
          </w:p>
        </w:tc>
        <w:tc>
          <w:tcPr>
            <w:tcW w:w="3997" w:type="dxa"/>
            <w:gridSpan w:val="4"/>
            <w:tcBorders>
              <w:top w:val="single" w:color="auto" w:sz="4" w:space="0"/>
              <w:left w:val="single" w:color="auto" w:sz="4" w:space="0"/>
              <w:bottom w:val="single" w:color="auto" w:sz="4" w:space="0"/>
              <w:right w:val="single" w:color="auto" w:sz="4" w:space="0"/>
            </w:tcBorders>
            <w:noWrap w:val="0"/>
            <w:vAlign w:val="center"/>
          </w:tcPr>
          <w:p w14:paraId="3E95888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 xml:space="preserve"> </w:t>
            </w:r>
            <w:r>
              <w:rPr>
                <w:rFonts w:hint="eastAsia" w:ascii="仿宋_GB2312" w:hAnsi="仿宋_GB2312" w:eastAsia="仿宋_GB2312" w:cs="仿宋_GB2312"/>
                <w:color w:val="auto"/>
                <w:spacing w:val="0"/>
                <w:sz w:val="20"/>
                <w:szCs w:val="20"/>
                <w:lang w:eastAsia="zh-CN"/>
              </w:rPr>
              <w:t>原洞庭</w:t>
            </w:r>
            <w:r>
              <w:rPr>
                <w:rFonts w:hint="eastAsia" w:ascii="仿宋_GB2312" w:hAnsi="仿宋_GB2312" w:eastAsia="仿宋_GB2312" w:cs="仿宋_GB2312"/>
                <w:color w:val="auto"/>
                <w:sz w:val="20"/>
                <w:szCs w:val="20"/>
                <w:highlight w:val="none"/>
                <w:lang w:eastAsia="zh-CN"/>
              </w:rPr>
              <w:t>氮肥厂权属泵站及配套设施升级改造工作如期完成，该片区雨污水得到妥善处置。</w:t>
            </w:r>
          </w:p>
        </w:tc>
      </w:tr>
      <w:tr w14:paraId="4E8533F9">
        <w:tblPrEx>
          <w:tblCellMar>
            <w:top w:w="0" w:type="dxa"/>
            <w:left w:w="108" w:type="dxa"/>
            <w:bottom w:w="0" w:type="dxa"/>
            <w:right w:w="108" w:type="dxa"/>
          </w:tblCellMar>
        </w:tblPrEx>
        <w:trPr>
          <w:jc w:val="center"/>
        </w:trPr>
        <w:tc>
          <w:tcPr>
            <w:tcW w:w="989" w:type="dxa"/>
            <w:vMerge w:val="restart"/>
            <w:tcBorders>
              <w:top w:val="single" w:color="auto" w:sz="4" w:space="0"/>
              <w:left w:val="single" w:color="auto" w:sz="4" w:space="0"/>
              <w:bottom w:val="single" w:color="auto" w:sz="4" w:space="0"/>
              <w:right w:val="single" w:color="auto" w:sz="4" w:space="0"/>
            </w:tcBorders>
            <w:noWrap w:val="0"/>
            <w:vAlign w:val="center"/>
          </w:tcPr>
          <w:p w14:paraId="54CFAD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044B86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18477B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5DEFB9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17" w:type="dxa"/>
            <w:tcBorders>
              <w:top w:val="single" w:color="auto" w:sz="4" w:space="0"/>
              <w:left w:val="single" w:color="auto" w:sz="4" w:space="0"/>
              <w:bottom w:val="single" w:color="auto" w:sz="4" w:space="0"/>
              <w:right w:val="single" w:color="auto" w:sz="4" w:space="0"/>
            </w:tcBorders>
            <w:noWrap w:val="0"/>
            <w:vAlign w:val="center"/>
          </w:tcPr>
          <w:p w14:paraId="7519D9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一级指标</w:t>
            </w:r>
          </w:p>
        </w:tc>
        <w:tc>
          <w:tcPr>
            <w:tcW w:w="965" w:type="dxa"/>
            <w:tcBorders>
              <w:top w:val="single" w:color="auto" w:sz="4" w:space="0"/>
              <w:left w:val="single" w:color="auto" w:sz="4" w:space="0"/>
              <w:bottom w:val="single" w:color="auto" w:sz="4" w:space="0"/>
              <w:right w:val="single" w:color="auto" w:sz="4" w:space="0"/>
            </w:tcBorders>
            <w:noWrap w:val="0"/>
            <w:vAlign w:val="center"/>
          </w:tcPr>
          <w:p w14:paraId="59C338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二级指标</w:t>
            </w:r>
          </w:p>
        </w:tc>
        <w:tc>
          <w:tcPr>
            <w:tcW w:w="1816" w:type="dxa"/>
            <w:tcBorders>
              <w:top w:val="single" w:color="auto" w:sz="4" w:space="0"/>
              <w:left w:val="single" w:color="auto" w:sz="4" w:space="0"/>
              <w:bottom w:val="single" w:color="auto" w:sz="4" w:space="0"/>
              <w:right w:val="single" w:color="auto" w:sz="4" w:space="0"/>
            </w:tcBorders>
            <w:noWrap w:val="0"/>
            <w:vAlign w:val="center"/>
          </w:tcPr>
          <w:p w14:paraId="677C66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三级指标</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55C32E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年度</w:t>
            </w:r>
          </w:p>
          <w:p w14:paraId="3D27788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指标值</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120D40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789D3B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1EF5FB8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12764F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03EA79C1">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4ADED314">
        <w:tblPrEx>
          <w:tblCellMar>
            <w:top w:w="0" w:type="dxa"/>
            <w:left w:w="108" w:type="dxa"/>
            <w:bottom w:w="0" w:type="dxa"/>
            <w:right w:w="108" w:type="dxa"/>
          </w:tblCellMar>
        </w:tblPrEx>
        <w:trPr>
          <w:trHeight w:val="582" w:hRule="atLeast"/>
          <w:jc w:val="center"/>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5BB1F41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17" w:type="dxa"/>
            <w:vMerge w:val="restart"/>
            <w:tcBorders>
              <w:top w:val="single" w:color="auto" w:sz="4" w:space="0"/>
              <w:left w:val="single" w:color="auto" w:sz="4" w:space="0"/>
              <w:right w:val="single" w:color="auto" w:sz="4" w:space="0"/>
            </w:tcBorders>
            <w:noWrap w:val="0"/>
            <w:vAlign w:val="center"/>
          </w:tcPr>
          <w:p w14:paraId="4241A6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3D646F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6D0067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965" w:type="dxa"/>
            <w:vMerge w:val="restart"/>
            <w:tcBorders>
              <w:top w:val="single" w:color="auto" w:sz="4" w:space="0"/>
              <w:left w:val="single" w:color="auto" w:sz="4" w:space="0"/>
              <w:right w:val="single" w:color="auto" w:sz="4" w:space="0"/>
            </w:tcBorders>
            <w:noWrap w:val="0"/>
            <w:vAlign w:val="center"/>
          </w:tcPr>
          <w:p w14:paraId="025CACA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816" w:type="dxa"/>
            <w:tcBorders>
              <w:top w:val="single" w:color="auto" w:sz="4" w:space="0"/>
              <w:left w:val="single" w:color="auto" w:sz="4" w:space="0"/>
              <w:bottom w:val="single" w:color="auto" w:sz="4" w:space="0"/>
              <w:right w:val="single" w:color="auto" w:sz="4" w:space="0"/>
            </w:tcBorders>
            <w:noWrap w:val="0"/>
            <w:vAlign w:val="center"/>
          </w:tcPr>
          <w:p w14:paraId="43666F60">
            <w:pPr>
              <w:keepNext w:val="0"/>
              <w:keepLines w:val="0"/>
              <w:widowControl/>
              <w:suppressLineNumbers w:val="0"/>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泵站升级改造</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2B3A214E">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2座</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2E111DB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2座</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4C3257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449998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26CBD28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192D1E40">
        <w:tblPrEx>
          <w:tblCellMar>
            <w:top w:w="0" w:type="dxa"/>
            <w:left w:w="108" w:type="dxa"/>
            <w:bottom w:w="0" w:type="dxa"/>
            <w:right w:w="108" w:type="dxa"/>
          </w:tblCellMar>
        </w:tblPrEx>
        <w:trPr>
          <w:jc w:val="center"/>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03C2E7F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17" w:type="dxa"/>
            <w:vMerge w:val="continue"/>
            <w:tcBorders>
              <w:left w:val="single" w:color="auto" w:sz="4" w:space="0"/>
              <w:right w:val="single" w:color="auto" w:sz="4" w:space="0"/>
            </w:tcBorders>
            <w:noWrap w:val="0"/>
            <w:vAlign w:val="center"/>
          </w:tcPr>
          <w:p w14:paraId="58EC15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965" w:type="dxa"/>
            <w:vMerge w:val="continue"/>
            <w:tcBorders>
              <w:left w:val="single" w:color="auto" w:sz="4" w:space="0"/>
              <w:bottom w:val="single" w:color="auto" w:sz="4" w:space="0"/>
              <w:right w:val="single" w:color="auto" w:sz="4" w:space="0"/>
            </w:tcBorders>
            <w:noWrap w:val="0"/>
            <w:vAlign w:val="center"/>
          </w:tcPr>
          <w:p w14:paraId="53B3AD8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816" w:type="dxa"/>
            <w:tcBorders>
              <w:top w:val="single" w:color="auto" w:sz="4" w:space="0"/>
              <w:left w:val="single" w:color="auto" w:sz="4" w:space="0"/>
              <w:bottom w:val="single" w:color="auto" w:sz="4" w:space="0"/>
              <w:right w:val="single" w:color="auto" w:sz="4" w:space="0"/>
            </w:tcBorders>
            <w:noWrap w:val="0"/>
            <w:vAlign w:val="center"/>
          </w:tcPr>
          <w:p w14:paraId="35E1A717">
            <w:pPr>
              <w:keepNext w:val="0"/>
              <w:keepLines w:val="0"/>
              <w:widowControl/>
              <w:suppressLineNumbers w:val="0"/>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双回路高压电力接入</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066BB2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2个</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3CA25A8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i w:val="0"/>
                <w:color w:val="000000"/>
                <w:kern w:val="0"/>
                <w:sz w:val="20"/>
                <w:szCs w:val="20"/>
                <w:u w:val="none"/>
                <w:lang w:val="en-US" w:eastAsia="zh-CN" w:bidi="ar"/>
              </w:rPr>
              <w:t>2个</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4879DE4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2B469F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205E721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2D788490">
        <w:tblPrEx>
          <w:tblCellMar>
            <w:top w:w="0" w:type="dxa"/>
            <w:left w:w="108" w:type="dxa"/>
            <w:bottom w:w="0" w:type="dxa"/>
            <w:right w:w="108" w:type="dxa"/>
          </w:tblCellMar>
        </w:tblPrEx>
        <w:trPr>
          <w:trHeight w:val="90" w:hRule="atLeast"/>
          <w:jc w:val="center"/>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1150BA4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17" w:type="dxa"/>
            <w:vMerge w:val="continue"/>
            <w:tcBorders>
              <w:left w:val="single" w:color="auto" w:sz="4" w:space="0"/>
              <w:right w:val="single" w:color="auto" w:sz="4" w:space="0"/>
            </w:tcBorders>
            <w:noWrap w:val="0"/>
            <w:vAlign w:val="center"/>
          </w:tcPr>
          <w:p w14:paraId="0E44670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965" w:type="dxa"/>
            <w:vMerge w:val="continue"/>
            <w:tcBorders>
              <w:left w:val="single" w:color="auto" w:sz="4" w:space="0"/>
              <w:bottom w:val="single" w:color="auto" w:sz="4" w:space="0"/>
              <w:right w:val="single" w:color="auto" w:sz="4" w:space="0"/>
            </w:tcBorders>
            <w:noWrap w:val="0"/>
            <w:vAlign w:val="center"/>
          </w:tcPr>
          <w:p w14:paraId="7AD6226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816" w:type="dxa"/>
            <w:tcBorders>
              <w:top w:val="single" w:color="auto" w:sz="4" w:space="0"/>
              <w:left w:val="single" w:color="auto" w:sz="4" w:space="0"/>
              <w:bottom w:val="single" w:color="auto" w:sz="4" w:space="0"/>
              <w:right w:val="single" w:color="auto" w:sz="4" w:space="0"/>
            </w:tcBorders>
            <w:noWrap w:val="0"/>
            <w:vAlign w:val="center"/>
          </w:tcPr>
          <w:p w14:paraId="597F496C">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泵站围墙、庭院、房屋维修改造</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4C60A8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1起</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309F7A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1起</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33D569F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40D30D5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2CB1BD6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4A3D8473">
        <w:tblPrEx>
          <w:tblCellMar>
            <w:top w:w="0" w:type="dxa"/>
            <w:left w:w="108" w:type="dxa"/>
            <w:bottom w:w="0" w:type="dxa"/>
            <w:right w:w="108" w:type="dxa"/>
          </w:tblCellMar>
        </w:tblPrEx>
        <w:trPr>
          <w:trHeight w:val="570" w:hRule="atLeast"/>
          <w:jc w:val="center"/>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60D57E5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17" w:type="dxa"/>
            <w:vMerge w:val="continue"/>
            <w:tcBorders>
              <w:left w:val="single" w:color="auto" w:sz="4" w:space="0"/>
              <w:right w:val="single" w:color="auto" w:sz="4" w:space="0"/>
            </w:tcBorders>
            <w:noWrap w:val="0"/>
            <w:vAlign w:val="center"/>
          </w:tcPr>
          <w:p w14:paraId="240F55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965" w:type="dxa"/>
            <w:vMerge w:val="continue"/>
            <w:tcBorders>
              <w:left w:val="single" w:color="auto" w:sz="4" w:space="0"/>
              <w:bottom w:val="single" w:color="auto" w:sz="4" w:space="0"/>
              <w:right w:val="single" w:color="auto" w:sz="4" w:space="0"/>
            </w:tcBorders>
            <w:noWrap w:val="0"/>
            <w:vAlign w:val="center"/>
          </w:tcPr>
          <w:p w14:paraId="3DF402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816" w:type="dxa"/>
            <w:tcBorders>
              <w:top w:val="single" w:color="auto" w:sz="4" w:space="0"/>
              <w:left w:val="single" w:color="auto" w:sz="4" w:space="0"/>
              <w:bottom w:val="single" w:color="auto" w:sz="4" w:space="0"/>
              <w:right w:val="single" w:color="auto" w:sz="4" w:space="0"/>
            </w:tcBorders>
            <w:noWrap w:val="0"/>
            <w:vAlign w:val="center"/>
          </w:tcPr>
          <w:p w14:paraId="09FDAB4A">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水泵维修改造</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40A046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2起</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6DE759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2起</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598C16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6F04D2F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7BF77D6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6462E7FC">
        <w:tblPrEx>
          <w:tblCellMar>
            <w:top w:w="0" w:type="dxa"/>
            <w:left w:w="108" w:type="dxa"/>
            <w:bottom w:w="0" w:type="dxa"/>
            <w:right w:w="108" w:type="dxa"/>
          </w:tblCellMar>
        </w:tblPrEx>
        <w:trPr>
          <w:trHeight w:val="632" w:hRule="atLeast"/>
          <w:jc w:val="center"/>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3F5E36F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17" w:type="dxa"/>
            <w:vMerge w:val="continue"/>
            <w:tcBorders>
              <w:left w:val="single" w:color="auto" w:sz="4" w:space="0"/>
              <w:right w:val="single" w:color="auto" w:sz="4" w:space="0"/>
            </w:tcBorders>
            <w:noWrap w:val="0"/>
            <w:vAlign w:val="center"/>
          </w:tcPr>
          <w:p w14:paraId="1B234EF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965" w:type="dxa"/>
            <w:vMerge w:val="continue"/>
            <w:tcBorders>
              <w:left w:val="single" w:color="auto" w:sz="4" w:space="0"/>
              <w:bottom w:val="single" w:color="auto" w:sz="4" w:space="0"/>
              <w:right w:val="single" w:color="auto" w:sz="4" w:space="0"/>
            </w:tcBorders>
            <w:noWrap w:val="0"/>
            <w:vAlign w:val="center"/>
          </w:tcPr>
          <w:p w14:paraId="2A40E1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816" w:type="dxa"/>
            <w:tcBorders>
              <w:top w:val="single" w:color="auto" w:sz="4" w:space="0"/>
              <w:left w:val="single" w:color="auto" w:sz="4" w:space="0"/>
              <w:bottom w:val="single" w:color="auto" w:sz="4" w:space="0"/>
              <w:right w:val="single" w:color="auto" w:sz="4" w:space="0"/>
            </w:tcBorders>
            <w:noWrap w:val="0"/>
            <w:vAlign w:val="center"/>
          </w:tcPr>
          <w:p w14:paraId="265E9937">
            <w:pPr>
              <w:keepNext w:val="0"/>
              <w:keepLines w:val="0"/>
              <w:widowControl/>
              <w:suppressLineNumbers w:val="0"/>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配电柜更换</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185678E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2个</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224B5F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i w:val="0"/>
                <w:color w:val="000000"/>
                <w:kern w:val="0"/>
                <w:sz w:val="20"/>
                <w:szCs w:val="20"/>
                <w:u w:val="none"/>
                <w:lang w:val="en-US" w:eastAsia="zh-CN" w:bidi="ar"/>
              </w:rPr>
              <w:t>2个</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4EE3BD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3F1AA2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2E0A91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0B6CDFA">
        <w:tblPrEx>
          <w:tblCellMar>
            <w:top w:w="0" w:type="dxa"/>
            <w:left w:w="108" w:type="dxa"/>
            <w:bottom w:w="0" w:type="dxa"/>
            <w:right w:w="108" w:type="dxa"/>
          </w:tblCellMar>
        </w:tblPrEx>
        <w:trPr>
          <w:jc w:val="center"/>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60B3714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17" w:type="dxa"/>
            <w:vMerge w:val="continue"/>
            <w:tcBorders>
              <w:left w:val="single" w:color="auto" w:sz="4" w:space="0"/>
              <w:right w:val="single" w:color="auto" w:sz="4" w:space="0"/>
            </w:tcBorders>
            <w:noWrap w:val="0"/>
            <w:vAlign w:val="center"/>
          </w:tcPr>
          <w:p w14:paraId="6A6D3D0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65" w:type="dxa"/>
            <w:vMerge w:val="restart"/>
            <w:tcBorders>
              <w:top w:val="single" w:color="auto" w:sz="4" w:space="0"/>
              <w:left w:val="single" w:color="auto" w:sz="4" w:space="0"/>
              <w:bottom w:val="single" w:color="auto" w:sz="4" w:space="0"/>
              <w:right w:val="single" w:color="auto" w:sz="4" w:space="0"/>
            </w:tcBorders>
            <w:noWrap w:val="0"/>
            <w:vAlign w:val="center"/>
          </w:tcPr>
          <w:p w14:paraId="256A2C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8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D3128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符合《</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水利泵站施工及验收</w:t>
            </w:r>
            <w:r>
              <w:rPr>
                <w:rFonts w:hint="eastAsia" w:ascii="仿宋_GB2312" w:hAnsi="仿宋_GB2312" w:eastAsia="仿宋_GB2312" w:cs="仿宋_GB2312"/>
                <w:color w:val="000000" w:themeColor="text1"/>
                <w:sz w:val="20"/>
                <w:szCs w:val="20"/>
                <w:highlight w:val="none"/>
                <w14:textFill>
                  <w14:solidFill>
                    <w14:schemeClr w14:val="tx1"/>
                  </w14:solidFill>
                </w14:textFill>
              </w:rPr>
              <w:t>规范GB</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/T51033</w:t>
            </w:r>
            <w:r>
              <w:rPr>
                <w:rFonts w:hint="eastAsia" w:ascii="仿宋_GB2312" w:hAnsi="仿宋_GB2312" w:eastAsia="仿宋_GB2312" w:cs="仿宋_GB2312"/>
                <w:color w:val="000000" w:themeColor="text1"/>
                <w:sz w:val="20"/>
                <w:szCs w:val="20"/>
                <w:highlight w:val="none"/>
                <w14:textFill>
                  <w14:solidFill>
                    <w14:schemeClr w14:val="tx1"/>
                  </w14:solidFill>
                </w14:textFill>
              </w:rPr>
              <w:t>-201</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0"/>
                <w:szCs w:val="20"/>
                <w:highlight w:val="none"/>
                <w14:textFill>
                  <w14:solidFill>
                    <w14:schemeClr w14:val="tx1"/>
                  </w14:solidFill>
                </w14:textFill>
              </w:rPr>
              <w:t>》标准</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4FD0C9BE">
            <w:pPr>
              <w:keepNext w:val="0"/>
              <w:keepLines w:val="0"/>
              <w:pageBreakBefore w:val="0"/>
              <w:widowControl/>
              <w:tabs>
                <w:tab w:val="left" w:pos="465"/>
              </w:tabs>
              <w:kinsoku/>
              <w:wordWrap/>
              <w:overflowPunct/>
              <w:topLinePunct w:val="0"/>
              <w:autoSpaceDE/>
              <w:autoSpaceDN/>
              <w:bidi w:val="0"/>
              <w:adjustRightInd/>
              <w:snapToGrid/>
              <w:spacing w:line="260" w:lineRule="exact"/>
              <w:ind w:left="0" w:lef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lang w:val="en-US" w:eastAsia="zh-CN"/>
                <w14:textFill>
                  <w14:solidFill>
                    <w14:schemeClr w14:val="tx1"/>
                  </w14:solidFill>
                </w14:textFill>
              </w:rPr>
              <w:t>100%</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16A6B939">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lang w:val="en-US" w:eastAsia="zh-CN"/>
                <w14:textFill>
                  <w14:solidFill>
                    <w14:schemeClr w14:val="tx1"/>
                  </w14:solidFill>
                </w14:textFill>
              </w:rPr>
              <w:t>100%</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6D55AEE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6</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61D99E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6</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6400C77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FF0000"/>
                <w:sz w:val="20"/>
                <w:szCs w:val="20"/>
                <w:highlight w:val="none"/>
              </w:rPr>
            </w:pPr>
            <w:r>
              <w:rPr>
                <w:rFonts w:hint="eastAsia" w:ascii="仿宋_GB2312" w:hAnsi="仿宋_GB2312" w:eastAsia="仿宋_GB2312" w:cs="仿宋_GB2312"/>
                <w:color w:val="FF0000"/>
                <w:sz w:val="20"/>
                <w:szCs w:val="20"/>
                <w:highlight w:val="none"/>
              </w:rPr>
              <w:t>　</w:t>
            </w:r>
          </w:p>
        </w:tc>
      </w:tr>
      <w:tr w14:paraId="171159C1">
        <w:tblPrEx>
          <w:tblCellMar>
            <w:top w:w="0" w:type="dxa"/>
            <w:left w:w="108" w:type="dxa"/>
            <w:bottom w:w="0" w:type="dxa"/>
            <w:right w:w="108" w:type="dxa"/>
          </w:tblCellMar>
        </w:tblPrEx>
        <w:trPr>
          <w:jc w:val="center"/>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67650B3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17" w:type="dxa"/>
            <w:vMerge w:val="continue"/>
            <w:tcBorders>
              <w:left w:val="single" w:color="auto" w:sz="4" w:space="0"/>
              <w:right w:val="single" w:color="auto" w:sz="4" w:space="0"/>
            </w:tcBorders>
            <w:noWrap w:val="0"/>
            <w:vAlign w:val="center"/>
          </w:tcPr>
          <w:p w14:paraId="0FDB268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65" w:type="dxa"/>
            <w:vMerge w:val="continue"/>
            <w:tcBorders>
              <w:top w:val="single" w:color="auto" w:sz="4" w:space="0"/>
              <w:left w:val="single" w:color="auto" w:sz="4" w:space="0"/>
              <w:bottom w:val="single" w:color="auto" w:sz="4" w:space="0"/>
              <w:right w:val="single" w:color="auto" w:sz="4" w:space="0"/>
            </w:tcBorders>
            <w:noWrap w:val="0"/>
            <w:vAlign w:val="center"/>
          </w:tcPr>
          <w:p w14:paraId="1E940A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816" w:type="dxa"/>
            <w:tcBorders>
              <w:top w:val="single" w:color="auto" w:sz="4" w:space="0"/>
              <w:left w:val="single" w:color="auto" w:sz="4" w:space="0"/>
              <w:bottom w:val="single" w:color="auto" w:sz="4" w:space="0"/>
              <w:right w:val="single" w:color="auto" w:sz="4" w:space="0"/>
            </w:tcBorders>
            <w:noWrap w:val="0"/>
            <w:vAlign w:val="center"/>
          </w:tcPr>
          <w:p w14:paraId="4BF5E9F5">
            <w:pPr>
              <w:keepNext w:val="0"/>
              <w:keepLines w:val="0"/>
              <w:pageBreakBefore w:val="0"/>
              <w:widowControl/>
              <w:kinsoku/>
              <w:wordWrap/>
              <w:overflowPunct/>
              <w:topLinePunct w:val="0"/>
              <w:autoSpaceDE/>
              <w:autoSpaceDN/>
              <w:bidi w:val="0"/>
              <w:adjustRightInd/>
              <w:snapToGrid/>
              <w:spacing w:line="260" w:lineRule="exact"/>
              <w:ind w:left="0" w:leftChars="0"/>
              <w:jc w:val="center"/>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符合《城市给水排水技</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术</w:t>
            </w:r>
            <w:r>
              <w:rPr>
                <w:rFonts w:hint="eastAsia" w:ascii="仿宋_GB2312" w:hAnsi="仿宋_GB2312" w:eastAsia="仿宋_GB2312" w:cs="仿宋_GB2312"/>
                <w:color w:val="000000" w:themeColor="text1"/>
                <w:sz w:val="20"/>
                <w:szCs w:val="20"/>
                <w:highlight w:val="none"/>
                <w14:textFill>
                  <w14:solidFill>
                    <w14:schemeClr w14:val="tx1"/>
                  </w14:solidFill>
                </w14:textFill>
              </w:rPr>
              <w:t>规范GB50788-2012》标准</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0273F3D6">
            <w:pPr>
              <w:keepNext w:val="0"/>
              <w:keepLines w:val="0"/>
              <w:pageBreakBefore w:val="0"/>
              <w:widowControl/>
              <w:tabs>
                <w:tab w:val="left" w:pos="465"/>
              </w:tabs>
              <w:kinsoku/>
              <w:wordWrap/>
              <w:overflowPunct/>
              <w:topLinePunct w:val="0"/>
              <w:autoSpaceDE/>
              <w:autoSpaceDN/>
              <w:bidi w:val="0"/>
              <w:adjustRightInd/>
              <w:snapToGrid/>
              <w:spacing w:line="260" w:lineRule="exact"/>
              <w:ind w:left="0" w:leftChars="0"/>
              <w:jc w:val="center"/>
              <w:textAlignment w:val="auto"/>
              <w:rPr>
                <w:rFonts w:hint="default"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lang w:val="en-US" w:eastAsia="zh-CN"/>
                <w14:textFill>
                  <w14:solidFill>
                    <w14:schemeClr w14:val="tx1"/>
                  </w14:solidFill>
                </w14:textFill>
              </w:rPr>
              <w:t>100%</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717FC9FE">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default"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lang w:val="en-US" w:eastAsia="zh-CN"/>
                <w14:textFill>
                  <w14:solidFill>
                    <w14:schemeClr w14:val="tx1"/>
                  </w14:solidFill>
                </w14:textFill>
              </w:rPr>
              <w:t>100%</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1B4177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6</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3C15B8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6</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769C987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FF0000"/>
                <w:sz w:val="20"/>
                <w:szCs w:val="20"/>
                <w:highlight w:val="none"/>
              </w:rPr>
            </w:pPr>
            <w:r>
              <w:rPr>
                <w:rFonts w:hint="eastAsia" w:ascii="仿宋_GB2312" w:hAnsi="仿宋_GB2312" w:eastAsia="仿宋_GB2312" w:cs="仿宋_GB2312"/>
                <w:color w:val="FF0000"/>
                <w:sz w:val="20"/>
                <w:szCs w:val="20"/>
                <w:highlight w:val="none"/>
              </w:rPr>
              <w:t>　</w:t>
            </w:r>
          </w:p>
        </w:tc>
      </w:tr>
      <w:tr w14:paraId="19BAC08B">
        <w:tblPrEx>
          <w:tblCellMar>
            <w:top w:w="0" w:type="dxa"/>
            <w:left w:w="108" w:type="dxa"/>
            <w:bottom w:w="0" w:type="dxa"/>
            <w:right w:w="108" w:type="dxa"/>
          </w:tblCellMar>
        </w:tblPrEx>
        <w:trPr>
          <w:trHeight w:val="652" w:hRule="atLeast"/>
          <w:jc w:val="center"/>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7F902B3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17" w:type="dxa"/>
            <w:vMerge w:val="continue"/>
            <w:tcBorders>
              <w:left w:val="single" w:color="auto" w:sz="4" w:space="0"/>
              <w:right w:val="single" w:color="auto" w:sz="4" w:space="0"/>
            </w:tcBorders>
            <w:noWrap w:val="0"/>
            <w:vAlign w:val="center"/>
          </w:tcPr>
          <w:p w14:paraId="2275523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65" w:type="dxa"/>
            <w:tcBorders>
              <w:top w:val="single" w:color="auto" w:sz="4" w:space="0"/>
              <w:left w:val="single" w:color="auto" w:sz="4" w:space="0"/>
              <w:bottom w:val="single" w:color="auto" w:sz="4" w:space="0"/>
              <w:right w:val="single" w:color="auto" w:sz="4" w:space="0"/>
            </w:tcBorders>
            <w:noWrap w:val="0"/>
            <w:vAlign w:val="center"/>
          </w:tcPr>
          <w:p w14:paraId="4230EBE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816" w:type="dxa"/>
            <w:tcBorders>
              <w:top w:val="single" w:color="auto" w:sz="4" w:space="0"/>
              <w:left w:val="single" w:color="auto" w:sz="4" w:space="0"/>
              <w:bottom w:val="single" w:color="auto" w:sz="4" w:space="0"/>
              <w:right w:val="single" w:color="auto" w:sz="4" w:space="0"/>
            </w:tcBorders>
            <w:noWrap w:val="0"/>
            <w:vAlign w:val="center"/>
          </w:tcPr>
          <w:p w14:paraId="7A9184F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themeColor="text1"/>
                <w:spacing w:val="0"/>
                <w:sz w:val="20"/>
                <w:szCs w:val="20"/>
                <w:lang w:eastAsia="zh-CN"/>
                <w14:textFill>
                  <w14:solidFill>
                    <w14:schemeClr w14:val="tx1"/>
                  </w14:solidFill>
                </w14:textFill>
              </w:rPr>
              <w:t>目标任务完成时间</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4EEB102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2024年11月30日前</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0923A4D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均如期完成</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05DCD99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8</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6E1B44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8</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77B3B47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2368B63">
        <w:tblPrEx>
          <w:tblCellMar>
            <w:top w:w="0" w:type="dxa"/>
            <w:left w:w="108" w:type="dxa"/>
            <w:bottom w:w="0" w:type="dxa"/>
            <w:right w:w="108" w:type="dxa"/>
          </w:tblCellMar>
        </w:tblPrEx>
        <w:trPr>
          <w:jc w:val="center"/>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7987D57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17" w:type="dxa"/>
            <w:vMerge w:val="continue"/>
            <w:tcBorders>
              <w:left w:val="single" w:color="auto" w:sz="4" w:space="0"/>
              <w:right w:val="single" w:color="auto" w:sz="4" w:space="0"/>
            </w:tcBorders>
            <w:noWrap w:val="0"/>
            <w:vAlign w:val="center"/>
          </w:tcPr>
          <w:p w14:paraId="788F7F0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65" w:type="dxa"/>
            <w:vMerge w:val="restart"/>
            <w:tcBorders>
              <w:top w:val="single" w:color="auto" w:sz="4" w:space="0"/>
              <w:left w:val="single" w:color="auto" w:sz="4" w:space="0"/>
              <w:bottom w:val="single" w:color="auto" w:sz="4" w:space="0"/>
              <w:right w:val="single" w:color="auto" w:sz="4" w:space="0"/>
            </w:tcBorders>
            <w:noWrap w:val="0"/>
            <w:vAlign w:val="center"/>
          </w:tcPr>
          <w:p w14:paraId="671F35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816" w:type="dxa"/>
            <w:tcBorders>
              <w:top w:val="single" w:color="auto" w:sz="4" w:space="0"/>
              <w:left w:val="single" w:color="auto" w:sz="4" w:space="0"/>
              <w:bottom w:val="single" w:color="auto" w:sz="4" w:space="0"/>
              <w:right w:val="single" w:color="auto" w:sz="4" w:space="0"/>
            </w:tcBorders>
            <w:noWrap w:val="0"/>
            <w:vAlign w:val="center"/>
          </w:tcPr>
          <w:p w14:paraId="48C4E63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项目实施成本经济成本指标</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0C2D625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控制在年度预算</w:t>
            </w:r>
            <w:r>
              <w:rPr>
                <w:rFonts w:hint="eastAsia" w:ascii="仿宋_GB2312" w:hAnsi="仿宋_GB2312" w:eastAsia="仿宋_GB2312" w:cs="仿宋_GB2312"/>
                <w:color w:val="000000"/>
                <w:sz w:val="20"/>
                <w:szCs w:val="20"/>
                <w:highlight w:val="none"/>
                <w:lang w:val="en-US" w:eastAsia="zh-CN"/>
              </w:rPr>
              <w:t>455.31万元内</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51C85EE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实际支出</w:t>
            </w:r>
            <w:r>
              <w:rPr>
                <w:rFonts w:hint="eastAsia" w:ascii="仿宋_GB2312" w:hAnsi="仿宋_GB2312" w:eastAsia="仿宋_GB2312" w:cs="仿宋_GB2312"/>
                <w:color w:val="000000"/>
                <w:sz w:val="20"/>
                <w:szCs w:val="20"/>
                <w:highlight w:val="none"/>
                <w:lang w:val="en-US" w:eastAsia="zh-CN"/>
              </w:rPr>
              <w:t>455.31万元</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7D6CCFF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343D1D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1B01294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项目</w:t>
            </w:r>
            <w:r>
              <w:rPr>
                <w:rFonts w:hint="eastAsia" w:ascii="仿宋_GB2312" w:hAnsi="仿宋_GB2312" w:eastAsia="仿宋_GB2312" w:cs="仿宋_GB2312"/>
                <w:color w:val="000000"/>
                <w:sz w:val="20"/>
                <w:szCs w:val="20"/>
                <w:highlight w:val="none"/>
                <w:lang w:val="en-US" w:eastAsia="zh-CN"/>
              </w:rPr>
              <w:t>70%的工程款</w:t>
            </w:r>
          </w:p>
        </w:tc>
      </w:tr>
      <w:tr w14:paraId="2B667483">
        <w:tblPrEx>
          <w:tblCellMar>
            <w:top w:w="0" w:type="dxa"/>
            <w:left w:w="108" w:type="dxa"/>
            <w:bottom w:w="0" w:type="dxa"/>
            <w:right w:w="108" w:type="dxa"/>
          </w:tblCellMar>
        </w:tblPrEx>
        <w:trPr>
          <w:trHeight w:val="780" w:hRule="atLeast"/>
          <w:jc w:val="center"/>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39598FB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17" w:type="dxa"/>
            <w:vMerge w:val="continue"/>
            <w:tcBorders>
              <w:left w:val="single" w:color="auto" w:sz="4" w:space="0"/>
              <w:right w:val="single" w:color="auto" w:sz="4" w:space="0"/>
            </w:tcBorders>
            <w:noWrap w:val="0"/>
            <w:vAlign w:val="center"/>
          </w:tcPr>
          <w:p w14:paraId="21B6E39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65" w:type="dxa"/>
            <w:vMerge w:val="continue"/>
            <w:tcBorders>
              <w:top w:val="single" w:color="auto" w:sz="4" w:space="0"/>
              <w:left w:val="single" w:color="auto" w:sz="4" w:space="0"/>
              <w:bottom w:val="single" w:color="auto" w:sz="4" w:space="0"/>
              <w:right w:val="single" w:color="auto" w:sz="4" w:space="0"/>
            </w:tcBorders>
            <w:noWrap w:val="0"/>
            <w:vAlign w:val="center"/>
          </w:tcPr>
          <w:p w14:paraId="3EFEAAA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816" w:type="dxa"/>
            <w:tcBorders>
              <w:top w:val="single" w:color="auto" w:sz="4" w:space="0"/>
              <w:left w:val="single" w:color="auto" w:sz="4" w:space="0"/>
              <w:bottom w:val="single" w:color="auto" w:sz="4" w:space="0"/>
              <w:right w:val="single" w:color="auto" w:sz="4" w:space="0"/>
            </w:tcBorders>
            <w:noWrap w:val="0"/>
            <w:vAlign w:val="center"/>
          </w:tcPr>
          <w:p w14:paraId="120EC55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是否对社会造成负面影响</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540F839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78D5639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127EB1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70354F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511B274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2C4E127">
        <w:tblPrEx>
          <w:tblCellMar>
            <w:top w:w="0" w:type="dxa"/>
            <w:left w:w="108" w:type="dxa"/>
            <w:bottom w:w="0" w:type="dxa"/>
            <w:right w:w="108" w:type="dxa"/>
          </w:tblCellMar>
        </w:tblPrEx>
        <w:trPr>
          <w:trHeight w:val="700" w:hRule="atLeast"/>
          <w:jc w:val="center"/>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7A725F7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17" w:type="dxa"/>
            <w:vMerge w:val="continue"/>
            <w:tcBorders>
              <w:left w:val="single" w:color="auto" w:sz="4" w:space="0"/>
              <w:bottom w:val="single" w:color="auto" w:sz="4" w:space="0"/>
              <w:right w:val="single" w:color="auto" w:sz="4" w:space="0"/>
            </w:tcBorders>
            <w:noWrap w:val="0"/>
            <w:vAlign w:val="center"/>
          </w:tcPr>
          <w:p w14:paraId="4FB7D5D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65" w:type="dxa"/>
            <w:vMerge w:val="continue"/>
            <w:tcBorders>
              <w:top w:val="single" w:color="auto" w:sz="4" w:space="0"/>
              <w:left w:val="single" w:color="auto" w:sz="4" w:space="0"/>
              <w:bottom w:val="single" w:color="auto" w:sz="4" w:space="0"/>
              <w:right w:val="single" w:color="auto" w:sz="4" w:space="0"/>
            </w:tcBorders>
            <w:noWrap w:val="0"/>
            <w:vAlign w:val="center"/>
          </w:tcPr>
          <w:p w14:paraId="726AF4E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816" w:type="dxa"/>
            <w:tcBorders>
              <w:top w:val="single" w:color="auto" w:sz="4" w:space="0"/>
              <w:left w:val="single" w:color="auto" w:sz="4" w:space="0"/>
              <w:bottom w:val="single" w:color="auto" w:sz="4" w:space="0"/>
              <w:right w:val="single" w:color="auto" w:sz="4" w:space="0"/>
            </w:tcBorders>
            <w:noWrap w:val="0"/>
            <w:vAlign w:val="center"/>
          </w:tcPr>
          <w:p w14:paraId="08BBBBB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是否对生态环境造成负面影响</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0172856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无负面影响</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5B0874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无负面影响</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5F9D3A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13FA04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57BB5E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r>
      <w:tr w14:paraId="6472DE6B">
        <w:tblPrEx>
          <w:tblCellMar>
            <w:top w:w="0" w:type="dxa"/>
            <w:left w:w="108" w:type="dxa"/>
            <w:bottom w:w="0" w:type="dxa"/>
            <w:right w:w="108" w:type="dxa"/>
          </w:tblCellMar>
        </w:tblPrEx>
        <w:trPr>
          <w:jc w:val="center"/>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673D5B8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17" w:type="dxa"/>
            <w:vMerge w:val="restart"/>
            <w:tcBorders>
              <w:top w:val="single" w:color="auto" w:sz="4" w:space="0"/>
              <w:left w:val="single" w:color="auto" w:sz="4" w:space="0"/>
              <w:bottom w:val="single" w:color="auto" w:sz="4" w:space="0"/>
              <w:right w:val="single" w:color="auto" w:sz="4" w:space="0"/>
            </w:tcBorders>
            <w:noWrap w:val="0"/>
            <w:vAlign w:val="center"/>
          </w:tcPr>
          <w:p w14:paraId="0F19324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2C9A698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14:paraId="24D0EAD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566290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965" w:type="dxa"/>
            <w:tcBorders>
              <w:top w:val="single" w:color="auto" w:sz="4" w:space="0"/>
              <w:left w:val="single" w:color="auto" w:sz="4" w:space="0"/>
              <w:bottom w:val="single" w:color="auto" w:sz="4" w:space="0"/>
              <w:right w:val="single" w:color="auto" w:sz="4" w:space="0"/>
            </w:tcBorders>
            <w:noWrap w:val="0"/>
            <w:vAlign w:val="center"/>
          </w:tcPr>
          <w:p w14:paraId="18D203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3C656C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816" w:type="dxa"/>
            <w:tcBorders>
              <w:top w:val="single" w:color="auto" w:sz="4" w:space="0"/>
              <w:left w:val="single" w:color="auto" w:sz="4" w:space="0"/>
              <w:bottom w:val="single" w:color="auto" w:sz="4" w:space="0"/>
              <w:right w:val="single" w:color="auto" w:sz="4" w:space="0"/>
            </w:tcBorders>
            <w:noWrap w:val="0"/>
            <w:vAlign w:val="center"/>
          </w:tcPr>
          <w:p w14:paraId="6D84EF0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管控污染源，避免造成次生维护成本</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6613D05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管控污染源，避免造成次生维护成本</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24BC4FF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污水及时有效处置</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25A5573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7</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088C69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7</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63A6502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3117166">
        <w:tblPrEx>
          <w:tblCellMar>
            <w:top w:w="0" w:type="dxa"/>
            <w:left w:w="108" w:type="dxa"/>
            <w:bottom w:w="0" w:type="dxa"/>
            <w:right w:w="108" w:type="dxa"/>
          </w:tblCellMar>
        </w:tblPrEx>
        <w:trPr>
          <w:jc w:val="center"/>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201DEC9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17" w:type="dxa"/>
            <w:vMerge w:val="continue"/>
            <w:tcBorders>
              <w:top w:val="single" w:color="auto" w:sz="4" w:space="0"/>
              <w:left w:val="single" w:color="auto" w:sz="4" w:space="0"/>
              <w:bottom w:val="single" w:color="auto" w:sz="4" w:space="0"/>
              <w:right w:val="single" w:color="auto" w:sz="4" w:space="0"/>
            </w:tcBorders>
            <w:noWrap w:val="0"/>
            <w:vAlign w:val="center"/>
          </w:tcPr>
          <w:p w14:paraId="2ECFD7A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65" w:type="dxa"/>
            <w:vMerge w:val="restart"/>
            <w:tcBorders>
              <w:top w:val="single" w:color="auto" w:sz="4" w:space="0"/>
              <w:left w:val="single" w:color="auto" w:sz="4" w:space="0"/>
              <w:bottom w:val="single" w:color="auto" w:sz="4" w:space="0"/>
              <w:right w:val="single" w:color="auto" w:sz="4" w:space="0"/>
            </w:tcBorders>
            <w:noWrap w:val="0"/>
            <w:vAlign w:val="center"/>
          </w:tcPr>
          <w:p w14:paraId="30795A5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7C6DAF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816" w:type="dxa"/>
            <w:tcBorders>
              <w:top w:val="single" w:color="auto" w:sz="4" w:space="0"/>
              <w:left w:val="single" w:color="auto" w:sz="4" w:space="0"/>
              <w:bottom w:val="single" w:color="auto" w:sz="4" w:space="0"/>
              <w:right w:val="single" w:color="auto" w:sz="4" w:space="0"/>
            </w:tcBorders>
            <w:noWrap w:val="0"/>
            <w:vAlign w:val="center"/>
          </w:tcPr>
          <w:p w14:paraId="704C3DA4">
            <w:pPr>
              <w:keepNext w:val="0"/>
              <w:keepLines w:val="0"/>
              <w:pageBreakBefore w:val="0"/>
              <w:widowControl/>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改善城市居住环境</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40613881">
            <w:pPr>
              <w:keepNext w:val="0"/>
              <w:keepLines w:val="0"/>
              <w:pageBreakBefore w:val="0"/>
              <w:widowControl/>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改善</w:t>
            </w:r>
            <w:r>
              <w:rPr>
                <w:rFonts w:hint="eastAsia" w:ascii="仿宋_GB2312" w:hAnsi="仿宋_GB2312" w:eastAsia="仿宋_GB2312" w:cs="仿宋_GB2312"/>
                <w:color w:val="auto"/>
                <w:spacing w:val="0"/>
                <w:sz w:val="20"/>
                <w:szCs w:val="20"/>
                <w:lang w:eastAsia="zh-CN"/>
              </w:rPr>
              <w:t>原洞庭</w:t>
            </w:r>
            <w:r>
              <w:rPr>
                <w:rFonts w:hint="eastAsia" w:ascii="仿宋_GB2312" w:hAnsi="仿宋_GB2312" w:eastAsia="仿宋_GB2312" w:cs="仿宋_GB2312"/>
                <w:color w:val="auto"/>
                <w:sz w:val="20"/>
                <w:szCs w:val="20"/>
                <w:highlight w:val="none"/>
                <w:lang w:eastAsia="zh-CN"/>
              </w:rPr>
              <w:t>氮肥厂权属泵站周边环境</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03D63EDB">
            <w:pPr>
              <w:keepNext w:val="0"/>
              <w:keepLines w:val="0"/>
              <w:pageBreakBefore w:val="0"/>
              <w:widowControl/>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改善了</w:t>
            </w:r>
            <w:r>
              <w:rPr>
                <w:rFonts w:hint="eastAsia" w:ascii="仿宋_GB2312" w:hAnsi="仿宋_GB2312" w:eastAsia="仿宋_GB2312" w:cs="仿宋_GB2312"/>
                <w:color w:val="auto"/>
                <w:spacing w:val="0"/>
                <w:sz w:val="20"/>
                <w:szCs w:val="20"/>
                <w:lang w:eastAsia="zh-CN"/>
              </w:rPr>
              <w:t>原洞庭</w:t>
            </w:r>
            <w:r>
              <w:rPr>
                <w:rFonts w:hint="eastAsia" w:ascii="仿宋_GB2312" w:hAnsi="仿宋_GB2312" w:eastAsia="仿宋_GB2312" w:cs="仿宋_GB2312"/>
                <w:color w:val="auto"/>
                <w:sz w:val="20"/>
                <w:szCs w:val="20"/>
                <w:highlight w:val="none"/>
                <w:lang w:eastAsia="zh-CN"/>
              </w:rPr>
              <w:t>氮肥厂周边</w:t>
            </w:r>
            <w:r>
              <w:rPr>
                <w:rFonts w:hint="eastAsia" w:ascii="仿宋_GB2312" w:hAnsi="仿宋_GB2312" w:eastAsia="仿宋_GB2312" w:cs="仿宋_GB2312"/>
                <w:color w:val="000000" w:themeColor="text1"/>
                <w:sz w:val="20"/>
                <w:szCs w:val="20"/>
                <w:lang w:eastAsia="zh-CN"/>
                <w14:textFill>
                  <w14:solidFill>
                    <w14:schemeClr w14:val="tx1"/>
                  </w14:solidFill>
                </w14:textFill>
              </w:rPr>
              <w:t>居住环境</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032505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1134E1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4E74848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789A638">
        <w:tblPrEx>
          <w:tblCellMar>
            <w:top w:w="0" w:type="dxa"/>
            <w:left w:w="108" w:type="dxa"/>
            <w:bottom w:w="0" w:type="dxa"/>
            <w:right w:w="108" w:type="dxa"/>
          </w:tblCellMar>
        </w:tblPrEx>
        <w:trPr>
          <w:trHeight w:val="1425" w:hRule="atLeast"/>
          <w:jc w:val="center"/>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61E3451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17" w:type="dxa"/>
            <w:vMerge w:val="continue"/>
            <w:tcBorders>
              <w:top w:val="single" w:color="auto" w:sz="4" w:space="0"/>
              <w:left w:val="single" w:color="auto" w:sz="4" w:space="0"/>
              <w:bottom w:val="single" w:color="auto" w:sz="4" w:space="0"/>
              <w:right w:val="single" w:color="auto" w:sz="4" w:space="0"/>
            </w:tcBorders>
            <w:noWrap w:val="0"/>
            <w:vAlign w:val="center"/>
          </w:tcPr>
          <w:p w14:paraId="169B2F6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65" w:type="dxa"/>
            <w:vMerge w:val="continue"/>
            <w:tcBorders>
              <w:top w:val="single" w:color="auto" w:sz="4" w:space="0"/>
              <w:left w:val="single" w:color="auto" w:sz="4" w:space="0"/>
              <w:bottom w:val="single" w:color="auto" w:sz="4" w:space="0"/>
              <w:right w:val="single" w:color="auto" w:sz="4" w:space="0"/>
            </w:tcBorders>
            <w:noWrap w:val="0"/>
            <w:vAlign w:val="center"/>
          </w:tcPr>
          <w:p w14:paraId="2F8F90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816" w:type="dxa"/>
            <w:tcBorders>
              <w:top w:val="single" w:color="auto" w:sz="4" w:space="0"/>
              <w:left w:val="single" w:color="auto" w:sz="4" w:space="0"/>
              <w:bottom w:val="single" w:color="auto" w:sz="4" w:space="0"/>
              <w:right w:val="single" w:color="auto" w:sz="4" w:space="0"/>
            </w:tcBorders>
            <w:noWrap w:val="0"/>
            <w:vAlign w:val="center"/>
          </w:tcPr>
          <w:p w14:paraId="135C2D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提升城市服务保障水平</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68CC4BE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提升城市服务保障水平</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4DBE43F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城市服务保障水平不断提升</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409BC3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4</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608CB1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19434BF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3A87F84">
        <w:tblPrEx>
          <w:tblCellMar>
            <w:top w:w="0" w:type="dxa"/>
            <w:left w:w="108" w:type="dxa"/>
            <w:bottom w:w="0" w:type="dxa"/>
            <w:right w:w="108" w:type="dxa"/>
          </w:tblCellMar>
        </w:tblPrEx>
        <w:trPr>
          <w:jc w:val="center"/>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2917FA8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17" w:type="dxa"/>
            <w:vMerge w:val="continue"/>
            <w:tcBorders>
              <w:top w:val="single" w:color="auto" w:sz="4" w:space="0"/>
              <w:left w:val="single" w:color="auto" w:sz="4" w:space="0"/>
              <w:bottom w:val="single" w:color="auto" w:sz="4" w:space="0"/>
              <w:right w:val="single" w:color="auto" w:sz="4" w:space="0"/>
            </w:tcBorders>
            <w:noWrap w:val="0"/>
            <w:vAlign w:val="center"/>
          </w:tcPr>
          <w:p w14:paraId="0A6064D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65" w:type="dxa"/>
            <w:tcBorders>
              <w:top w:val="single" w:color="auto" w:sz="4" w:space="0"/>
              <w:left w:val="single" w:color="auto" w:sz="4" w:space="0"/>
              <w:bottom w:val="single" w:color="auto" w:sz="4" w:space="0"/>
              <w:right w:val="single" w:color="auto" w:sz="4" w:space="0"/>
            </w:tcBorders>
            <w:noWrap w:val="0"/>
            <w:vAlign w:val="center"/>
          </w:tcPr>
          <w:p w14:paraId="01A407D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1E97CF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816" w:type="dxa"/>
            <w:tcBorders>
              <w:top w:val="single" w:color="auto" w:sz="4" w:space="0"/>
              <w:left w:val="single" w:color="auto" w:sz="4" w:space="0"/>
              <w:bottom w:val="single" w:color="auto" w:sz="4" w:space="0"/>
              <w:right w:val="single" w:color="auto" w:sz="4" w:space="0"/>
            </w:tcBorders>
            <w:noWrap w:val="0"/>
            <w:vAlign w:val="center"/>
          </w:tcPr>
          <w:p w14:paraId="7D06C5E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改善城市生态环境</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3D71B209">
            <w:pPr>
              <w:keepNext w:val="0"/>
              <w:keepLines w:val="0"/>
              <w:widowControl/>
              <w:suppressLineNumbers w:val="0"/>
              <w:jc w:val="left"/>
              <w:textAlignment w:val="center"/>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i w:val="0"/>
                <w:color w:val="000000"/>
                <w:kern w:val="0"/>
                <w:sz w:val="20"/>
                <w:szCs w:val="20"/>
                <w:u w:val="none"/>
                <w:lang w:val="en-US" w:eastAsia="zh-CN" w:bidi="ar"/>
              </w:rPr>
              <w:t>及时抽排污水，并及时输送到污水处理厂</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685CE21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均及时处置，未造成次生污染</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6392A83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7</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4442B8E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7</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7C101FA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733DC5D">
        <w:tblPrEx>
          <w:tblCellMar>
            <w:top w:w="0" w:type="dxa"/>
            <w:left w:w="108" w:type="dxa"/>
            <w:bottom w:w="0" w:type="dxa"/>
            <w:right w:w="108" w:type="dxa"/>
          </w:tblCellMar>
        </w:tblPrEx>
        <w:trPr>
          <w:jc w:val="center"/>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2BB860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17" w:type="dxa"/>
            <w:vMerge w:val="continue"/>
            <w:tcBorders>
              <w:top w:val="single" w:color="auto" w:sz="4" w:space="0"/>
              <w:left w:val="single" w:color="auto" w:sz="4" w:space="0"/>
              <w:bottom w:val="single" w:color="auto" w:sz="4" w:space="0"/>
              <w:right w:val="single" w:color="auto" w:sz="4" w:space="0"/>
            </w:tcBorders>
            <w:noWrap w:val="0"/>
            <w:vAlign w:val="center"/>
          </w:tcPr>
          <w:p w14:paraId="0E5F6C3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65" w:type="dxa"/>
            <w:vMerge w:val="restart"/>
            <w:tcBorders>
              <w:top w:val="single" w:color="auto" w:sz="4" w:space="0"/>
              <w:left w:val="single" w:color="auto" w:sz="4" w:space="0"/>
              <w:bottom w:val="single" w:color="auto" w:sz="4" w:space="0"/>
              <w:right w:val="single" w:color="auto" w:sz="4" w:space="0"/>
            </w:tcBorders>
            <w:noWrap w:val="0"/>
            <w:vAlign w:val="center"/>
          </w:tcPr>
          <w:p w14:paraId="48647D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816" w:type="dxa"/>
            <w:tcBorders>
              <w:top w:val="single" w:color="auto" w:sz="4" w:space="0"/>
              <w:left w:val="single" w:color="auto" w:sz="4" w:space="0"/>
              <w:bottom w:val="single" w:color="auto" w:sz="4" w:space="0"/>
              <w:right w:val="single" w:color="auto" w:sz="4" w:space="0"/>
            </w:tcBorders>
            <w:noWrap w:val="0"/>
            <w:vAlign w:val="center"/>
          </w:tcPr>
          <w:p w14:paraId="751C1B3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城市污水抽排处理率</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1B41E22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抽排处理率大于</w:t>
            </w:r>
            <w:r>
              <w:rPr>
                <w:rFonts w:hint="eastAsia" w:ascii="仿宋_GB2312" w:hAnsi="仿宋_GB2312" w:eastAsia="仿宋_GB2312" w:cs="仿宋_GB2312"/>
                <w:color w:val="000000"/>
                <w:sz w:val="20"/>
                <w:szCs w:val="20"/>
                <w:highlight w:val="none"/>
                <w:lang w:val="en-US" w:eastAsia="zh-CN"/>
              </w:rPr>
              <w:t>95%</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6A5EEFD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100%</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5A76D20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14144A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3552BD1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87E1BA5">
        <w:tblPrEx>
          <w:tblCellMar>
            <w:top w:w="0" w:type="dxa"/>
            <w:left w:w="108" w:type="dxa"/>
            <w:bottom w:w="0" w:type="dxa"/>
            <w:right w:w="108" w:type="dxa"/>
          </w:tblCellMar>
        </w:tblPrEx>
        <w:trPr>
          <w:jc w:val="center"/>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475C126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17" w:type="dxa"/>
            <w:vMerge w:val="continue"/>
            <w:tcBorders>
              <w:top w:val="single" w:color="auto" w:sz="4" w:space="0"/>
              <w:left w:val="single" w:color="auto" w:sz="4" w:space="0"/>
              <w:bottom w:val="single" w:color="auto" w:sz="4" w:space="0"/>
              <w:right w:val="single" w:color="auto" w:sz="4" w:space="0"/>
            </w:tcBorders>
            <w:noWrap w:val="0"/>
            <w:vAlign w:val="center"/>
          </w:tcPr>
          <w:p w14:paraId="13D8306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65" w:type="dxa"/>
            <w:vMerge w:val="continue"/>
            <w:tcBorders>
              <w:top w:val="single" w:color="auto" w:sz="4" w:space="0"/>
              <w:left w:val="single" w:color="auto" w:sz="4" w:space="0"/>
              <w:bottom w:val="single" w:color="auto" w:sz="4" w:space="0"/>
              <w:right w:val="single" w:color="auto" w:sz="4" w:space="0"/>
            </w:tcBorders>
            <w:noWrap w:val="0"/>
            <w:vAlign w:val="center"/>
          </w:tcPr>
          <w:p w14:paraId="633C2A1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816" w:type="dxa"/>
            <w:tcBorders>
              <w:top w:val="single" w:color="auto" w:sz="4" w:space="0"/>
              <w:left w:val="single" w:color="auto" w:sz="4" w:space="0"/>
              <w:bottom w:val="single" w:color="auto" w:sz="4" w:space="0"/>
              <w:right w:val="single" w:color="auto" w:sz="4" w:space="0"/>
            </w:tcBorders>
            <w:noWrap w:val="0"/>
            <w:vAlign w:val="center"/>
          </w:tcPr>
          <w:p w14:paraId="2A4A8EF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处理水体漂浮物，改善水质</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4DE7386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及时处理水体漂浮物，改善水质。</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697892F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均及时有效处置</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3F1C838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2B8EF2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1E094D2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p>
        </w:tc>
      </w:tr>
      <w:tr w14:paraId="60822BFE">
        <w:tblPrEx>
          <w:tblCellMar>
            <w:top w:w="0" w:type="dxa"/>
            <w:left w:w="108" w:type="dxa"/>
            <w:bottom w:w="0" w:type="dxa"/>
            <w:right w:w="108" w:type="dxa"/>
          </w:tblCellMar>
        </w:tblPrEx>
        <w:trPr>
          <w:jc w:val="center"/>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59D95D0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17" w:type="dxa"/>
            <w:tcBorders>
              <w:top w:val="single" w:color="auto" w:sz="4" w:space="0"/>
              <w:left w:val="single" w:color="auto" w:sz="4" w:space="0"/>
              <w:bottom w:val="single" w:color="auto" w:sz="4" w:space="0"/>
              <w:right w:val="single" w:color="auto" w:sz="4" w:space="0"/>
            </w:tcBorders>
            <w:noWrap w:val="0"/>
            <w:vAlign w:val="center"/>
          </w:tcPr>
          <w:p w14:paraId="50A5332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0150E5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311866C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965" w:type="dxa"/>
            <w:tcBorders>
              <w:top w:val="single" w:color="auto" w:sz="4" w:space="0"/>
              <w:left w:val="single" w:color="auto" w:sz="4" w:space="0"/>
              <w:bottom w:val="single" w:color="auto" w:sz="4" w:space="0"/>
              <w:right w:val="single" w:color="auto" w:sz="4" w:space="0"/>
            </w:tcBorders>
            <w:noWrap w:val="0"/>
            <w:vAlign w:val="center"/>
          </w:tcPr>
          <w:p w14:paraId="47B9F2C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816" w:type="dxa"/>
            <w:tcBorders>
              <w:top w:val="single" w:color="auto" w:sz="4" w:space="0"/>
              <w:left w:val="single" w:color="auto" w:sz="4" w:space="0"/>
              <w:bottom w:val="single" w:color="auto" w:sz="4" w:space="0"/>
              <w:right w:val="single" w:color="auto" w:sz="4" w:space="0"/>
            </w:tcBorders>
            <w:noWrap w:val="0"/>
            <w:vAlign w:val="center"/>
          </w:tcPr>
          <w:p w14:paraId="12703A8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使用对象满意度</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6A185B1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95%</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211176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97%</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50EEE4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500478B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569A88F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40B34B6">
        <w:tblPrEx>
          <w:tblCellMar>
            <w:top w:w="0" w:type="dxa"/>
            <w:left w:w="108" w:type="dxa"/>
            <w:bottom w:w="0" w:type="dxa"/>
            <w:right w:w="108" w:type="dxa"/>
          </w:tblCellMar>
        </w:tblPrEx>
        <w:trPr>
          <w:trHeight w:val="570" w:hRule="atLeast"/>
          <w:jc w:val="center"/>
        </w:trPr>
        <w:tc>
          <w:tcPr>
            <w:tcW w:w="7008" w:type="dxa"/>
            <w:gridSpan w:val="6"/>
            <w:tcBorders>
              <w:top w:val="single" w:color="auto" w:sz="4" w:space="0"/>
              <w:left w:val="single" w:color="auto" w:sz="4" w:space="0"/>
              <w:bottom w:val="single" w:color="auto" w:sz="4" w:space="0"/>
              <w:right w:val="single" w:color="auto" w:sz="4" w:space="0"/>
            </w:tcBorders>
            <w:noWrap w:val="0"/>
            <w:vAlign w:val="center"/>
          </w:tcPr>
          <w:p w14:paraId="414726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4306AEC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42B4C4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679F767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3F5D9A7E">
      <w:pPr>
        <w:keepNext w:val="0"/>
        <w:keepLines w:val="0"/>
        <w:pageBreakBefore w:val="0"/>
        <w:widowControl w:val="0"/>
        <w:kinsoku/>
        <w:wordWrap/>
        <w:overflowPunct/>
        <w:topLinePunct w:val="0"/>
        <w:autoSpaceDE/>
        <w:autoSpaceDN/>
        <w:bidi w:val="0"/>
        <w:adjustRightInd/>
        <w:snapToGrid/>
        <w:spacing w:afterLines="0" w:line="480" w:lineRule="exact"/>
        <w:ind w:right="0" w:rightChars="0"/>
        <w:jc w:val="both"/>
        <w:textAlignment w:val="auto"/>
        <w:rPr>
          <w:rFonts w:hint="eastAsia" w:ascii="仿宋_GB2312" w:hAnsi="仿宋_GB2312" w:eastAsia="仿宋_GB2312" w:cs="仿宋_GB2312"/>
          <w:sz w:val="22"/>
          <w:szCs w:val="22"/>
          <w:highlight w:val="none"/>
        </w:rPr>
      </w:pPr>
    </w:p>
    <w:p w14:paraId="2A9C6147">
      <w:pPr>
        <w:keepNext w:val="0"/>
        <w:keepLines w:val="0"/>
        <w:pageBreakBefore w:val="0"/>
        <w:widowControl w:val="0"/>
        <w:kinsoku/>
        <w:wordWrap/>
        <w:overflowPunct/>
        <w:topLinePunct w:val="0"/>
        <w:autoSpaceDE/>
        <w:autoSpaceDN/>
        <w:bidi w:val="0"/>
        <w:adjustRightInd/>
        <w:snapToGrid/>
        <w:spacing w:afterLines="0" w:line="360" w:lineRule="auto"/>
        <w:ind w:right="0" w:rightChars="0"/>
        <w:jc w:val="both"/>
        <w:textAlignment w:val="auto"/>
        <w:rPr>
          <w:rFonts w:hint="eastAsia" w:ascii="宋体" w:hAnsi="宋体" w:eastAsia="宋体" w:cs="宋体"/>
          <w:b/>
          <w:bCs/>
          <w:color w:val="000000" w:themeColor="text1"/>
          <w:spacing w:val="2"/>
          <w:sz w:val="44"/>
          <w:szCs w:val="44"/>
          <w:lang w:val="en-US" w:eastAsia="zh-CN"/>
          <w14:textFill>
            <w14:solidFill>
              <w14:schemeClr w14:val="tx1"/>
            </w14:solidFill>
          </w14:textFill>
        </w:rPr>
        <w:sectPr>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2"/>
          <w:szCs w:val="22"/>
          <w:highlight w:val="none"/>
        </w:rPr>
        <w:t>填表人：</w:t>
      </w:r>
      <w:r>
        <w:rPr>
          <w:rFonts w:hint="eastAsia" w:ascii="仿宋_GB2312" w:hAnsi="仿宋_GB2312" w:eastAsia="仿宋_GB2312" w:cs="仿宋_GB2312"/>
          <w:color w:val="000000" w:themeColor="text1"/>
          <w:spacing w:val="0"/>
          <w:sz w:val="22"/>
          <w:szCs w:val="22"/>
          <w:lang w:eastAsia="zh-CN"/>
          <w14:textFill>
            <w14:solidFill>
              <w14:schemeClr w14:val="tx1"/>
            </w14:solidFill>
          </w14:textFill>
        </w:rPr>
        <w:t>刘</w:t>
      </w:r>
      <w:r>
        <w:rPr>
          <w:rFonts w:hint="eastAsia" w:ascii="仿宋_GB2312" w:hAnsi="仿宋_GB2312" w:eastAsia="仿宋_GB2312" w:cs="仿宋_GB2312"/>
          <w:color w:val="000000" w:themeColor="text1"/>
          <w:spacing w:val="0"/>
          <w:sz w:val="22"/>
          <w:szCs w:val="2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sz w:val="22"/>
          <w:szCs w:val="22"/>
          <w:lang w:eastAsia="zh-CN"/>
          <w14:textFill>
            <w14:solidFill>
              <w14:schemeClr w14:val="tx1"/>
            </w14:solidFill>
          </w14:textFill>
        </w:rPr>
        <w:t>蓓</w:t>
      </w:r>
      <w:r>
        <w:rPr>
          <w:rFonts w:hint="eastAsia" w:ascii="仿宋_GB2312" w:hAnsi="仿宋_GB2312" w:eastAsia="仿宋_GB2312" w:cs="仿宋_GB2312"/>
          <w:sz w:val="22"/>
          <w:szCs w:val="22"/>
          <w:highlight w:val="none"/>
        </w:rPr>
        <w:t xml:space="preserve">  填报日期：</w:t>
      </w:r>
      <w:r>
        <w:rPr>
          <w:rFonts w:hint="eastAsia" w:ascii="仿宋_GB2312" w:hAnsi="仿宋_GB2312" w:eastAsia="仿宋_GB2312" w:cs="仿宋_GB2312"/>
          <w:sz w:val="22"/>
          <w:szCs w:val="22"/>
          <w:highlight w:val="none"/>
          <w:lang w:val="en-US" w:eastAsia="zh-CN"/>
        </w:rPr>
        <w:t xml:space="preserve">2026.6.23 </w:t>
      </w:r>
      <w:r>
        <w:rPr>
          <w:rFonts w:hint="eastAsia" w:ascii="仿宋_GB2312" w:hAnsi="仿宋_GB2312" w:eastAsia="仿宋_GB2312" w:cs="仿宋_GB2312"/>
          <w:sz w:val="22"/>
          <w:szCs w:val="22"/>
          <w:highlight w:val="none"/>
        </w:rPr>
        <w:t xml:space="preserve"> 联系电话：</w:t>
      </w:r>
      <w:r>
        <w:rPr>
          <w:rFonts w:hint="eastAsia" w:ascii="仿宋_GB2312" w:hAnsi="仿宋_GB2312" w:eastAsia="仿宋_GB2312" w:cs="仿宋_GB2312"/>
          <w:sz w:val="22"/>
          <w:szCs w:val="22"/>
          <w:highlight w:val="none"/>
          <w:lang w:val="en-US" w:eastAsia="zh-CN"/>
        </w:rPr>
        <w:t>0730-</w:t>
      </w:r>
      <w:r>
        <w:rPr>
          <w:rFonts w:hint="eastAsia" w:ascii="仿宋_GB2312" w:hAnsi="仿宋_GB2312" w:eastAsia="仿宋_GB2312" w:cs="仿宋_GB2312"/>
          <w:color w:val="000000" w:themeColor="text1"/>
          <w:spacing w:val="0"/>
          <w:sz w:val="22"/>
          <w:szCs w:val="22"/>
          <w:lang w:val="en-US" w:eastAsia="zh-CN"/>
          <w14:textFill>
            <w14:solidFill>
              <w14:schemeClr w14:val="tx1"/>
            </w14:solidFill>
          </w14:textFill>
        </w:rPr>
        <w:t>822281</w:t>
      </w:r>
      <w:r>
        <w:rPr>
          <w:rFonts w:hint="eastAsia" w:ascii="仿宋_GB2312" w:hAnsi="仿宋_GB2312" w:eastAsia="仿宋_GB2312" w:cs="仿宋_GB2312"/>
          <w:sz w:val="22"/>
          <w:szCs w:val="22"/>
          <w:highlight w:val="none"/>
          <w:lang w:val="en-US" w:eastAsia="zh-CN"/>
        </w:rPr>
        <w:t xml:space="preserve">  </w:t>
      </w:r>
      <w:r>
        <w:rPr>
          <w:rFonts w:hint="eastAsia" w:ascii="仿宋_GB2312" w:hAnsi="仿宋_GB2312" w:eastAsia="仿宋_GB2312" w:cs="仿宋_GB2312"/>
          <w:sz w:val="22"/>
          <w:szCs w:val="22"/>
          <w:highlight w:val="none"/>
        </w:rPr>
        <w:t xml:space="preserve"> 单位负责人：</w:t>
      </w:r>
      <w:r>
        <w:rPr>
          <w:rFonts w:hint="eastAsia" w:ascii="仿宋_GB2312" w:hAnsi="仿宋_GB2312" w:eastAsia="仿宋_GB2312" w:cs="仿宋_GB2312"/>
          <w:sz w:val="22"/>
          <w:szCs w:val="22"/>
          <w:highlight w:val="none"/>
          <w:lang w:eastAsia="zh-CN"/>
        </w:rPr>
        <w:t>郑</w:t>
      </w:r>
      <w:r>
        <w:rPr>
          <w:rFonts w:hint="eastAsia" w:ascii="仿宋_GB2312" w:hAnsi="仿宋_GB2312" w:eastAsia="仿宋_GB2312" w:cs="仿宋_GB2312"/>
          <w:sz w:val="22"/>
          <w:szCs w:val="22"/>
          <w:highlight w:val="none"/>
          <w:lang w:val="en-US" w:eastAsia="zh-CN"/>
        </w:rPr>
        <w:t xml:space="preserve">  伟</w:t>
      </w:r>
    </w:p>
    <w:p w14:paraId="6E5D0220">
      <w:pPr>
        <w:widowControl/>
        <w:spacing w:line="600" w:lineRule="exact"/>
        <w:jc w:val="left"/>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1-6</w:t>
      </w:r>
    </w:p>
    <w:p w14:paraId="1BB64C0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黑体" w:hAnsi="黑体" w:eastAsia="黑体" w:cs="黑体"/>
          <w:sz w:val="18"/>
          <w:szCs w:val="18"/>
          <w:highlight w:val="none"/>
          <w:lang w:val="en-US" w:eastAsia="zh-CN"/>
        </w:rPr>
      </w:pPr>
    </w:p>
    <w:p w14:paraId="4547A68E">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p w14:paraId="68DF19C5">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p>
    <w:tbl>
      <w:tblPr>
        <w:tblStyle w:val="10"/>
        <w:tblW w:w="9851" w:type="dxa"/>
        <w:jc w:val="center"/>
        <w:tblLayout w:type="fixed"/>
        <w:tblCellMar>
          <w:top w:w="0" w:type="dxa"/>
          <w:left w:w="108" w:type="dxa"/>
          <w:bottom w:w="0" w:type="dxa"/>
          <w:right w:w="108" w:type="dxa"/>
        </w:tblCellMar>
      </w:tblPr>
      <w:tblGrid>
        <w:gridCol w:w="1077"/>
        <w:gridCol w:w="1078"/>
        <w:gridCol w:w="1076"/>
        <w:gridCol w:w="1221"/>
        <w:gridCol w:w="1132"/>
        <w:gridCol w:w="1239"/>
        <w:gridCol w:w="720"/>
        <w:gridCol w:w="812"/>
        <w:gridCol w:w="1496"/>
      </w:tblGrid>
      <w:tr w14:paraId="63BADF4A">
        <w:tblPrEx>
          <w:tblCellMar>
            <w:top w:w="0" w:type="dxa"/>
            <w:left w:w="108" w:type="dxa"/>
            <w:bottom w:w="0" w:type="dxa"/>
            <w:right w:w="108" w:type="dxa"/>
          </w:tblCellMar>
        </w:tblPrEx>
        <w:trPr>
          <w:jc w:val="center"/>
        </w:trPr>
        <w:tc>
          <w:tcPr>
            <w:tcW w:w="1077" w:type="dxa"/>
            <w:tcBorders>
              <w:top w:val="single" w:color="auto" w:sz="4" w:space="0"/>
              <w:left w:val="single" w:color="auto" w:sz="4" w:space="0"/>
              <w:bottom w:val="single" w:color="auto" w:sz="4" w:space="0"/>
              <w:right w:val="single" w:color="auto" w:sz="4" w:space="0"/>
            </w:tcBorders>
            <w:noWrap w:val="0"/>
            <w:vAlign w:val="center"/>
          </w:tcPr>
          <w:p w14:paraId="068B48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1CD6AF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4" w:type="dxa"/>
            <w:gridSpan w:val="8"/>
            <w:tcBorders>
              <w:top w:val="single" w:color="auto" w:sz="4" w:space="0"/>
              <w:left w:val="single" w:color="auto" w:sz="4" w:space="0"/>
              <w:bottom w:val="single" w:color="auto" w:sz="4" w:space="0"/>
              <w:right w:val="single" w:color="auto" w:sz="4" w:space="0"/>
            </w:tcBorders>
            <w:noWrap w:val="0"/>
            <w:vAlign w:val="center"/>
          </w:tcPr>
          <w:p w14:paraId="55F0942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青年堤等四条城市排水主涵清淤项目</w:t>
            </w:r>
          </w:p>
        </w:tc>
      </w:tr>
      <w:tr w14:paraId="4DA64747">
        <w:tblPrEx>
          <w:tblCellMar>
            <w:top w:w="0" w:type="dxa"/>
            <w:left w:w="108" w:type="dxa"/>
            <w:bottom w:w="0" w:type="dxa"/>
            <w:right w:w="108" w:type="dxa"/>
          </w:tblCellMar>
        </w:tblPrEx>
        <w:trPr>
          <w:trHeight w:val="450" w:hRule="atLeast"/>
          <w:jc w:val="center"/>
        </w:trPr>
        <w:tc>
          <w:tcPr>
            <w:tcW w:w="1077" w:type="dxa"/>
            <w:tcBorders>
              <w:top w:val="single" w:color="auto" w:sz="4" w:space="0"/>
              <w:left w:val="single" w:color="auto" w:sz="4" w:space="0"/>
              <w:bottom w:val="single" w:color="auto" w:sz="4" w:space="0"/>
              <w:right w:val="single" w:color="auto" w:sz="4" w:space="0"/>
            </w:tcBorders>
            <w:noWrap w:val="0"/>
            <w:vAlign w:val="center"/>
          </w:tcPr>
          <w:p w14:paraId="1BBDEF3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07" w:type="dxa"/>
            <w:gridSpan w:val="4"/>
            <w:tcBorders>
              <w:top w:val="single" w:color="auto" w:sz="4" w:space="0"/>
              <w:left w:val="single" w:color="auto" w:sz="4" w:space="0"/>
              <w:bottom w:val="single" w:color="auto" w:sz="4" w:space="0"/>
              <w:right w:val="single" w:color="auto" w:sz="4" w:space="0"/>
            </w:tcBorders>
            <w:noWrap w:val="0"/>
            <w:vAlign w:val="center"/>
          </w:tcPr>
          <w:p w14:paraId="57DE0D9F">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lang w:eastAsia="zh-CN"/>
                <w14:textFill>
                  <w14:solidFill>
                    <w14:schemeClr w14:val="tx1"/>
                  </w14:solidFill>
                </w14:textFill>
              </w:rPr>
              <w:t>岳阳市城市管理和综合执法局</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79F3E938">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14:textFill>
                  <w14:solidFill>
                    <w14:schemeClr w14:val="tx1"/>
                  </w14:solidFill>
                </w14:textFill>
              </w:rPr>
              <w:t>实施单位</w:t>
            </w:r>
          </w:p>
        </w:tc>
        <w:tc>
          <w:tcPr>
            <w:tcW w:w="3028" w:type="dxa"/>
            <w:gridSpan w:val="3"/>
            <w:tcBorders>
              <w:top w:val="single" w:color="auto" w:sz="4" w:space="0"/>
              <w:left w:val="single" w:color="auto" w:sz="4" w:space="0"/>
              <w:bottom w:val="single" w:color="auto" w:sz="4" w:space="0"/>
              <w:right w:val="single" w:color="auto" w:sz="4" w:space="0"/>
            </w:tcBorders>
            <w:noWrap w:val="0"/>
            <w:vAlign w:val="center"/>
          </w:tcPr>
          <w:p w14:paraId="3C9F9EAC">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lang w:eastAsia="zh-CN"/>
                <w14:textFill>
                  <w14:solidFill>
                    <w14:schemeClr w14:val="tx1"/>
                  </w14:solidFill>
                </w14:textFill>
              </w:rPr>
              <w:t>岳阳市市政维护管理中心</w:t>
            </w:r>
          </w:p>
        </w:tc>
      </w:tr>
      <w:tr w14:paraId="31E4649E">
        <w:tblPrEx>
          <w:tblCellMar>
            <w:top w:w="0" w:type="dxa"/>
            <w:left w:w="108" w:type="dxa"/>
            <w:bottom w:w="0" w:type="dxa"/>
            <w:right w:w="108" w:type="dxa"/>
          </w:tblCellMar>
        </w:tblPrEx>
        <w:trPr>
          <w:jc w:val="center"/>
        </w:trPr>
        <w:tc>
          <w:tcPr>
            <w:tcW w:w="1077" w:type="dxa"/>
            <w:vMerge w:val="restart"/>
            <w:tcBorders>
              <w:top w:val="single" w:color="auto" w:sz="4" w:space="0"/>
              <w:left w:val="single" w:color="auto" w:sz="4" w:space="0"/>
              <w:bottom w:val="single" w:color="auto" w:sz="4" w:space="0"/>
              <w:right w:val="single" w:color="auto" w:sz="4" w:space="0"/>
            </w:tcBorders>
            <w:noWrap w:val="0"/>
            <w:vAlign w:val="center"/>
          </w:tcPr>
          <w:p w14:paraId="102C3B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54" w:type="dxa"/>
            <w:gridSpan w:val="2"/>
            <w:tcBorders>
              <w:top w:val="single" w:color="auto" w:sz="4" w:space="0"/>
              <w:left w:val="single" w:color="auto" w:sz="4" w:space="0"/>
              <w:bottom w:val="single" w:color="auto" w:sz="4" w:space="0"/>
              <w:right w:val="single" w:color="auto" w:sz="4" w:space="0"/>
            </w:tcBorders>
            <w:noWrap w:val="0"/>
            <w:vAlign w:val="center"/>
          </w:tcPr>
          <w:p w14:paraId="74B460C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77844A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7D2103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7830773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781DBC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635A6D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5D158F3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50FCFE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752D87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2465B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165EFD1D">
        <w:tblPrEx>
          <w:tblCellMar>
            <w:top w:w="0" w:type="dxa"/>
            <w:left w:w="108" w:type="dxa"/>
            <w:bottom w:w="0" w:type="dxa"/>
            <w:right w:w="108" w:type="dxa"/>
          </w:tblCellMar>
        </w:tblPrEx>
        <w:trPr>
          <w:trHeight w:val="520" w:hRule="atLeast"/>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3C97219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54" w:type="dxa"/>
            <w:gridSpan w:val="2"/>
            <w:tcBorders>
              <w:top w:val="single" w:color="auto" w:sz="4" w:space="0"/>
              <w:left w:val="single" w:color="auto" w:sz="4" w:space="0"/>
              <w:bottom w:val="single" w:color="auto" w:sz="4" w:space="0"/>
              <w:right w:val="single" w:color="auto" w:sz="4" w:space="0"/>
            </w:tcBorders>
            <w:noWrap w:val="0"/>
            <w:vAlign w:val="center"/>
          </w:tcPr>
          <w:p w14:paraId="0CDC4FB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19D0274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372C536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299.33</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0056634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299.33</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41668E5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10</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45CF7B2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FB1277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 xml:space="preserve">  10</w:t>
            </w:r>
          </w:p>
        </w:tc>
      </w:tr>
      <w:tr w14:paraId="44809640">
        <w:tblPrEx>
          <w:tblCellMar>
            <w:top w:w="0" w:type="dxa"/>
            <w:left w:w="108" w:type="dxa"/>
            <w:bottom w:w="0" w:type="dxa"/>
            <w:right w:w="108" w:type="dxa"/>
          </w:tblCellMar>
        </w:tblPrEx>
        <w:trPr>
          <w:trHeight w:val="530" w:hRule="atLeast"/>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456EA9C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54" w:type="dxa"/>
            <w:gridSpan w:val="2"/>
            <w:tcBorders>
              <w:top w:val="single" w:color="auto" w:sz="4" w:space="0"/>
              <w:left w:val="single" w:color="auto" w:sz="4" w:space="0"/>
              <w:bottom w:val="single" w:color="auto" w:sz="4" w:space="0"/>
              <w:right w:val="single" w:color="auto" w:sz="4" w:space="0"/>
            </w:tcBorders>
            <w:noWrap w:val="0"/>
            <w:vAlign w:val="center"/>
          </w:tcPr>
          <w:p w14:paraId="37BD0F2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6B3336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3ACB5B0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299.33</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24A541B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299.33</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4D7A34C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15FADE7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11178C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4C07AA5">
        <w:tblPrEx>
          <w:tblCellMar>
            <w:top w:w="0" w:type="dxa"/>
            <w:left w:w="108" w:type="dxa"/>
            <w:bottom w:w="0" w:type="dxa"/>
            <w:right w:w="108" w:type="dxa"/>
          </w:tblCellMar>
        </w:tblPrEx>
        <w:trPr>
          <w:trHeight w:val="410" w:hRule="atLeast"/>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27676ED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54" w:type="dxa"/>
            <w:gridSpan w:val="2"/>
            <w:tcBorders>
              <w:top w:val="single" w:color="auto" w:sz="4" w:space="0"/>
              <w:left w:val="single" w:color="auto" w:sz="4" w:space="0"/>
              <w:bottom w:val="single" w:color="auto" w:sz="4" w:space="0"/>
              <w:right w:val="single" w:color="auto" w:sz="4" w:space="0"/>
            </w:tcBorders>
            <w:noWrap w:val="0"/>
            <w:vAlign w:val="center"/>
          </w:tcPr>
          <w:p w14:paraId="320A73D0">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6CEFEE3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03A18FD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p>
        </w:tc>
        <w:tc>
          <w:tcPr>
            <w:tcW w:w="1239" w:type="dxa"/>
            <w:tcBorders>
              <w:top w:val="single" w:color="auto" w:sz="4" w:space="0"/>
              <w:left w:val="single" w:color="auto" w:sz="4" w:space="0"/>
              <w:bottom w:val="single" w:color="auto" w:sz="4" w:space="0"/>
              <w:right w:val="single" w:color="auto" w:sz="4" w:space="0"/>
            </w:tcBorders>
            <w:noWrap w:val="0"/>
            <w:vAlign w:val="center"/>
          </w:tcPr>
          <w:p w14:paraId="4BAC713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01CBAD0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0341A7E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4394D2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475C092">
        <w:tblPrEx>
          <w:tblCellMar>
            <w:top w:w="0" w:type="dxa"/>
            <w:left w:w="108" w:type="dxa"/>
            <w:bottom w:w="0" w:type="dxa"/>
            <w:right w:w="108" w:type="dxa"/>
          </w:tblCellMar>
        </w:tblPrEx>
        <w:trPr>
          <w:trHeight w:val="405" w:hRule="atLeast"/>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0E3938B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54" w:type="dxa"/>
            <w:gridSpan w:val="2"/>
            <w:tcBorders>
              <w:top w:val="single" w:color="auto" w:sz="4" w:space="0"/>
              <w:left w:val="single" w:color="auto" w:sz="4" w:space="0"/>
              <w:bottom w:val="single" w:color="auto" w:sz="4" w:space="0"/>
              <w:right w:val="single" w:color="auto" w:sz="4" w:space="0"/>
            </w:tcBorders>
            <w:noWrap w:val="0"/>
            <w:vAlign w:val="center"/>
          </w:tcPr>
          <w:p w14:paraId="57D65544">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718141D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659FE98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0B13DE1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2F7197C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372B8F6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0B294B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FBD28C6">
        <w:tblPrEx>
          <w:tblCellMar>
            <w:top w:w="0" w:type="dxa"/>
            <w:left w:w="108" w:type="dxa"/>
            <w:bottom w:w="0" w:type="dxa"/>
            <w:right w:w="108" w:type="dxa"/>
          </w:tblCellMar>
        </w:tblPrEx>
        <w:trPr>
          <w:trHeight w:val="530" w:hRule="atLeast"/>
          <w:jc w:val="center"/>
        </w:trPr>
        <w:tc>
          <w:tcPr>
            <w:tcW w:w="1077" w:type="dxa"/>
            <w:vMerge w:val="restart"/>
            <w:tcBorders>
              <w:top w:val="single" w:color="auto" w:sz="4" w:space="0"/>
              <w:left w:val="single" w:color="auto" w:sz="4" w:space="0"/>
              <w:bottom w:val="single" w:color="auto" w:sz="4" w:space="0"/>
              <w:right w:val="single" w:color="auto" w:sz="4" w:space="0"/>
            </w:tcBorders>
            <w:noWrap w:val="0"/>
            <w:vAlign w:val="center"/>
          </w:tcPr>
          <w:p w14:paraId="7B9DFA1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07" w:type="dxa"/>
            <w:gridSpan w:val="4"/>
            <w:tcBorders>
              <w:top w:val="single" w:color="auto" w:sz="4" w:space="0"/>
              <w:left w:val="single" w:color="auto" w:sz="4" w:space="0"/>
              <w:bottom w:val="single" w:color="auto" w:sz="4" w:space="0"/>
              <w:right w:val="single" w:color="auto" w:sz="4" w:space="0"/>
            </w:tcBorders>
            <w:noWrap w:val="0"/>
            <w:vAlign w:val="center"/>
          </w:tcPr>
          <w:p w14:paraId="155F38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67" w:type="dxa"/>
            <w:gridSpan w:val="4"/>
            <w:tcBorders>
              <w:top w:val="single" w:color="auto" w:sz="4" w:space="0"/>
              <w:left w:val="single" w:color="auto" w:sz="4" w:space="0"/>
              <w:bottom w:val="single" w:color="auto" w:sz="4" w:space="0"/>
              <w:right w:val="single" w:color="auto" w:sz="4" w:space="0"/>
            </w:tcBorders>
            <w:noWrap w:val="0"/>
            <w:vAlign w:val="center"/>
          </w:tcPr>
          <w:p w14:paraId="437FDC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503C11F5">
        <w:tblPrEx>
          <w:tblCellMar>
            <w:top w:w="0" w:type="dxa"/>
            <w:left w:w="108" w:type="dxa"/>
            <w:bottom w:w="0" w:type="dxa"/>
            <w:right w:w="108" w:type="dxa"/>
          </w:tblCellMar>
        </w:tblPrEx>
        <w:trPr>
          <w:trHeight w:val="1465" w:hRule="atLeast"/>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09BEEC6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4507" w:type="dxa"/>
            <w:gridSpan w:val="4"/>
            <w:tcBorders>
              <w:top w:val="single" w:color="auto" w:sz="4" w:space="0"/>
              <w:left w:val="single" w:color="auto" w:sz="4" w:space="0"/>
              <w:bottom w:val="single" w:color="auto" w:sz="4" w:space="0"/>
              <w:right w:val="single" w:color="auto" w:sz="4" w:space="0"/>
            </w:tcBorders>
            <w:noWrap w:val="0"/>
            <w:vAlign w:val="center"/>
          </w:tcPr>
          <w:p w14:paraId="0657765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pacing w:val="0"/>
                <w:sz w:val="20"/>
                <w:szCs w:val="20"/>
                <w:lang w:val="en-US" w:eastAsia="zh-CN"/>
              </w:rPr>
              <w:t xml:space="preserve">    对</w:t>
            </w:r>
            <w:r>
              <w:rPr>
                <w:rFonts w:hint="eastAsia" w:ascii="仿宋_GB2312" w:hAnsi="仿宋_GB2312" w:eastAsia="仿宋_GB2312" w:cs="仿宋_GB2312"/>
                <w:color w:val="auto"/>
                <w:spacing w:val="0"/>
                <w:sz w:val="20"/>
                <w:szCs w:val="20"/>
                <w:lang w:eastAsia="zh-CN"/>
              </w:rPr>
              <w:t>市主城区青年堤、下王组、十中地段、金东门等</w:t>
            </w:r>
            <w:r>
              <w:rPr>
                <w:rFonts w:hint="eastAsia" w:ascii="仿宋_GB2312" w:hAnsi="仿宋_GB2312" w:eastAsia="仿宋_GB2312" w:cs="仿宋_GB2312"/>
                <w:color w:val="auto"/>
                <w:spacing w:val="0"/>
                <w:sz w:val="20"/>
                <w:szCs w:val="20"/>
                <w:lang w:val="en-US" w:eastAsia="zh-CN"/>
              </w:rPr>
              <w:t>4条城市排水主涵进行清淤整治，确保城市排水管网畅通，避免城市内涝现象的发生。</w:t>
            </w:r>
            <w:r>
              <w:rPr>
                <w:rFonts w:hint="eastAsia" w:ascii="仿宋_GB2312" w:hAnsi="仿宋_GB2312" w:eastAsia="仿宋_GB2312" w:cs="仿宋_GB2312"/>
                <w:color w:val="auto"/>
                <w:sz w:val="20"/>
                <w:szCs w:val="20"/>
                <w:highlight w:val="none"/>
              </w:rPr>
              <w:t>　　</w:t>
            </w:r>
          </w:p>
        </w:tc>
        <w:tc>
          <w:tcPr>
            <w:tcW w:w="4267" w:type="dxa"/>
            <w:gridSpan w:val="4"/>
            <w:tcBorders>
              <w:top w:val="single" w:color="auto" w:sz="4" w:space="0"/>
              <w:left w:val="single" w:color="auto" w:sz="4" w:space="0"/>
              <w:bottom w:val="single" w:color="auto" w:sz="4" w:space="0"/>
              <w:right w:val="single" w:color="auto" w:sz="4" w:space="0"/>
            </w:tcBorders>
            <w:noWrap w:val="0"/>
            <w:vAlign w:val="center"/>
          </w:tcPr>
          <w:p w14:paraId="6D358C26">
            <w:pPr>
              <w:keepNext w:val="0"/>
              <w:keepLines w:val="0"/>
              <w:pageBreakBefore w:val="0"/>
              <w:widowControl/>
              <w:kinsoku/>
              <w:wordWrap/>
              <w:overflowPunct/>
              <w:topLinePunct w:val="0"/>
              <w:autoSpaceDE/>
              <w:autoSpaceDN/>
              <w:bidi w:val="0"/>
              <w:adjustRightInd/>
              <w:snapToGrid/>
              <w:spacing w:line="320" w:lineRule="exact"/>
              <w:ind w:firstLine="400" w:firstLineChars="2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auto"/>
                <w:spacing w:val="0"/>
                <w:sz w:val="20"/>
                <w:szCs w:val="20"/>
                <w:lang w:eastAsia="zh-CN"/>
              </w:rPr>
              <w:t>市主城区青年堤、下王组、十中地段、金东门等</w:t>
            </w:r>
            <w:r>
              <w:rPr>
                <w:rFonts w:hint="eastAsia" w:ascii="仿宋_GB2312" w:hAnsi="仿宋_GB2312" w:eastAsia="仿宋_GB2312" w:cs="仿宋_GB2312"/>
                <w:color w:val="auto"/>
                <w:spacing w:val="0"/>
                <w:sz w:val="20"/>
                <w:szCs w:val="20"/>
                <w:lang w:val="en-US" w:eastAsia="zh-CN"/>
              </w:rPr>
              <w:t>4条城市排水主涵清淤整治工作如期完成，城市排水管网畅通，避免了城市内涝现象的发生。</w:t>
            </w:r>
          </w:p>
        </w:tc>
      </w:tr>
      <w:tr w14:paraId="1F92AFFD">
        <w:tblPrEx>
          <w:tblCellMar>
            <w:top w:w="0" w:type="dxa"/>
            <w:left w:w="108" w:type="dxa"/>
            <w:bottom w:w="0" w:type="dxa"/>
            <w:right w:w="108" w:type="dxa"/>
          </w:tblCellMar>
        </w:tblPrEx>
        <w:trPr>
          <w:trHeight w:val="630" w:hRule="atLeast"/>
          <w:jc w:val="center"/>
        </w:trPr>
        <w:tc>
          <w:tcPr>
            <w:tcW w:w="1077" w:type="dxa"/>
            <w:vMerge w:val="restart"/>
            <w:tcBorders>
              <w:top w:val="single" w:color="auto" w:sz="4" w:space="0"/>
              <w:left w:val="single" w:color="auto" w:sz="4" w:space="0"/>
              <w:bottom w:val="single" w:color="auto" w:sz="4" w:space="0"/>
              <w:right w:val="single" w:color="auto" w:sz="4" w:space="0"/>
            </w:tcBorders>
            <w:noWrap w:val="0"/>
            <w:vAlign w:val="center"/>
          </w:tcPr>
          <w:p w14:paraId="68F949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3C0AC3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479C14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29112D8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78" w:type="dxa"/>
            <w:tcBorders>
              <w:top w:val="single" w:color="auto" w:sz="4" w:space="0"/>
              <w:left w:val="single" w:color="auto" w:sz="4" w:space="0"/>
              <w:bottom w:val="single" w:color="auto" w:sz="4" w:space="0"/>
              <w:right w:val="single" w:color="auto" w:sz="4" w:space="0"/>
            </w:tcBorders>
            <w:noWrap w:val="0"/>
            <w:vAlign w:val="center"/>
          </w:tcPr>
          <w:p w14:paraId="1D0A85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一级指标</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1A05BE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二级指标</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34B42B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三级指标</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1C6BEE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年度</w:t>
            </w:r>
          </w:p>
          <w:p w14:paraId="1B47F6B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指标值</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68A6FC6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04F7FB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67BC19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17ABA3D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EFC300E">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3302058D">
        <w:tblPrEx>
          <w:tblCellMar>
            <w:top w:w="0" w:type="dxa"/>
            <w:left w:w="108" w:type="dxa"/>
            <w:bottom w:w="0" w:type="dxa"/>
            <w:right w:w="108" w:type="dxa"/>
          </w:tblCellMar>
        </w:tblPrEx>
        <w:trPr>
          <w:trHeight w:val="819" w:hRule="atLeast"/>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709CA4A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restart"/>
            <w:tcBorders>
              <w:top w:val="single" w:color="auto" w:sz="4" w:space="0"/>
              <w:left w:val="single" w:color="auto" w:sz="4" w:space="0"/>
              <w:right w:val="single" w:color="auto" w:sz="4" w:space="0"/>
            </w:tcBorders>
            <w:noWrap w:val="0"/>
            <w:vAlign w:val="center"/>
          </w:tcPr>
          <w:p w14:paraId="61D7690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73B7F8C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015A6A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76" w:type="dxa"/>
            <w:vMerge w:val="restart"/>
            <w:tcBorders>
              <w:top w:val="single" w:color="auto" w:sz="4" w:space="0"/>
              <w:left w:val="single" w:color="auto" w:sz="4" w:space="0"/>
              <w:right w:val="single" w:color="auto" w:sz="4" w:space="0"/>
            </w:tcBorders>
            <w:noWrap w:val="0"/>
            <w:vAlign w:val="center"/>
          </w:tcPr>
          <w:p w14:paraId="48C21A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60039714">
            <w:pPr>
              <w:keepNext w:val="0"/>
              <w:keepLines w:val="0"/>
              <w:widowControl/>
              <w:suppressLineNumbers w:val="0"/>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auto"/>
                <w:spacing w:val="0"/>
                <w:sz w:val="20"/>
                <w:szCs w:val="20"/>
                <w:lang w:val="en-US" w:eastAsia="zh-CN"/>
              </w:rPr>
              <w:t>清淤主涵长度</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3A22C54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4335.75</w:t>
            </w:r>
            <w:r>
              <w:rPr>
                <w:rFonts w:hint="eastAsia" w:ascii="华文仿宋" w:hAnsi="华文仿宋" w:eastAsia="华文仿宋" w:cs="华文仿宋"/>
                <w:color w:val="auto"/>
                <w:sz w:val="20"/>
                <w:szCs w:val="20"/>
                <w:lang w:val="en-US" w:eastAsia="zh-CN"/>
              </w:rPr>
              <w:t>m</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347C648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sz w:val="20"/>
                <w:szCs w:val="20"/>
                <w:lang w:val="en-US" w:eastAsia="zh-CN"/>
              </w:rPr>
              <w:t>4335.75</w:t>
            </w:r>
            <w:r>
              <w:rPr>
                <w:rFonts w:hint="eastAsia" w:ascii="华文仿宋" w:hAnsi="华文仿宋" w:eastAsia="华文仿宋" w:cs="华文仿宋"/>
                <w:color w:val="auto"/>
                <w:sz w:val="20"/>
                <w:szCs w:val="20"/>
                <w:lang w:val="en-US" w:eastAsia="zh-CN"/>
              </w:rPr>
              <w:t>m</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723200B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7</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796824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7</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543A4A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0D2C5381">
        <w:tblPrEx>
          <w:tblCellMar>
            <w:top w:w="0" w:type="dxa"/>
            <w:left w:w="108" w:type="dxa"/>
            <w:bottom w:w="0" w:type="dxa"/>
            <w:right w:w="108" w:type="dxa"/>
          </w:tblCellMar>
        </w:tblPrEx>
        <w:trPr>
          <w:trHeight w:val="692" w:hRule="atLeast"/>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78F251C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tcBorders>
              <w:left w:val="single" w:color="auto" w:sz="4" w:space="0"/>
              <w:right w:val="single" w:color="auto" w:sz="4" w:space="0"/>
            </w:tcBorders>
            <w:noWrap w:val="0"/>
            <w:vAlign w:val="center"/>
          </w:tcPr>
          <w:p w14:paraId="18A79C9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76" w:type="dxa"/>
            <w:vMerge w:val="continue"/>
            <w:tcBorders>
              <w:left w:val="single" w:color="auto" w:sz="4" w:space="0"/>
              <w:bottom w:val="single" w:color="auto" w:sz="4" w:space="0"/>
              <w:right w:val="single" w:color="auto" w:sz="4" w:space="0"/>
            </w:tcBorders>
            <w:noWrap w:val="0"/>
            <w:vAlign w:val="center"/>
          </w:tcPr>
          <w:p w14:paraId="579EC0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center"/>
          </w:tcPr>
          <w:p w14:paraId="70457CE9">
            <w:pPr>
              <w:keepNext w:val="0"/>
              <w:keepLines w:val="0"/>
              <w:widowControl/>
              <w:suppressLineNumbers w:val="0"/>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auto"/>
                <w:spacing w:val="0"/>
                <w:sz w:val="20"/>
                <w:szCs w:val="20"/>
                <w:lang w:val="en-US" w:eastAsia="zh-CN"/>
              </w:rPr>
              <w:t>预计清淤量</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11ADF2D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3800</w:t>
            </w:r>
            <w:r>
              <w:rPr>
                <w:rFonts w:hint="eastAsia" w:ascii="方正仿宋_GBK" w:hAnsi="方正仿宋_GBK" w:eastAsia="方正仿宋_GBK" w:cs="方正仿宋_GBK"/>
                <w:color w:val="auto"/>
                <w:kern w:val="0"/>
                <w:sz w:val="20"/>
                <w:szCs w:val="20"/>
                <w:highlight w:val="none"/>
                <w:lang w:val="en-US" w:eastAsia="zh-CN" w:bidi="ar-SA"/>
              </w:rPr>
              <w:t>㎥</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734B377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约3950</w:t>
            </w:r>
            <w:r>
              <w:rPr>
                <w:rFonts w:hint="eastAsia" w:ascii="方正仿宋_GBK" w:hAnsi="方正仿宋_GBK" w:eastAsia="方正仿宋_GBK" w:cs="方正仿宋_GBK"/>
                <w:color w:val="auto"/>
                <w:kern w:val="0"/>
                <w:sz w:val="20"/>
                <w:szCs w:val="20"/>
                <w:highlight w:val="none"/>
                <w:lang w:val="en-US" w:eastAsia="zh-CN" w:bidi="ar-SA"/>
              </w:rPr>
              <w:t>㎥</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064A818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7</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6BF9396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7</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0D14D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4E93D5D5">
        <w:tblPrEx>
          <w:tblCellMar>
            <w:top w:w="0" w:type="dxa"/>
            <w:left w:w="108" w:type="dxa"/>
            <w:bottom w:w="0" w:type="dxa"/>
            <w:right w:w="108" w:type="dxa"/>
          </w:tblCellMar>
        </w:tblPrEx>
        <w:trPr>
          <w:trHeight w:val="737" w:hRule="atLeast"/>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7B4A5DC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tcBorders>
              <w:left w:val="single" w:color="auto" w:sz="4" w:space="0"/>
              <w:right w:val="single" w:color="auto" w:sz="4" w:space="0"/>
            </w:tcBorders>
            <w:noWrap w:val="0"/>
            <w:vAlign w:val="center"/>
          </w:tcPr>
          <w:p w14:paraId="2ECC6FE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vMerge w:val="restart"/>
            <w:tcBorders>
              <w:top w:val="single" w:color="auto" w:sz="4" w:space="0"/>
              <w:left w:val="single" w:color="auto" w:sz="4" w:space="0"/>
              <w:right w:val="single" w:color="auto" w:sz="4" w:space="0"/>
            </w:tcBorders>
            <w:noWrap w:val="0"/>
            <w:vAlign w:val="center"/>
          </w:tcPr>
          <w:p w14:paraId="5E3CF6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质量指标</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719F5FD2">
            <w:pPr>
              <w:keepNext w:val="0"/>
              <w:keepLines w:val="0"/>
              <w:pageBreakBefore w:val="0"/>
              <w:widowControl/>
              <w:kinsoku/>
              <w:wordWrap/>
              <w:overflowPunct/>
              <w:topLinePunct w:val="0"/>
              <w:autoSpaceDE/>
              <w:autoSpaceDN/>
              <w:bidi w:val="0"/>
              <w:adjustRightInd/>
              <w:snapToGrid/>
              <w:spacing w:line="320" w:lineRule="exact"/>
              <w:ind w:left="0" w:leftChars="0"/>
              <w:jc w:val="center"/>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符合C</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JJ/T234-2017</w:t>
            </w:r>
            <w:r>
              <w:rPr>
                <w:rFonts w:hint="eastAsia" w:ascii="仿宋_GB2312" w:hAnsi="仿宋_GB2312" w:eastAsia="仿宋_GB2312" w:cs="仿宋_GB2312"/>
                <w:color w:val="000000" w:themeColor="text1"/>
                <w:sz w:val="20"/>
                <w:szCs w:val="20"/>
                <w:highlight w:val="none"/>
                <w14:textFill>
                  <w14:solidFill>
                    <w14:schemeClr w14:val="tx1"/>
                  </w14:solidFill>
                </w14:textFill>
              </w:rPr>
              <w:t>《</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城市排水管道维护技术规程</w:t>
            </w:r>
            <w:r>
              <w:rPr>
                <w:rFonts w:hint="eastAsia" w:ascii="仿宋_GB2312" w:hAnsi="仿宋_GB2312" w:eastAsia="仿宋_GB2312" w:cs="仿宋_GB2312"/>
                <w:color w:val="000000" w:themeColor="text1"/>
                <w:sz w:val="20"/>
                <w:szCs w:val="20"/>
                <w:highlight w:val="none"/>
                <w14:textFill>
                  <w14:solidFill>
                    <w14:schemeClr w14:val="tx1"/>
                  </w14:solidFill>
                </w14:textFill>
              </w:rPr>
              <w:t>》标准</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4BB1DD0F">
            <w:pPr>
              <w:keepNext w:val="0"/>
              <w:keepLines w:val="0"/>
              <w:pageBreakBefore w:val="0"/>
              <w:widowControl/>
              <w:tabs>
                <w:tab w:val="left" w:pos="465"/>
              </w:tabs>
              <w:kinsoku/>
              <w:wordWrap/>
              <w:overflowPunct/>
              <w:topLinePunct w:val="0"/>
              <w:autoSpaceDE/>
              <w:autoSpaceDN/>
              <w:bidi w:val="0"/>
              <w:adjustRightInd/>
              <w:snapToGrid/>
              <w:spacing w:line="260" w:lineRule="exact"/>
              <w:ind w:left="0" w:lef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lang w:val="en-US" w:eastAsia="zh-CN"/>
                <w14:textFill>
                  <w14:solidFill>
                    <w14:schemeClr w14:val="tx1"/>
                  </w14:solidFill>
                </w14:textFill>
              </w:rPr>
              <w:t>100%</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1D918F3D">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lang w:val="en-US" w:eastAsia="zh-CN"/>
                <w14:textFill>
                  <w14:solidFill>
                    <w14:schemeClr w14:val="tx1"/>
                  </w14:solidFill>
                </w14:textFill>
              </w:rPr>
              <w:t>100%</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0C15BBB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7</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6D7FC27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7</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3560B7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6B6E3E9F">
        <w:tblPrEx>
          <w:tblCellMar>
            <w:top w:w="0" w:type="dxa"/>
            <w:left w:w="108" w:type="dxa"/>
            <w:bottom w:w="0" w:type="dxa"/>
            <w:right w:w="108" w:type="dxa"/>
          </w:tblCellMar>
        </w:tblPrEx>
        <w:trPr>
          <w:trHeight w:val="737" w:hRule="atLeast"/>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6214A66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tcBorders>
              <w:left w:val="single" w:color="auto" w:sz="4" w:space="0"/>
              <w:right w:val="single" w:color="auto" w:sz="4" w:space="0"/>
            </w:tcBorders>
            <w:noWrap w:val="0"/>
            <w:vAlign w:val="center"/>
          </w:tcPr>
          <w:p w14:paraId="0C01C40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vMerge w:val="continue"/>
            <w:tcBorders>
              <w:left w:val="single" w:color="auto" w:sz="4" w:space="0"/>
              <w:bottom w:val="single" w:color="auto" w:sz="4" w:space="0"/>
              <w:right w:val="single" w:color="auto" w:sz="4" w:space="0"/>
            </w:tcBorders>
            <w:noWrap w:val="0"/>
            <w:vAlign w:val="center"/>
          </w:tcPr>
          <w:p w14:paraId="101676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center"/>
          </w:tcPr>
          <w:p w14:paraId="6065ADF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符合GB50788-2012《城市给水排水技</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术</w:t>
            </w:r>
            <w:r>
              <w:rPr>
                <w:rFonts w:hint="eastAsia" w:ascii="仿宋_GB2312" w:hAnsi="仿宋_GB2312" w:eastAsia="仿宋_GB2312" w:cs="仿宋_GB2312"/>
                <w:color w:val="000000" w:themeColor="text1"/>
                <w:sz w:val="20"/>
                <w:szCs w:val="20"/>
                <w:highlight w:val="none"/>
                <w14:textFill>
                  <w14:solidFill>
                    <w14:schemeClr w14:val="tx1"/>
                  </w14:solidFill>
                </w14:textFill>
              </w:rPr>
              <w:t>规范》标准</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574BE80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　</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 xml:space="preserve"> 100%</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5AAF26B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　</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 xml:space="preserve"> 100%</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237E28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7</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45B2ED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7</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15D889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4B5C8BC5">
        <w:tblPrEx>
          <w:tblCellMar>
            <w:top w:w="0" w:type="dxa"/>
            <w:left w:w="108" w:type="dxa"/>
            <w:bottom w:w="0" w:type="dxa"/>
            <w:right w:w="108" w:type="dxa"/>
          </w:tblCellMar>
        </w:tblPrEx>
        <w:trPr>
          <w:trHeight w:val="957" w:hRule="atLeast"/>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3919270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tcBorders>
              <w:left w:val="single" w:color="auto" w:sz="4" w:space="0"/>
              <w:right w:val="single" w:color="auto" w:sz="4" w:space="0"/>
            </w:tcBorders>
            <w:noWrap w:val="0"/>
            <w:vAlign w:val="center"/>
          </w:tcPr>
          <w:p w14:paraId="1F5F92F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tcBorders>
              <w:top w:val="single" w:color="auto" w:sz="4" w:space="0"/>
              <w:left w:val="single" w:color="auto" w:sz="4" w:space="0"/>
              <w:bottom w:val="single" w:color="auto" w:sz="4" w:space="0"/>
              <w:right w:val="single" w:color="auto" w:sz="4" w:space="0"/>
            </w:tcBorders>
            <w:noWrap w:val="0"/>
            <w:vAlign w:val="center"/>
          </w:tcPr>
          <w:p w14:paraId="3E94CCE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152DE03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themeColor="text1"/>
                <w:spacing w:val="0"/>
                <w:sz w:val="20"/>
                <w:szCs w:val="20"/>
                <w:lang w:eastAsia="zh-CN"/>
                <w14:textFill>
                  <w14:solidFill>
                    <w14:schemeClr w14:val="tx1"/>
                  </w14:solidFill>
                </w14:textFill>
              </w:rPr>
              <w:t>目标任务完成时间</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1F3F578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2024年11月13日前</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0E547DC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均如期完成</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3D9679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12</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364346D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12</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287C85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87B785F">
        <w:tblPrEx>
          <w:tblCellMar>
            <w:top w:w="0" w:type="dxa"/>
            <w:left w:w="108" w:type="dxa"/>
            <w:bottom w:w="0" w:type="dxa"/>
            <w:right w:w="108" w:type="dxa"/>
          </w:tblCellMar>
        </w:tblPrEx>
        <w:trPr>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5CF53A2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tcBorders>
              <w:left w:val="single" w:color="auto" w:sz="4" w:space="0"/>
              <w:right w:val="single" w:color="auto" w:sz="4" w:space="0"/>
            </w:tcBorders>
            <w:noWrap w:val="0"/>
            <w:vAlign w:val="center"/>
          </w:tcPr>
          <w:p w14:paraId="330F7A9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vMerge w:val="restart"/>
            <w:tcBorders>
              <w:top w:val="single" w:color="auto" w:sz="4" w:space="0"/>
              <w:left w:val="single" w:color="auto" w:sz="4" w:space="0"/>
              <w:bottom w:val="single" w:color="auto" w:sz="4" w:space="0"/>
              <w:right w:val="single" w:color="auto" w:sz="4" w:space="0"/>
            </w:tcBorders>
            <w:noWrap w:val="0"/>
            <w:vAlign w:val="center"/>
          </w:tcPr>
          <w:p w14:paraId="4184DC9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7736FF1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项目实施成本经济成本指标</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6C33E11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控制在年度预算</w:t>
            </w:r>
            <w:r>
              <w:rPr>
                <w:rFonts w:hint="eastAsia" w:ascii="仿宋_GB2312" w:hAnsi="仿宋_GB2312" w:eastAsia="仿宋_GB2312" w:cs="仿宋_GB2312"/>
                <w:color w:val="000000"/>
                <w:sz w:val="20"/>
                <w:szCs w:val="20"/>
                <w:highlight w:val="none"/>
                <w:lang w:val="en-US" w:eastAsia="zh-CN"/>
              </w:rPr>
              <w:t>310.42万元内</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0EC6641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实际支出</w:t>
            </w:r>
            <w:r>
              <w:rPr>
                <w:rFonts w:hint="eastAsia" w:ascii="仿宋_GB2312" w:hAnsi="仿宋_GB2312" w:eastAsia="仿宋_GB2312" w:cs="仿宋_GB2312"/>
                <w:color w:val="000000"/>
                <w:sz w:val="20"/>
                <w:szCs w:val="20"/>
                <w:highlight w:val="none"/>
                <w:lang w:val="en-US" w:eastAsia="zh-CN"/>
              </w:rPr>
              <w:t>299.33万元</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22B1EFA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0FB925C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B297E7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C4D2A00">
        <w:tblPrEx>
          <w:tblCellMar>
            <w:top w:w="0" w:type="dxa"/>
            <w:left w:w="108" w:type="dxa"/>
            <w:bottom w:w="0" w:type="dxa"/>
            <w:right w:w="108" w:type="dxa"/>
          </w:tblCellMar>
        </w:tblPrEx>
        <w:trPr>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6E2423C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tcBorders>
              <w:left w:val="single" w:color="auto" w:sz="4" w:space="0"/>
              <w:right w:val="single" w:color="auto" w:sz="4" w:space="0"/>
            </w:tcBorders>
            <w:noWrap w:val="0"/>
            <w:vAlign w:val="center"/>
          </w:tcPr>
          <w:p w14:paraId="066C62A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6591938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center"/>
          </w:tcPr>
          <w:p w14:paraId="3DF3F55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是否对社会造成负面影响</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78E021F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34953CD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08FA17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511522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B76474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A9303BD">
        <w:tblPrEx>
          <w:tblCellMar>
            <w:top w:w="0" w:type="dxa"/>
            <w:left w:w="108" w:type="dxa"/>
            <w:bottom w:w="0" w:type="dxa"/>
            <w:right w:w="108" w:type="dxa"/>
          </w:tblCellMar>
        </w:tblPrEx>
        <w:trPr>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4725663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tcBorders>
              <w:left w:val="single" w:color="auto" w:sz="4" w:space="0"/>
              <w:bottom w:val="single" w:color="auto" w:sz="4" w:space="0"/>
              <w:right w:val="single" w:color="auto" w:sz="4" w:space="0"/>
            </w:tcBorders>
            <w:noWrap w:val="0"/>
            <w:vAlign w:val="center"/>
          </w:tcPr>
          <w:p w14:paraId="5F6ADB8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2368679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center"/>
          </w:tcPr>
          <w:p w14:paraId="3AA143A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是否对生态环境造成负面影响</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2E4C4D7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无负面影响</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4427203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无负面影响</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4ADB212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6D78FF8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4CB8A5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374734E">
        <w:tblPrEx>
          <w:tblCellMar>
            <w:top w:w="0" w:type="dxa"/>
            <w:left w:w="108" w:type="dxa"/>
            <w:bottom w:w="0" w:type="dxa"/>
            <w:right w:w="108" w:type="dxa"/>
          </w:tblCellMar>
        </w:tblPrEx>
        <w:trPr>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045BB76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restart"/>
            <w:tcBorders>
              <w:top w:val="single" w:color="auto" w:sz="4" w:space="0"/>
              <w:left w:val="single" w:color="auto" w:sz="4" w:space="0"/>
              <w:bottom w:val="single" w:color="auto" w:sz="4" w:space="0"/>
              <w:right w:val="single" w:color="auto" w:sz="4" w:space="0"/>
            </w:tcBorders>
            <w:noWrap w:val="0"/>
            <w:vAlign w:val="center"/>
          </w:tcPr>
          <w:p w14:paraId="605C345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0D0C8B5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14:paraId="3558138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295BC6F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7FBD12C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70D46D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6F08B19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本项目为公益项目</w:t>
            </w:r>
            <w:r>
              <w:rPr>
                <w:rFonts w:hint="eastAsia" w:ascii="仿宋_GB2312" w:hAnsi="仿宋_GB2312" w:eastAsia="仿宋_GB2312" w:cs="仿宋_GB2312"/>
                <w:color w:val="000000"/>
                <w:sz w:val="20"/>
                <w:szCs w:val="20"/>
                <w:highlight w:val="none"/>
                <w:lang w:val="en-US" w:eastAsia="zh-CN"/>
              </w:rPr>
              <w:t>无直接经济收益</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4BB2852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及时清理，减少次生维护成本</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76C94AC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管养成本得到有效管控</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101623F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7</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064AB8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7</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612FA2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8C96C3F">
        <w:tblPrEx>
          <w:tblCellMar>
            <w:top w:w="0" w:type="dxa"/>
            <w:left w:w="108" w:type="dxa"/>
            <w:bottom w:w="0" w:type="dxa"/>
            <w:right w:w="108" w:type="dxa"/>
          </w:tblCellMar>
        </w:tblPrEx>
        <w:trPr>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59B6178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tcBorders>
              <w:top w:val="single" w:color="auto" w:sz="4" w:space="0"/>
              <w:left w:val="single" w:color="auto" w:sz="4" w:space="0"/>
              <w:bottom w:val="single" w:color="auto" w:sz="4" w:space="0"/>
              <w:right w:val="single" w:color="auto" w:sz="4" w:space="0"/>
            </w:tcBorders>
            <w:noWrap w:val="0"/>
            <w:vAlign w:val="center"/>
          </w:tcPr>
          <w:p w14:paraId="69F868A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tcBorders>
              <w:top w:val="single" w:color="auto" w:sz="4" w:space="0"/>
              <w:left w:val="single" w:color="auto" w:sz="4" w:space="0"/>
              <w:bottom w:val="single" w:color="auto" w:sz="4" w:space="0"/>
              <w:right w:val="single" w:color="auto" w:sz="4" w:space="0"/>
            </w:tcBorders>
            <w:noWrap w:val="0"/>
            <w:vAlign w:val="center"/>
          </w:tcPr>
          <w:p w14:paraId="39C67B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47CB959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455FA094">
            <w:pPr>
              <w:keepNext w:val="0"/>
              <w:keepLines w:val="0"/>
              <w:pageBreakBefore w:val="0"/>
              <w:widowControl/>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城市公共服务管理</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69FAFAA0">
            <w:pPr>
              <w:keepNext w:val="0"/>
              <w:keepLines w:val="0"/>
              <w:pageBreakBefore w:val="0"/>
              <w:widowControl/>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提升城市公共服务保障水平</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6943B314">
            <w:pPr>
              <w:keepNext w:val="0"/>
              <w:keepLines w:val="0"/>
              <w:pageBreakBefore w:val="0"/>
              <w:widowControl/>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城市公共服务保障水平不断提升</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7211F9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8</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15CCCF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8</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E402D8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F7A00E4">
        <w:tblPrEx>
          <w:tblCellMar>
            <w:top w:w="0" w:type="dxa"/>
            <w:left w:w="108" w:type="dxa"/>
            <w:bottom w:w="0" w:type="dxa"/>
            <w:right w:w="108" w:type="dxa"/>
          </w:tblCellMar>
        </w:tblPrEx>
        <w:trPr>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1C4FFBE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tcBorders>
              <w:top w:val="single" w:color="auto" w:sz="4" w:space="0"/>
              <w:left w:val="single" w:color="auto" w:sz="4" w:space="0"/>
              <w:bottom w:val="single" w:color="auto" w:sz="4" w:space="0"/>
              <w:right w:val="single" w:color="auto" w:sz="4" w:space="0"/>
            </w:tcBorders>
            <w:noWrap w:val="0"/>
            <w:vAlign w:val="center"/>
          </w:tcPr>
          <w:p w14:paraId="535E878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tcBorders>
              <w:top w:val="single" w:color="auto" w:sz="4" w:space="0"/>
              <w:left w:val="single" w:color="auto" w:sz="4" w:space="0"/>
              <w:bottom w:val="single" w:color="auto" w:sz="4" w:space="0"/>
              <w:right w:val="single" w:color="auto" w:sz="4" w:space="0"/>
            </w:tcBorders>
            <w:noWrap w:val="0"/>
            <w:vAlign w:val="center"/>
          </w:tcPr>
          <w:p w14:paraId="1407E5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34F50AF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7CFEE0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改善城市生态环境</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47D81F0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积极应对恶劣天气造成的环境影响</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476891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有效降低了恶劣天气造成的环境影响</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607E6BC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7</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1F088F2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7</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2836C7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211E211">
        <w:tblPrEx>
          <w:tblCellMar>
            <w:top w:w="0" w:type="dxa"/>
            <w:left w:w="108" w:type="dxa"/>
            <w:bottom w:w="0" w:type="dxa"/>
            <w:right w:w="108" w:type="dxa"/>
          </w:tblCellMar>
        </w:tblPrEx>
        <w:trPr>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5B2724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78" w:type="dxa"/>
            <w:vMerge w:val="continue"/>
            <w:tcBorders>
              <w:top w:val="single" w:color="auto" w:sz="4" w:space="0"/>
              <w:left w:val="single" w:color="auto" w:sz="4" w:space="0"/>
              <w:bottom w:val="single" w:color="auto" w:sz="4" w:space="0"/>
              <w:right w:val="single" w:color="auto" w:sz="4" w:space="0"/>
            </w:tcBorders>
            <w:noWrap w:val="0"/>
            <w:vAlign w:val="center"/>
          </w:tcPr>
          <w:p w14:paraId="7EFDB32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vMerge w:val="restart"/>
            <w:tcBorders>
              <w:top w:val="single" w:color="auto" w:sz="4" w:space="0"/>
              <w:left w:val="single" w:color="auto" w:sz="4" w:space="0"/>
              <w:bottom w:val="single" w:color="auto" w:sz="4" w:space="0"/>
              <w:right w:val="single" w:color="auto" w:sz="4" w:space="0"/>
            </w:tcBorders>
            <w:noWrap w:val="0"/>
            <w:vAlign w:val="center"/>
          </w:tcPr>
          <w:p w14:paraId="71C6ABC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284B73C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城市排水管网维护</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6AED1D3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清理排水管网，保障城区排水畅通</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470C537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4条主涵管网得到及时清理</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630EEE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650CD0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CFB523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A4219AA">
        <w:tblPrEx>
          <w:tblCellMar>
            <w:top w:w="0" w:type="dxa"/>
            <w:left w:w="108" w:type="dxa"/>
            <w:bottom w:w="0" w:type="dxa"/>
            <w:right w:w="108" w:type="dxa"/>
          </w:tblCellMar>
        </w:tblPrEx>
        <w:trPr>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10D2A3F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tcBorders>
              <w:top w:val="single" w:color="auto" w:sz="4" w:space="0"/>
              <w:left w:val="single" w:color="auto" w:sz="4" w:space="0"/>
              <w:bottom w:val="single" w:color="auto" w:sz="4" w:space="0"/>
              <w:right w:val="single" w:color="auto" w:sz="4" w:space="0"/>
            </w:tcBorders>
            <w:noWrap w:val="0"/>
            <w:vAlign w:val="center"/>
          </w:tcPr>
          <w:p w14:paraId="077D4A7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1F98CB0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center"/>
          </w:tcPr>
          <w:p w14:paraId="26FF0A6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城市恶劣天气应对保障</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5E3C439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提升城区恶劣天气应对能力</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18543DB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城市防涝应对能力不断提升</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38B197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2B5794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CE66ADB">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城区尚存急需清理的管网，下一步争取相关部门支持，及时开展清淤工作。</w:t>
            </w:r>
          </w:p>
        </w:tc>
      </w:tr>
      <w:tr w14:paraId="567B4537">
        <w:tblPrEx>
          <w:tblCellMar>
            <w:top w:w="0" w:type="dxa"/>
            <w:left w:w="108" w:type="dxa"/>
            <w:bottom w:w="0" w:type="dxa"/>
            <w:right w:w="108" w:type="dxa"/>
          </w:tblCellMar>
        </w:tblPrEx>
        <w:trPr>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3D0ED21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14:paraId="48D88E0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71521E1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03629AA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7AD789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38FA27A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使用对象满意度</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54BF562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95%</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36D0CF1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96%</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04EFBD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0130DEB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364CB2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F16DD76">
        <w:tblPrEx>
          <w:tblCellMar>
            <w:top w:w="0" w:type="dxa"/>
            <w:left w:w="108" w:type="dxa"/>
            <w:bottom w:w="0" w:type="dxa"/>
            <w:right w:w="108" w:type="dxa"/>
          </w:tblCellMar>
        </w:tblPrEx>
        <w:trPr>
          <w:trHeight w:val="585" w:hRule="atLeast"/>
          <w:jc w:val="center"/>
        </w:trPr>
        <w:tc>
          <w:tcPr>
            <w:tcW w:w="6823" w:type="dxa"/>
            <w:gridSpan w:val="6"/>
            <w:tcBorders>
              <w:top w:val="single" w:color="auto" w:sz="4" w:space="0"/>
              <w:left w:val="single" w:color="auto" w:sz="4" w:space="0"/>
              <w:bottom w:val="single" w:color="auto" w:sz="4" w:space="0"/>
              <w:right w:val="single" w:color="auto" w:sz="4" w:space="0"/>
            </w:tcBorders>
            <w:noWrap w:val="0"/>
            <w:vAlign w:val="center"/>
          </w:tcPr>
          <w:p w14:paraId="3B59EF0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3F155F9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535FB64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6317A0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77FA3D73">
      <w:pPr>
        <w:keepNext w:val="0"/>
        <w:keepLines w:val="0"/>
        <w:pageBreakBefore w:val="0"/>
        <w:widowControl w:val="0"/>
        <w:kinsoku/>
        <w:wordWrap/>
        <w:overflowPunct/>
        <w:topLinePunct w:val="0"/>
        <w:autoSpaceDE/>
        <w:autoSpaceDN/>
        <w:bidi w:val="0"/>
        <w:adjustRightInd/>
        <w:snapToGrid/>
        <w:spacing w:afterLines="0" w:line="360" w:lineRule="auto"/>
        <w:ind w:right="0" w:rightChars="0"/>
        <w:jc w:val="both"/>
        <w:textAlignment w:val="auto"/>
        <w:rPr>
          <w:rFonts w:hint="eastAsia" w:ascii="仿宋_GB2312" w:hAnsi="仿宋_GB2312" w:eastAsia="仿宋_GB2312" w:cs="仿宋_GB2312"/>
          <w:sz w:val="22"/>
          <w:szCs w:val="22"/>
          <w:highlight w:val="none"/>
        </w:rPr>
      </w:pPr>
    </w:p>
    <w:p w14:paraId="11A79ADA">
      <w:pPr>
        <w:keepNext w:val="0"/>
        <w:keepLines w:val="0"/>
        <w:pageBreakBefore w:val="0"/>
        <w:widowControl w:val="0"/>
        <w:kinsoku/>
        <w:wordWrap/>
        <w:overflowPunct/>
        <w:topLinePunct w:val="0"/>
        <w:autoSpaceDE/>
        <w:autoSpaceDN/>
        <w:bidi w:val="0"/>
        <w:adjustRightInd/>
        <w:snapToGrid/>
        <w:spacing w:afterLines="0" w:line="360" w:lineRule="auto"/>
        <w:ind w:right="0" w:rightChars="0"/>
        <w:jc w:val="both"/>
        <w:textAlignment w:val="auto"/>
        <w:rPr>
          <w:rFonts w:hint="eastAsia" w:ascii="宋体" w:hAnsi="宋体" w:eastAsia="宋体" w:cs="宋体"/>
          <w:b/>
          <w:bCs/>
          <w:color w:val="000000" w:themeColor="text1"/>
          <w:spacing w:val="2"/>
          <w:sz w:val="44"/>
          <w:szCs w:val="44"/>
          <w:lang w:val="en-US" w:eastAsia="zh-CN"/>
          <w14:textFill>
            <w14:solidFill>
              <w14:schemeClr w14:val="tx1"/>
            </w14:solidFill>
          </w14:textFill>
        </w:rPr>
        <w:sectPr>
          <w:footerReference r:id="rId5" w:type="default"/>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2"/>
          <w:szCs w:val="22"/>
          <w:highlight w:val="none"/>
        </w:rPr>
        <w:t>填表人：</w:t>
      </w:r>
      <w:r>
        <w:rPr>
          <w:rFonts w:hint="eastAsia" w:ascii="仿宋_GB2312" w:hAnsi="仿宋_GB2312" w:eastAsia="仿宋_GB2312" w:cs="仿宋_GB2312"/>
          <w:color w:val="000000" w:themeColor="text1"/>
          <w:spacing w:val="0"/>
          <w:sz w:val="22"/>
          <w:szCs w:val="22"/>
          <w:lang w:eastAsia="zh-CN"/>
          <w14:textFill>
            <w14:solidFill>
              <w14:schemeClr w14:val="tx1"/>
            </w14:solidFill>
          </w14:textFill>
        </w:rPr>
        <w:t>刘</w:t>
      </w:r>
      <w:r>
        <w:rPr>
          <w:rFonts w:hint="eastAsia" w:ascii="仿宋_GB2312" w:hAnsi="仿宋_GB2312" w:eastAsia="仿宋_GB2312" w:cs="仿宋_GB2312"/>
          <w:color w:val="000000" w:themeColor="text1"/>
          <w:spacing w:val="0"/>
          <w:sz w:val="22"/>
          <w:szCs w:val="2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sz w:val="22"/>
          <w:szCs w:val="22"/>
          <w:lang w:eastAsia="zh-CN"/>
          <w14:textFill>
            <w14:solidFill>
              <w14:schemeClr w14:val="tx1"/>
            </w14:solidFill>
          </w14:textFill>
        </w:rPr>
        <w:t>蓓</w:t>
      </w:r>
      <w:r>
        <w:rPr>
          <w:rFonts w:hint="eastAsia" w:ascii="仿宋_GB2312" w:hAnsi="仿宋_GB2312" w:eastAsia="仿宋_GB2312" w:cs="仿宋_GB2312"/>
          <w:sz w:val="22"/>
          <w:szCs w:val="22"/>
          <w:highlight w:val="none"/>
        </w:rPr>
        <w:t xml:space="preserve">  填报日期：</w:t>
      </w:r>
      <w:r>
        <w:rPr>
          <w:rFonts w:hint="eastAsia" w:ascii="仿宋_GB2312" w:hAnsi="仿宋_GB2312" w:eastAsia="仿宋_GB2312" w:cs="仿宋_GB2312"/>
          <w:sz w:val="22"/>
          <w:szCs w:val="22"/>
          <w:highlight w:val="none"/>
          <w:lang w:val="en-US" w:eastAsia="zh-CN"/>
        </w:rPr>
        <w:t xml:space="preserve">2026.6.20 </w:t>
      </w:r>
      <w:r>
        <w:rPr>
          <w:rFonts w:hint="eastAsia" w:ascii="仿宋_GB2312" w:hAnsi="仿宋_GB2312" w:eastAsia="仿宋_GB2312" w:cs="仿宋_GB2312"/>
          <w:sz w:val="22"/>
          <w:szCs w:val="22"/>
          <w:highlight w:val="none"/>
        </w:rPr>
        <w:t xml:space="preserve"> 联系电话：</w:t>
      </w:r>
      <w:r>
        <w:rPr>
          <w:rFonts w:hint="eastAsia" w:ascii="仿宋_GB2312" w:hAnsi="仿宋_GB2312" w:eastAsia="仿宋_GB2312" w:cs="仿宋_GB2312"/>
          <w:sz w:val="22"/>
          <w:szCs w:val="22"/>
          <w:highlight w:val="none"/>
          <w:lang w:val="en-US" w:eastAsia="zh-CN"/>
        </w:rPr>
        <w:t>0730-</w:t>
      </w:r>
      <w:r>
        <w:rPr>
          <w:rFonts w:hint="eastAsia" w:ascii="仿宋_GB2312" w:hAnsi="仿宋_GB2312" w:eastAsia="仿宋_GB2312" w:cs="仿宋_GB2312"/>
          <w:color w:val="000000" w:themeColor="text1"/>
          <w:spacing w:val="0"/>
          <w:sz w:val="22"/>
          <w:szCs w:val="22"/>
          <w:lang w:val="en-US" w:eastAsia="zh-CN"/>
          <w14:textFill>
            <w14:solidFill>
              <w14:schemeClr w14:val="tx1"/>
            </w14:solidFill>
          </w14:textFill>
        </w:rPr>
        <w:t>822281</w:t>
      </w:r>
      <w:r>
        <w:rPr>
          <w:rFonts w:hint="eastAsia" w:ascii="仿宋_GB2312" w:hAnsi="仿宋_GB2312" w:eastAsia="仿宋_GB2312" w:cs="仿宋_GB2312"/>
          <w:sz w:val="22"/>
          <w:szCs w:val="22"/>
          <w:highlight w:val="none"/>
          <w:lang w:val="en-US" w:eastAsia="zh-CN"/>
        </w:rPr>
        <w:t xml:space="preserve">  </w:t>
      </w:r>
      <w:r>
        <w:rPr>
          <w:rFonts w:hint="eastAsia" w:ascii="仿宋_GB2312" w:hAnsi="仿宋_GB2312" w:eastAsia="仿宋_GB2312" w:cs="仿宋_GB2312"/>
          <w:sz w:val="22"/>
          <w:szCs w:val="22"/>
          <w:highlight w:val="none"/>
        </w:rPr>
        <w:t xml:space="preserve"> 单位负责人：</w:t>
      </w:r>
      <w:r>
        <w:rPr>
          <w:rFonts w:hint="eastAsia" w:ascii="仿宋_GB2312" w:hAnsi="仿宋_GB2312" w:eastAsia="仿宋_GB2312" w:cs="仿宋_GB2312"/>
          <w:sz w:val="22"/>
          <w:szCs w:val="22"/>
          <w:highlight w:val="none"/>
          <w:lang w:eastAsia="zh-CN"/>
        </w:rPr>
        <w:t>郑</w:t>
      </w:r>
      <w:r>
        <w:rPr>
          <w:rFonts w:hint="eastAsia" w:ascii="仿宋_GB2312" w:hAnsi="仿宋_GB2312" w:eastAsia="仿宋_GB2312" w:cs="仿宋_GB2312"/>
          <w:sz w:val="22"/>
          <w:szCs w:val="22"/>
          <w:highlight w:val="none"/>
          <w:lang w:val="en-US" w:eastAsia="zh-CN"/>
        </w:rPr>
        <w:t xml:space="preserve">  伟</w:t>
      </w:r>
    </w:p>
    <w:p w14:paraId="0B6D603C">
      <w:pPr>
        <w:widowControl/>
        <w:spacing w:line="600" w:lineRule="exact"/>
        <w:jc w:val="left"/>
        <w:rPr>
          <w:rFonts w:hint="default" w:ascii="Times New Roman" w:hAnsi="Times New Roman" w:eastAsia="黑体" w:cs="Times New Roman"/>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1-7</w:t>
      </w:r>
    </w:p>
    <w:p w14:paraId="58504E28">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p w14:paraId="103B92CA">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p>
    <w:tbl>
      <w:tblPr>
        <w:tblStyle w:val="10"/>
        <w:tblW w:w="9851" w:type="dxa"/>
        <w:jc w:val="center"/>
        <w:tblLayout w:type="fixed"/>
        <w:tblCellMar>
          <w:top w:w="0" w:type="dxa"/>
          <w:left w:w="108" w:type="dxa"/>
          <w:bottom w:w="0" w:type="dxa"/>
          <w:right w:w="108" w:type="dxa"/>
        </w:tblCellMar>
      </w:tblPr>
      <w:tblGrid>
        <w:gridCol w:w="1033"/>
        <w:gridCol w:w="1047"/>
        <w:gridCol w:w="1021"/>
        <w:gridCol w:w="1549"/>
        <w:gridCol w:w="1087"/>
        <w:gridCol w:w="1184"/>
        <w:gridCol w:w="699"/>
        <w:gridCol w:w="689"/>
        <w:gridCol w:w="1542"/>
      </w:tblGrid>
      <w:tr w14:paraId="501779DB">
        <w:tblPrEx>
          <w:tblCellMar>
            <w:top w:w="0" w:type="dxa"/>
            <w:left w:w="108" w:type="dxa"/>
            <w:bottom w:w="0" w:type="dxa"/>
            <w:right w:w="108" w:type="dxa"/>
          </w:tblCellMar>
        </w:tblPrEx>
        <w:trPr>
          <w:jc w:val="center"/>
        </w:trPr>
        <w:tc>
          <w:tcPr>
            <w:tcW w:w="1033" w:type="dxa"/>
            <w:tcBorders>
              <w:top w:val="single" w:color="auto" w:sz="4" w:space="0"/>
              <w:left w:val="single" w:color="auto" w:sz="4" w:space="0"/>
              <w:bottom w:val="single" w:color="auto" w:sz="4" w:space="0"/>
              <w:right w:val="single" w:color="auto" w:sz="4" w:space="0"/>
            </w:tcBorders>
            <w:noWrap w:val="0"/>
            <w:vAlign w:val="center"/>
          </w:tcPr>
          <w:p w14:paraId="3A6D9D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55EF2C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818" w:type="dxa"/>
            <w:gridSpan w:val="8"/>
            <w:tcBorders>
              <w:top w:val="single" w:color="auto" w:sz="4" w:space="0"/>
              <w:left w:val="single" w:color="auto" w:sz="4" w:space="0"/>
              <w:bottom w:val="single" w:color="auto" w:sz="4" w:space="0"/>
              <w:right w:val="single" w:color="auto" w:sz="4" w:space="0"/>
            </w:tcBorders>
            <w:noWrap w:val="0"/>
            <w:vAlign w:val="center"/>
          </w:tcPr>
          <w:p w14:paraId="0DD60A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非税执收经费</w:t>
            </w:r>
          </w:p>
        </w:tc>
      </w:tr>
      <w:tr w14:paraId="449D62F1">
        <w:tblPrEx>
          <w:tblCellMar>
            <w:top w:w="0" w:type="dxa"/>
            <w:left w:w="108" w:type="dxa"/>
            <w:bottom w:w="0" w:type="dxa"/>
            <w:right w:w="108" w:type="dxa"/>
          </w:tblCellMar>
        </w:tblPrEx>
        <w:trPr>
          <w:trHeight w:val="400" w:hRule="atLeast"/>
          <w:jc w:val="center"/>
        </w:trPr>
        <w:tc>
          <w:tcPr>
            <w:tcW w:w="1033" w:type="dxa"/>
            <w:tcBorders>
              <w:top w:val="single" w:color="auto" w:sz="4" w:space="0"/>
              <w:left w:val="single" w:color="auto" w:sz="4" w:space="0"/>
              <w:bottom w:val="single" w:color="auto" w:sz="4" w:space="0"/>
              <w:right w:val="single" w:color="auto" w:sz="4" w:space="0"/>
            </w:tcBorders>
            <w:noWrap w:val="0"/>
            <w:vAlign w:val="center"/>
          </w:tcPr>
          <w:p w14:paraId="77723B5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704" w:type="dxa"/>
            <w:gridSpan w:val="4"/>
            <w:tcBorders>
              <w:top w:val="single" w:color="auto" w:sz="4" w:space="0"/>
              <w:left w:val="single" w:color="auto" w:sz="4" w:space="0"/>
              <w:bottom w:val="single" w:color="auto" w:sz="4" w:space="0"/>
              <w:right w:val="single" w:color="auto" w:sz="4" w:space="0"/>
            </w:tcBorders>
            <w:noWrap w:val="0"/>
            <w:vAlign w:val="center"/>
          </w:tcPr>
          <w:p w14:paraId="426C1FF7">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lang w:eastAsia="zh-CN"/>
                <w14:textFill>
                  <w14:solidFill>
                    <w14:schemeClr w14:val="tx1"/>
                  </w14:solidFill>
                </w14:textFill>
              </w:rPr>
              <w:t>岳阳市城市管理和综合执法局</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58575A8">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14:textFill>
                  <w14:solidFill>
                    <w14:schemeClr w14:val="tx1"/>
                  </w14:solidFill>
                </w14:textFill>
              </w:rPr>
              <w:t>实施单位</w:t>
            </w:r>
          </w:p>
        </w:tc>
        <w:tc>
          <w:tcPr>
            <w:tcW w:w="2930" w:type="dxa"/>
            <w:gridSpan w:val="3"/>
            <w:tcBorders>
              <w:top w:val="single" w:color="auto" w:sz="4" w:space="0"/>
              <w:left w:val="single" w:color="auto" w:sz="4" w:space="0"/>
              <w:bottom w:val="single" w:color="auto" w:sz="4" w:space="0"/>
              <w:right w:val="single" w:color="auto" w:sz="4" w:space="0"/>
            </w:tcBorders>
            <w:noWrap w:val="0"/>
            <w:vAlign w:val="center"/>
          </w:tcPr>
          <w:p w14:paraId="73CCAD3D">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hAnsi="仿宋_GB2312" w:eastAsia="仿宋_GB2312" w:cs="仿宋_GB2312"/>
                <w:color w:val="000000" w:themeColor="text1"/>
                <w:spacing w:val="0"/>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0"/>
                <w:szCs w:val="20"/>
                <w:lang w:eastAsia="zh-CN"/>
                <w14:textFill>
                  <w14:solidFill>
                    <w14:schemeClr w14:val="tx1"/>
                  </w14:solidFill>
                </w14:textFill>
              </w:rPr>
              <w:t>岳阳市市政维护管理中心</w:t>
            </w:r>
          </w:p>
        </w:tc>
      </w:tr>
      <w:tr w14:paraId="52F9B4D0">
        <w:tblPrEx>
          <w:tblCellMar>
            <w:top w:w="0" w:type="dxa"/>
            <w:left w:w="108" w:type="dxa"/>
            <w:bottom w:w="0" w:type="dxa"/>
            <w:right w:w="108" w:type="dxa"/>
          </w:tblCellMar>
        </w:tblPrEx>
        <w:trPr>
          <w:jc w:val="center"/>
        </w:trPr>
        <w:tc>
          <w:tcPr>
            <w:tcW w:w="1033" w:type="dxa"/>
            <w:vMerge w:val="restart"/>
            <w:tcBorders>
              <w:top w:val="single" w:color="auto" w:sz="4" w:space="0"/>
              <w:left w:val="single" w:color="auto" w:sz="4" w:space="0"/>
              <w:bottom w:val="single" w:color="auto" w:sz="4" w:space="0"/>
              <w:right w:val="single" w:color="auto" w:sz="4" w:space="0"/>
            </w:tcBorders>
            <w:noWrap w:val="0"/>
            <w:vAlign w:val="center"/>
          </w:tcPr>
          <w:p w14:paraId="758AF4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068" w:type="dxa"/>
            <w:gridSpan w:val="2"/>
            <w:tcBorders>
              <w:top w:val="single" w:color="auto" w:sz="4" w:space="0"/>
              <w:left w:val="single" w:color="auto" w:sz="4" w:space="0"/>
              <w:bottom w:val="single" w:color="auto" w:sz="4" w:space="0"/>
              <w:right w:val="single" w:color="auto" w:sz="4" w:space="0"/>
            </w:tcBorders>
            <w:noWrap w:val="0"/>
            <w:vAlign w:val="center"/>
          </w:tcPr>
          <w:p w14:paraId="1987ED6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549" w:type="dxa"/>
            <w:tcBorders>
              <w:top w:val="single" w:color="auto" w:sz="4" w:space="0"/>
              <w:left w:val="single" w:color="auto" w:sz="4" w:space="0"/>
              <w:bottom w:val="single" w:color="auto" w:sz="4" w:space="0"/>
              <w:right w:val="single" w:color="auto" w:sz="4" w:space="0"/>
            </w:tcBorders>
            <w:noWrap w:val="0"/>
            <w:vAlign w:val="center"/>
          </w:tcPr>
          <w:p w14:paraId="029222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0F856E7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5552CC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6244A4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37B1C9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3F15A2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2C6B66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219EEEE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2217A6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1EB76CA1">
        <w:tblPrEx>
          <w:tblCellMar>
            <w:top w:w="0" w:type="dxa"/>
            <w:left w:w="108" w:type="dxa"/>
            <w:bottom w:w="0" w:type="dxa"/>
            <w:right w:w="108" w:type="dxa"/>
          </w:tblCellMar>
        </w:tblPrEx>
        <w:trPr>
          <w:trHeight w:val="400" w:hRule="atLeast"/>
          <w:jc w:val="center"/>
        </w:trPr>
        <w:tc>
          <w:tcPr>
            <w:tcW w:w="1033" w:type="dxa"/>
            <w:vMerge w:val="continue"/>
            <w:tcBorders>
              <w:top w:val="single" w:color="auto" w:sz="4" w:space="0"/>
              <w:left w:val="single" w:color="auto" w:sz="4" w:space="0"/>
              <w:bottom w:val="single" w:color="auto" w:sz="4" w:space="0"/>
              <w:right w:val="single" w:color="auto" w:sz="4" w:space="0"/>
            </w:tcBorders>
            <w:noWrap w:val="0"/>
            <w:vAlign w:val="center"/>
          </w:tcPr>
          <w:p w14:paraId="0A1E71D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068" w:type="dxa"/>
            <w:gridSpan w:val="2"/>
            <w:tcBorders>
              <w:top w:val="single" w:color="auto" w:sz="4" w:space="0"/>
              <w:left w:val="single" w:color="auto" w:sz="4" w:space="0"/>
              <w:bottom w:val="single" w:color="auto" w:sz="4" w:space="0"/>
              <w:right w:val="single" w:color="auto" w:sz="4" w:space="0"/>
            </w:tcBorders>
            <w:noWrap w:val="0"/>
            <w:vAlign w:val="center"/>
          </w:tcPr>
          <w:p w14:paraId="5B604C4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549" w:type="dxa"/>
            <w:tcBorders>
              <w:top w:val="single" w:color="auto" w:sz="4" w:space="0"/>
              <w:left w:val="single" w:color="auto" w:sz="4" w:space="0"/>
              <w:bottom w:val="single" w:color="auto" w:sz="4" w:space="0"/>
              <w:right w:val="single" w:color="auto" w:sz="4" w:space="0"/>
            </w:tcBorders>
            <w:noWrap w:val="0"/>
            <w:vAlign w:val="center"/>
          </w:tcPr>
          <w:p w14:paraId="41CFFBD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2.10</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45E89EB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11.98</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F9A8FE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11.98</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5FF7069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10</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4C42010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66CA29E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r>
      <w:tr w14:paraId="745891A8">
        <w:tblPrEx>
          <w:tblCellMar>
            <w:top w:w="0" w:type="dxa"/>
            <w:left w:w="108" w:type="dxa"/>
            <w:bottom w:w="0" w:type="dxa"/>
            <w:right w:w="108" w:type="dxa"/>
          </w:tblCellMar>
        </w:tblPrEx>
        <w:trPr>
          <w:trHeight w:val="370" w:hRule="atLeast"/>
          <w:jc w:val="center"/>
        </w:trPr>
        <w:tc>
          <w:tcPr>
            <w:tcW w:w="1033" w:type="dxa"/>
            <w:vMerge w:val="continue"/>
            <w:tcBorders>
              <w:top w:val="single" w:color="auto" w:sz="4" w:space="0"/>
              <w:left w:val="single" w:color="auto" w:sz="4" w:space="0"/>
              <w:bottom w:val="single" w:color="auto" w:sz="4" w:space="0"/>
              <w:right w:val="single" w:color="auto" w:sz="4" w:space="0"/>
            </w:tcBorders>
            <w:noWrap w:val="0"/>
            <w:vAlign w:val="center"/>
          </w:tcPr>
          <w:p w14:paraId="656669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068" w:type="dxa"/>
            <w:gridSpan w:val="2"/>
            <w:tcBorders>
              <w:top w:val="single" w:color="auto" w:sz="4" w:space="0"/>
              <w:left w:val="single" w:color="auto" w:sz="4" w:space="0"/>
              <w:bottom w:val="single" w:color="auto" w:sz="4" w:space="0"/>
              <w:right w:val="single" w:color="auto" w:sz="4" w:space="0"/>
            </w:tcBorders>
            <w:noWrap w:val="0"/>
            <w:vAlign w:val="center"/>
          </w:tcPr>
          <w:p w14:paraId="3012814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549" w:type="dxa"/>
            <w:tcBorders>
              <w:top w:val="single" w:color="auto" w:sz="4" w:space="0"/>
              <w:left w:val="single" w:color="auto" w:sz="4" w:space="0"/>
              <w:bottom w:val="single" w:color="auto" w:sz="4" w:space="0"/>
              <w:right w:val="single" w:color="auto" w:sz="4" w:space="0"/>
            </w:tcBorders>
            <w:noWrap w:val="0"/>
            <w:vAlign w:val="center"/>
          </w:tcPr>
          <w:p w14:paraId="30AE9A3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2.10</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1DB4B3C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11.98</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7EA2EBB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11.98</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275194D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7754C25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1306AEF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71066DE">
        <w:tblPrEx>
          <w:tblCellMar>
            <w:top w:w="0" w:type="dxa"/>
            <w:left w:w="108" w:type="dxa"/>
            <w:bottom w:w="0" w:type="dxa"/>
            <w:right w:w="108" w:type="dxa"/>
          </w:tblCellMar>
        </w:tblPrEx>
        <w:trPr>
          <w:trHeight w:val="355" w:hRule="atLeast"/>
          <w:jc w:val="center"/>
        </w:trPr>
        <w:tc>
          <w:tcPr>
            <w:tcW w:w="1033" w:type="dxa"/>
            <w:vMerge w:val="continue"/>
            <w:tcBorders>
              <w:top w:val="single" w:color="auto" w:sz="4" w:space="0"/>
              <w:left w:val="single" w:color="auto" w:sz="4" w:space="0"/>
              <w:bottom w:val="single" w:color="auto" w:sz="4" w:space="0"/>
              <w:right w:val="single" w:color="auto" w:sz="4" w:space="0"/>
            </w:tcBorders>
            <w:noWrap w:val="0"/>
            <w:vAlign w:val="center"/>
          </w:tcPr>
          <w:p w14:paraId="18CEA58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068" w:type="dxa"/>
            <w:gridSpan w:val="2"/>
            <w:tcBorders>
              <w:top w:val="single" w:color="auto" w:sz="4" w:space="0"/>
              <w:left w:val="single" w:color="auto" w:sz="4" w:space="0"/>
              <w:bottom w:val="single" w:color="auto" w:sz="4" w:space="0"/>
              <w:right w:val="single" w:color="auto" w:sz="4" w:space="0"/>
            </w:tcBorders>
            <w:noWrap w:val="0"/>
            <w:vAlign w:val="center"/>
          </w:tcPr>
          <w:p w14:paraId="44310F8C">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549" w:type="dxa"/>
            <w:tcBorders>
              <w:top w:val="single" w:color="auto" w:sz="4" w:space="0"/>
              <w:left w:val="single" w:color="auto" w:sz="4" w:space="0"/>
              <w:bottom w:val="single" w:color="auto" w:sz="4" w:space="0"/>
              <w:right w:val="single" w:color="auto" w:sz="4" w:space="0"/>
            </w:tcBorders>
            <w:noWrap w:val="0"/>
            <w:vAlign w:val="center"/>
          </w:tcPr>
          <w:p w14:paraId="4C31192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p>
        </w:tc>
        <w:tc>
          <w:tcPr>
            <w:tcW w:w="1087" w:type="dxa"/>
            <w:tcBorders>
              <w:top w:val="single" w:color="auto" w:sz="4" w:space="0"/>
              <w:left w:val="single" w:color="auto" w:sz="4" w:space="0"/>
              <w:bottom w:val="single" w:color="auto" w:sz="4" w:space="0"/>
              <w:right w:val="single" w:color="auto" w:sz="4" w:space="0"/>
            </w:tcBorders>
            <w:noWrap w:val="0"/>
            <w:vAlign w:val="center"/>
          </w:tcPr>
          <w:p w14:paraId="67FE393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5B4C71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p>
        </w:tc>
        <w:tc>
          <w:tcPr>
            <w:tcW w:w="699" w:type="dxa"/>
            <w:tcBorders>
              <w:top w:val="single" w:color="auto" w:sz="4" w:space="0"/>
              <w:left w:val="single" w:color="auto" w:sz="4" w:space="0"/>
              <w:bottom w:val="single" w:color="auto" w:sz="4" w:space="0"/>
              <w:right w:val="single" w:color="auto" w:sz="4" w:space="0"/>
            </w:tcBorders>
            <w:noWrap w:val="0"/>
            <w:vAlign w:val="center"/>
          </w:tcPr>
          <w:p w14:paraId="66DA40D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5CC7CF5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4485262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AC62FCF">
        <w:tblPrEx>
          <w:tblCellMar>
            <w:top w:w="0" w:type="dxa"/>
            <w:left w:w="108" w:type="dxa"/>
            <w:bottom w:w="0" w:type="dxa"/>
            <w:right w:w="108" w:type="dxa"/>
          </w:tblCellMar>
        </w:tblPrEx>
        <w:trPr>
          <w:trHeight w:val="385" w:hRule="atLeast"/>
          <w:jc w:val="center"/>
        </w:trPr>
        <w:tc>
          <w:tcPr>
            <w:tcW w:w="1033" w:type="dxa"/>
            <w:vMerge w:val="continue"/>
            <w:tcBorders>
              <w:top w:val="single" w:color="auto" w:sz="4" w:space="0"/>
              <w:left w:val="single" w:color="auto" w:sz="4" w:space="0"/>
              <w:bottom w:val="single" w:color="auto" w:sz="4" w:space="0"/>
              <w:right w:val="single" w:color="auto" w:sz="4" w:space="0"/>
            </w:tcBorders>
            <w:noWrap w:val="0"/>
            <w:vAlign w:val="center"/>
          </w:tcPr>
          <w:p w14:paraId="0AF1A58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068" w:type="dxa"/>
            <w:gridSpan w:val="2"/>
            <w:tcBorders>
              <w:top w:val="single" w:color="auto" w:sz="4" w:space="0"/>
              <w:left w:val="single" w:color="auto" w:sz="4" w:space="0"/>
              <w:bottom w:val="single" w:color="auto" w:sz="4" w:space="0"/>
              <w:right w:val="single" w:color="auto" w:sz="4" w:space="0"/>
            </w:tcBorders>
            <w:noWrap w:val="0"/>
            <w:vAlign w:val="center"/>
          </w:tcPr>
          <w:p w14:paraId="4BF2FD13">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549" w:type="dxa"/>
            <w:tcBorders>
              <w:top w:val="single" w:color="auto" w:sz="4" w:space="0"/>
              <w:left w:val="single" w:color="auto" w:sz="4" w:space="0"/>
              <w:bottom w:val="single" w:color="auto" w:sz="4" w:space="0"/>
              <w:right w:val="single" w:color="auto" w:sz="4" w:space="0"/>
            </w:tcBorders>
            <w:noWrap w:val="0"/>
            <w:vAlign w:val="center"/>
          </w:tcPr>
          <w:p w14:paraId="19B10F6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0BCE53E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44EFE3A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7F4F882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2F87A78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2601636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39B455A">
        <w:tblPrEx>
          <w:tblCellMar>
            <w:top w:w="0" w:type="dxa"/>
            <w:left w:w="108" w:type="dxa"/>
            <w:bottom w:w="0" w:type="dxa"/>
            <w:right w:w="108" w:type="dxa"/>
          </w:tblCellMar>
        </w:tblPrEx>
        <w:trPr>
          <w:trHeight w:val="415" w:hRule="atLeast"/>
          <w:jc w:val="center"/>
        </w:trPr>
        <w:tc>
          <w:tcPr>
            <w:tcW w:w="1033" w:type="dxa"/>
            <w:vMerge w:val="restart"/>
            <w:tcBorders>
              <w:top w:val="single" w:color="auto" w:sz="4" w:space="0"/>
              <w:left w:val="single" w:color="auto" w:sz="4" w:space="0"/>
              <w:bottom w:val="single" w:color="auto" w:sz="4" w:space="0"/>
              <w:right w:val="single" w:color="auto" w:sz="4" w:space="0"/>
            </w:tcBorders>
            <w:noWrap w:val="0"/>
            <w:vAlign w:val="center"/>
          </w:tcPr>
          <w:p w14:paraId="7FE177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704" w:type="dxa"/>
            <w:gridSpan w:val="4"/>
            <w:tcBorders>
              <w:top w:val="single" w:color="auto" w:sz="4" w:space="0"/>
              <w:left w:val="single" w:color="auto" w:sz="4" w:space="0"/>
              <w:bottom w:val="single" w:color="auto" w:sz="4" w:space="0"/>
              <w:right w:val="single" w:color="auto" w:sz="4" w:space="0"/>
            </w:tcBorders>
            <w:noWrap w:val="0"/>
            <w:vAlign w:val="center"/>
          </w:tcPr>
          <w:p w14:paraId="624478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114" w:type="dxa"/>
            <w:gridSpan w:val="4"/>
            <w:tcBorders>
              <w:top w:val="single" w:color="auto" w:sz="4" w:space="0"/>
              <w:left w:val="single" w:color="auto" w:sz="4" w:space="0"/>
              <w:bottom w:val="single" w:color="auto" w:sz="4" w:space="0"/>
              <w:right w:val="single" w:color="auto" w:sz="4" w:space="0"/>
            </w:tcBorders>
            <w:noWrap w:val="0"/>
            <w:vAlign w:val="center"/>
          </w:tcPr>
          <w:p w14:paraId="24E269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2772732E">
        <w:tblPrEx>
          <w:tblCellMar>
            <w:top w:w="0" w:type="dxa"/>
            <w:left w:w="108" w:type="dxa"/>
            <w:bottom w:w="0" w:type="dxa"/>
            <w:right w:w="108" w:type="dxa"/>
          </w:tblCellMar>
        </w:tblPrEx>
        <w:trPr>
          <w:trHeight w:val="815" w:hRule="atLeast"/>
          <w:jc w:val="center"/>
        </w:trPr>
        <w:tc>
          <w:tcPr>
            <w:tcW w:w="1033" w:type="dxa"/>
            <w:vMerge w:val="continue"/>
            <w:tcBorders>
              <w:top w:val="single" w:color="auto" w:sz="4" w:space="0"/>
              <w:left w:val="single" w:color="auto" w:sz="4" w:space="0"/>
              <w:bottom w:val="single" w:color="auto" w:sz="4" w:space="0"/>
              <w:right w:val="single" w:color="auto" w:sz="4" w:space="0"/>
            </w:tcBorders>
            <w:noWrap w:val="0"/>
            <w:vAlign w:val="center"/>
          </w:tcPr>
          <w:p w14:paraId="4EFFD1C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4704" w:type="dxa"/>
            <w:gridSpan w:val="4"/>
            <w:tcBorders>
              <w:top w:val="single" w:color="auto" w:sz="4" w:space="0"/>
              <w:left w:val="single" w:color="auto" w:sz="4" w:space="0"/>
              <w:bottom w:val="single" w:color="auto" w:sz="4" w:space="0"/>
              <w:right w:val="single" w:color="auto" w:sz="4" w:space="0"/>
            </w:tcBorders>
            <w:noWrap w:val="0"/>
            <w:vAlign w:val="center"/>
          </w:tcPr>
          <w:p w14:paraId="72DE91E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pacing w:val="0"/>
                <w:sz w:val="20"/>
                <w:szCs w:val="20"/>
                <w:lang w:val="en-US" w:eastAsia="zh-CN"/>
              </w:rPr>
              <w:t xml:space="preserve">   对损坏市政设施的相关单位，按规定足额收取赔偿修复费用，及时完成市政设施维护相关工作。</w:t>
            </w:r>
            <w:r>
              <w:rPr>
                <w:rFonts w:hint="eastAsia" w:ascii="仿宋_GB2312" w:hAnsi="仿宋_GB2312" w:eastAsia="仿宋_GB2312" w:cs="仿宋_GB2312"/>
                <w:color w:val="auto"/>
                <w:sz w:val="20"/>
                <w:szCs w:val="20"/>
                <w:highlight w:val="none"/>
              </w:rPr>
              <w:t>　</w:t>
            </w:r>
          </w:p>
        </w:tc>
        <w:tc>
          <w:tcPr>
            <w:tcW w:w="4114" w:type="dxa"/>
            <w:gridSpan w:val="4"/>
            <w:tcBorders>
              <w:top w:val="single" w:color="auto" w:sz="4" w:space="0"/>
              <w:left w:val="single" w:color="auto" w:sz="4" w:space="0"/>
              <w:bottom w:val="single" w:color="auto" w:sz="4" w:space="0"/>
              <w:right w:val="single" w:color="auto" w:sz="4" w:space="0"/>
            </w:tcBorders>
            <w:noWrap w:val="0"/>
            <w:vAlign w:val="center"/>
          </w:tcPr>
          <w:p w14:paraId="16673E4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auto"/>
                <w:spacing w:val="0"/>
                <w:sz w:val="20"/>
                <w:szCs w:val="20"/>
                <w:lang w:val="en-US" w:eastAsia="zh-CN"/>
              </w:rPr>
              <w:t>对损坏市政设施的相关单位，按规定足额收取了赔偿修复费用，并及时完成了市政设施维护相关工作。</w:t>
            </w:r>
          </w:p>
        </w:tc>
      </w:tr>
      <w:tr w14:paraId="08ED4AFB">
        <w:tblPrEx>
          <w:tblCellMar>
            <w:top w:w="0" w:type="dxa"/>
            <w:left w:w="108" w:type="dxa"/>
            <w:bottom w:w="0" w:type="dxa"/>
            <w:right w:w="108" w:type="dxa"/>
          </w:tblCellMar>
        </w:tblPrEx>
        <w:trPr>
          <w:trHeight w:val="690" w:hRule="atLeast"/>
          <w:jc w:val="center"/>
        </w:trPr>
        <w:tc>
          <w:tcPr>
            <w:tcW w:w="1033" w:type="dxa"/>
            <w:vMerge w:val="restart"/>
            <w:tcBorders>
              <w:top w:val="single" w:color="auto" w:sz="4" w:space="0"/>
              <w:left w:val="single" w:color="auto" w:sz="4" w:space="0"/>
              <w:bottom w:val="single" w:color="auto" w:sz="4" w:space="0"/>
              <w:right w:val="single" w:color="auto" w:sz="4" w:space="0"/>
            </w:tcBorders>
            <w:noWrap w:val="0"/>
            <w:vAlign w:val="center"/>
          </w:tcPr>
          <w:p w14:paraId="7CC66F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71A5A2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74772F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014528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9E8CF6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一级指标</w:t>
            </w:r>
          </w:p>
        </w:tc>
        <w:tc>
          <w:tcPr>
            <w:tcW w:w="1021" w:type="dxa"/>
            <w:tcBorders>
              <w:top w:val="single" w:color="auto" w:sz="4" w:space="0"/>
              <w:left w:val="single" w:color="auto" w:sz="4" w:space="0"/>
              <w:bottom w:val="single" w:color="auto" w:sz="4" w:space="0"/>
              <w:right w:val="single" w:color="auto" w:sz="4" w:space="0"/>
            </w:tcBorders>
            <w:noWrap w:val="0"/>
            <w:vAlign w:val="center"/>
          </w:tcPr>
          <w:p w14:paraId="7801C4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二级指标</w:t>
            </w:r>
          </w:p>
        </w:tc>
        <w:tc>
          <w:tcPr>
            <w:tcW w:w="1549" w:type="dxa"/>
            <w:tcBorders>
              <w:top w:val="single" w:color="auto" w:sz="4" w:space="0"/>
              <w:left w:val="single" w:color="auto" w:sz="4" w:space="0"/>
              <w:bottom w:val="single" w:color="auto" w:sz="4" w:space="0"/>
              <w:right w:val="single" w:color="auto" w:sz="4" w:space="0"/>
            </w:tcBorders>
            <w:noWrap w:val="0"/>
            <w:vAlign w:val="center"/>
          </w:tcPr>
          <w:p w14:paraId="4C63035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三级指标</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21957A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年度</w:t>
            </w:r>
          </w:p>
          <w:p w14:paraId="57B6F4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指标值</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39FF25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454CB2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76F4717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4AAE555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5976001F">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10EA8F50">
        <w:tblPrEx>
          <w:tblCellMar>
            <w:top w:w="0" w:type="dxa"/>
            <w:left w:w="108" w:type="dxa"/>
            <w:bottom w:w="0" w:type="dxa"/>
            <w:right w:w="108" w:type="dxa"/>
          </w:tblCellMar>
        </w:tblPrEx>
        <w:trPr>
          <w:jc w:val="center"/>
        </w:trPr>
        <w:tc>
          <w:tcPr>
            <w:tcW w:w="1033" w:type="dxa"/>
            <w:vMerge w:val="continue"/>
            <w:tcBorders>
              <w:top w:val="single" w:color="auto" w:sz="4" w:space="0"/>
              <w:left w:val="single" w:color="auto" w:sz="4" w:space="0"/>
              <w:bottom w:val="single" w:color="auto" w:sz="4" w:space="0"/>
              <w:right w:val="single" w:color="auto" w:sz="4" w:space="0"/>
            </w:tcBorders>
            <w:noWrap w:val="0"/>
            <w:vAlign w:val="center"/>
          </w:tcPr>
          <w:p w14:paraId="1DEC9F5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7" w:type="dxa"/>
            <w:vMerge w:val="restart"/>
            <w:tcBorders>
              <w:top w:val="single" w:color="auto" w:sz="4" w:space="0"/>
              <w:left w:val="single" w:color="auto" w:sz="4" w:space="0"/>
              <w:bottom w:val="single" w:color="auto" w:sz="4" w:space="0"/>
              <w:right w:val="single" w:color="auto" w:sz="4" w:space="0"/>
            </w:tcBorders>
            <w:noWrap w:val="0"/>
            <w:vAlign w:val="center"/>
          </w:tcPr>
          <w:p w14:paraId="249E4E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741F786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2DC44A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21" w:type="dxa"/>
            <w:tcBorders>
              <w:top w:val="single" w:color="auto" w:sz="4" w:space="0"/>
              <w:left w:val="single" w:color="auto" w:sz="4" w:space="0"/>
              <w:right w:val="single" w:color="auto" w:sz="4" w:space="0"/>
            </w:tcBorders>
            <w:noWrap w:val="0"/>
            <w:vAlign w:val="center"/>
          </w:tcPr>
          <w:p w14:paraId="33B6C26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549" w:type="dxa"/>
            <w:tcBorders>
              <w:top w:val="single" w:color="auto" w:sz="4" w:space="0"/>
              <w:left w:val="single" w:color="auto" w:sz="4" w:space="0"/>
              <w:bottom w:val="single" w:color="auto" w:sz="4" w:space="0"/>
              <w:right w:val="single" w:color="auto" w:sz="4" w:space="0"/>
            </w:tcBorders>
            <w:noWrap w:val="0"/>
            <w:vAlign w:val="center"/>
          </w:tcPr>
          <w:p w14:paraId="3A8E878E">
            <w:pPr>
              <w:keepNext w:val="0"/>
              <w:keepLines w:val="0"/>
              <w:widowControl/>
              <w:suppressLineNumbers w:val="0"/>
              <w:jc w:val="left"/>
              <w:textAlignment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i w:val="0"/>
                <w:color w:val="auto"/>
                <w:kern w:val="0"/>
                <w:sz w:val="20"/>
                <w:szCs w:val="20"/>
                <w:u w:val="none"/>
                <w:lang w:val="en-US" w:eastAsia="zh-CN" w:bidi="ar"/>
              </w:rPr>
              <w:t>相关单位损坏市政设施修复率</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3339B0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i w:val="0"/>
                <w:color w:val="auto"/>
                <w:kern w:val="0"/>
                <w:sz w:val="20"/>
                <w:szCs w:val="20"/>
                <w:u w:val="none"/>
                <w:lang w:val="en-US" w:eastAsia="zh-CN" w:bidi="ar"/>
              </w:rPr>
              <w:t>100%</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2F1996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highlight w:val="none"/>
                <w:lang w:val="en-US" w:eastAsia="zh-CN"/>
              </w:rPr>
              <w:t>100%</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3681968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13</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7801FB8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13</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18AA521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i w:val="0"/>
                <w:color w:val="auto"/>
                <w:kern w:val="0"/>
                <w:sz w:val="20"/>
                <w:szCs w:val="20"/>
                <w:u w:val="none"/>
                <w:lang w:val="en-US" w:eastAsia="zh-CN" w:bidi="ar"/>
              </w:rPr>
              <w:t>相关单位损坏的市政设施委托我单位修复</w:t>
            </w:r>
          </w:p>
        </w:tc>
      </w:tr>
      <w:tr w14:paraId="780B1289">
        <w:tblPrEx>
          <w:tblCellMar>
            <w:top w:w="0" w:type="dxa"/>
            <w:left w:w="108" w:type="dxa"/>
            <w:bottom w:w="0" w:type="dxa"/>
            <w:right w:w="108" w:type="dxa"/>
          </w:tblCellMar>
        </w:tblPrEx>
        <w:trPr>
          <w:jc w:val="center"/>
        </w:trPr>
        <w:tc>
          <w:tcPr>
            <w:tcW w:w="1033" w:type="dxa"/>
            <w:vMerge w:val="continue"/>
            <w:tcBorders>
              <w:top w:val="single" w:color="auto" w:sz="4" w:space="0"/>
              <w:left w:val="single" w:color="auto" w:sz="4" w:space="0"/>
              <w:bottom w:val="single" w:color="auto" w:sz="4" w:space="0"/>
              <w:right w:val="single" w:color="auto" w:sz="4" w:space="0"/>
            </w:tcBorders>
            <w:noWrap w:val="0"/>
            <w:vAlign w:val="center"/>
          </w:tcPr>
          <w:p w14:paraId="12F5771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7" w:type="dxa"/>
            <w:vMerge w:val="continue"/>
            <w:tcBorders>
              <w:top w:val="single" w:color="auto" w:sz="4" w:space="0"/>
              <w:left w:val="single" w:color="auto" w:sz="4" w:space="0"/>
              <w:bottom w:val="single" w:color="auto" w:sz="4" w:space="0"/>
              <w:right w:val="single" w:color="auto" w:sz="4" w:space="0"/>
            </w:tcBorders>
            <w:noWrap w:val="0"/>
            <w:vAlign w:val="center"/>
          </w:tcPr>
          <w:p w14:paraId="52B80BE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21" w:type="dxa"/>
            <w:vMerge w:val="restart"/>
            <w:tcBorders>
              <w:top w:val="single" w:color="auto" w:sz="4" w:space="0"/>
              <w:left w:val="single" w:color="auto" w:sz="4" w:space="0"/>
              <w:bottom w:val="single" w:color="auto" w:sz="4" w:space="0"/>
              <w:right w:val="single" w:color="auto" w:sz="4" w:space="0"/>
            </w:tcBorders>
            <w:noWrap w:val="0"/>
            <w:vAlign w:val="center"/>
          </w:tcPr>
          <w:p w14:paraId="106249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549" w:type="dxa"/>
            <w:tcBorders>
              <w:top w:val="single" w:color="auto" w:sz="4" w:space="0"/>
              <w:left w:val="single" w:color="auto" w:sz="4" w:space="0"/>
              <w:bottom w:val="single" w:color="auto" w:sz="4" w:space="0"/>
              <w:right w:val="single" w:color="auto" w:sz="4" w:space="0"/>
            </w:tcBorders>
            <w:noWrap w:val="0"/>
            <w:vAlign w:val="center"/>
          </w:tcPr>
          <w:p w14:paraId="3A45F2E5">
            <w:pPr>
              <w:keepNext w:val="0"/>
              <w:keepLines w:val="0"/>
              <w:pageBreakBefore w:val="0"/>
              <w:widowControl/>
              <w:kinsoku/>
              <w:wordWrap/>
              <w:overflowPunct/>
              <w:topLinePunct w:val="0"/>
              <w:autoSpaceDE/>
              <w:autoSpaceDN/>
              <w:bidi w:val="0"/>
              <w:adjustRightInd/>
              <w:snapToGrid/>
              <w:spacing w:line="260" w:lineRule="exact"/>
              <w:ind w:left="0" w:leftChars="0"/>
              <w:jc w:val="center"/>
              <w:textAlignment w:val="auto"/>
              <w:rPr>
                <w:rFonts w:hint="eastAsia" w:ascii="仿宋_GB2312" w:hAnsi="仿宋_GB2312" w:eastAsia="仿宋_GB2312" w:cs="仿宋_GB2312"/>
                <w:color w:val="auto"/>
                <w:spacing w:val="0"/>
                <w:kern w:val="0"/>
                <w:sz w:val="20"/>
                <w:szCs w:val="20"/>
                <w:lang w:val="en-US" w:eastAsia="zh-CN" w:bidi="ar-SA"/>
              </w:rPr>
            </w:pPr>
            <w:r>
              <w:rPr>
                <w:rFonts w:hint="eastAsia" w:ascii="仿宋_GB2312" w:hAnsi="仿宋_GB2312" w:eastAsia="仿宋_GB2312" w:cs="仿宋_GB2312"/>
                <w:color w:val="000000"/>
                <w:sz w:val="20"/>
                <w:szCs w:val="20"/>
                <w:highlight w:val="none"/>
              </w:rPr>
              <w:t>符合CJJ36-2016《城市道路养护技术规</w:t>
            </w:r>
            <w:r>
              <w:rPr>
                <w:rFonts w:hint="eastAsia" w:ascii="仿宋_GB2312" w:hAnsi="仿宋_GB2312" w:eastAsia="仿宋_GB2312" w:cs="仿宋_GB2312"/>
                <w:color w:val="000000"/>
                <w:sz w:val="20"/>
                <w:szCs w:val="20"/>
                <w:highlight w:val="none"/>
                <w:lang w:val="en-US" w:eastAsia="zh-CN"/>
              </w:rPr>
              <w:t>范</w:t>
            </w:r>
            <w:r>
              <w:rPr>
                <w:rFonts w:hint="eastAsia" w:ascii="仿宋_GB2312" w:hAnsi="仿宋_GB2312" w:eastAsia="仿宋_GB2312" w:cs="仿宋_GB2312"/>
                <w:color w:val="000000"/>
                <w:sz w:val="20"/>
                <w:szCs w:val="20"/>
                <w:highlight w:val="none"/>
              </w:rPr>
              <w:t>》标准</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50CE999D">
            <w:pPr>
              <w:keepNext w:val="0"/>
              <w:keepLines w:val="0"/>
              <w:pageBreakBefore w:val="0"/>
              <w:widowControl/>
              <w:tabs>
                <w:tab w:val="left" w:pos="465"/>
              </w:tabs>
              <w:kinsoku/>
              <w:wordWrap/>
              <w:overflowPunct/>
              <w:topLinePunct w:val="0"/>
              <w:autoSpaceDE/>
              <w:autoSpaceDN/>
              <w:bidi w:val="0"/>
              <w:adjustRightInd/>
              <w:snapToGrid/>
              <w:spacing w:line="260" w:lineRule="exact"/>
              <w:ind w:left="0" w:leftChars="0"/>
              <w:jc w:val="center"/>
              <w:textAlignment w:val="auto"/>
              <w:rPr>
                <w:rFonts w:hint="eastAsia" w:ascii="仿宋_GB2312" w:hAnsi="仿宋_GB2312" w:eastAsia="仿宋_GB2312" w:cs="仿宋_GB2312"/>
                <w:color w:val="auto"/>
                <w:spacing w:val="0"/>
                <w:kern w:val="0"/>
                <w:sz w:val="20"/>
                <w:szCs w:val="20"/>
                <w:lang w:val="en-US" w:eastAsia="zh-CN" w:bidi="ar-SA"/>
              </w:rPr>
            </w:pPr>
            <w:r>
              <w:rPr>
                <w:rFonts w:hint="eastAsia" w:ascii="仿宋_GB2312" w:hAnsi="仿宋_GB2312" w:eastAsia="仿宋_GB2312" w:cs="仿宋_GB2312"/>
                <w:color w:val="auto"/>
                <w:spacing w:val="0"/>
                <w:sz w:val="20"/>
                <w:szCs w:val="20"/>
                <w:lang w:val="en-US" w:eastAsia="zh-CN"/>
              </w:rPr>
              <w:t>100%</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E8CF588">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hAnsi="仿宋_GB2312" w:eastAsia="仿宋_GB2312" w:cs="仿宋_GB2312"/>
                <w:color w:val="auto"/>
                <w:spacing w:val="0"/>
                <w:kern w:val="0"/>
                <w:sz w:val="20"/>
                <w:szCs w:val="20"/>
                <w:lang w:val="en-US" w:eastAsia="zh-CN" w:bidi="ar-SA"/>
              </w:rPr>
            </w:pPr>
            <w:r>
              <w:rPr>
                <w:rFonts w:hint="eastAsia" w:ascii="仿宋_GB2312" w:hAnsi="仿宋_GB2312" w:eastAsia="仿宋_GB2312" w:cs="仿宋_GB2312"/>
                <w:color w:val="auto"/>
                <w:spacing w:val="0"/>
                <w:sz w:val="20"/>
                <w:szCs w:val="20"/>
                <w:lang w:val="en-US" w:eastAsia="zh-CN"/>
              </w:rPr>
              <w:t>100%</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7638E1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536C9EB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680B1E1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864D312">
        <w:tblPrEx>
          <w:tblCellMar>
            <w:top w:w="0" w:type="dxa"/>
            <w:left w:w="108" w:type="dxa"/>
            <w:bottom w:w="0" w:type="dxa"/>
            <w:right w:w="108" w:type="dxa"/>
          </w:tblCellMar>
        </w:tblPrEx>
        <w:trPr>
          <w:jc w:val="center"/>
        </w:trPr>
        <w:tc>
          <w:tcPr>
            <w:tcW w:w="1033" w:type="dxa"/>
            <w:vMerge w:val="continue"/>
            <w:tcBorders>
              <w:top w:val="single" w:color="auto" w:sz="4" w:space="0"/>
              <w:left w:val="single" w:color="auto" w:sz="4" w:space="0"/>
              <w:bottom w:val="single" w:color="auto" w:sz="4" w:space="0"/>
              <w:right w:val="single" w:color="auto" w:sz="4" w:space="0"/>
            </w:tcBorders>
            <w:noWrap w:val="0"/>
            <w:vAlign w:val="center"/>
          </w:tcPr>
          <w:p w14:paraId="5C6D919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7" w:type="dxa"/>
            <w:vMerge w:val="continue"/>
            <w:tcBorders>
              <w:top w:val="single" w:color="auto" w:sz="4" w:space="0"/>
              <w:left w:val="single" w:color="auto" w:sz="4" w:space="0"/>
              <w:bottom w:val="single" w:color="auto" w:sz="4" w:space="0"/>
              <w:right w:val="single" w:color="auto" w:sz="4" w:space="0"/>
            </w:tcBorders>
            <w:noWrap w:val="0"/>
            <w:vAlign w:val="center"/>
          </w:tcPr>
          <w:p w14:paraId="3F779E9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21" w:type="dxa"/>
            <w:vMerge w:val="continue"/>
            <w:tcBorders>
              <w:top w:val="single" w:color="auto" w:sz="4" w:space="0"/>
              <w:left w:val="single" w:color="auto" w:sz="4" w:space="0"/>
              <w:bottom w:val="single" w:color="auto" w:sz="4" w:space="0"/>
              <w:right w:val="single" w:color="auto" w:sz="4" w:space="0"/>
            </w:tcBorders>
            <w:noWrap w:val="0"/>
            <w:vAlign w:val="center"/>
          </w:tcPr>
          <w:p w14:paraId="1F6A74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5D389125">
            <w:pPr>
              <w:keepNext w:val="0"/>
              <w:keepLines w:val="0"/>
              <w:pageBreakBefore w:val="0"/>
              <w:widowControl/>
              <w:kinsoku/>
              <w:wordWrap/>
              <w:overflowPunct/>
              <w:topLinePunct w:val="0"/>
              <w:autoSpaceDE/>
              <w:autoSpaceDN/>
              <w:bidi w:val="0"/>
              <w:adjustRightInd/>
              <w:snapToGrid/>
              <w:spacing w:line="260" w:lineRule="exact"/>
              <w:ind w:left="0" w:leftChars="0"/>
              <w:jc w:val="center"/>
              <w:textAlignment w:val="auto"/>
              <w:rPr>
                <w:rFonts w:hint="eastAsia"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000000"/>
                <w:sz w:val="20"/>
                <w:szCs w:val="20"/>
                <w:highlight w:val="none"/>
              </w:rPr>
              <w:t>符合CJJ</w:t>
            </w:r>
            <w:r>
              <w:rPr>
                <w:rFonts w:hint="eastAsia" w:ascii="仿宋_GB2312" w:hAnsi="仿宋_GB2312" w:eastAsia="仿宋_GB2312" w:cs="仿宋_GB2312"/>
                <w:color w:val="000000"/>
                <w:sz w:val="20"/>
                <w:szCs w:val="20"/>
                <w:highlight w:val="none"/>
                <w:lang w:val="en-US" w:eastAsia="zh-CN"/>
              </w:rPr>
              <w:t>1</w:t>
            </w:r>
            <w:r>
              <w:rPr>
                <w:rFonts w:hint="eastAsia" w:ascii="仿宋_GB2312" w:hAnsi="仿宋_GB2312" w:eastAsia="仿宋_GB2312" w:cs="仿宋_GB2312"/>
                <w:color w:val="000000"/>
                <w:sz w:val="20"/>
                <w:szCs w:val="20"/>
                <w:highlight w:val="none"/>
              </w:rPr>
              <w:t>-2008《城</w:t>
            </w:r>
            <w:r>
              <w:rPr>
                <w:rFonts w:hint="eastAsia" w:ascii="仿宋_GB2312" w:hAnsi="仿宋_GB2312" w:eastAsia="仿宋_GB2312" w:cs="仿宋_GB2312"/>
                <w:color w:val="000000"/>
                <w:sz w:val="20"/>
                <w:szCs w:val="20"/>
                <w:highlight w:val="none"/>
                <w:lang w:val="en-US" w:eastAsia="zh-CN"/>
              </w:rPr>
              <w:t>镇道路</w:t>
            </w:r>
            <w:r>
              <w:rPr>
                <w:rFonts w:hint="eastAsia" w:ascii="仿宋_GB2312" w:hAnsi="仿宋_GB2312" w:eastAsia="仿宋_GB2312" w:cs="仿宋_GB2312"/>
                <w:color w:val="000000"/>
                <w:sz w:val="20"/>
                <w:szCs w:val="20"/>
                <w:highlight w:val="none"/>
              </w:rPr>
              <w:t>工程施工与质量验收规范》标准</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5C497ED3">
            <w:pPr>
              <w:keepNext w:val="0"/>
              <w:keepLines w:val="0"/>
              <w:pageBreakBefore w:val="0"/>
              <w:widowControl/>
              <w:tabs>
                <w:tab w:val="left" w:pos="465"/>
              </w:tabs>
              <w:kinsoku/>
              <w:wordWrap/>
              <w:overflowPunct/>
              <w:topLinePunct w:val="0"/>
              <w:autoSpaceDE/>
              <w:autoSpaceDN/>
              <w:bidi w:val="0"/>
              <w:adjustRightInd/>
              <w:snapToGrid/>
              <w:spacing w:line="260" w:lineRule="exact"/>
              <w:ind w:left="0" w:leftChars="0"/>
              <w:jc w:val="center"/>
              <w:textAlignment w:val="auto"/>
              <w:rPr>
                <w:rFonts w:hint="default" w:ascii="仿宋_GB2312" w:hAnsi="仿宋_GB2312" w:eastAsia="仿宋_GB2312" w:cs="仿宋_GB2312"/>
                <w:color w:val="auto"/>
                <w:spacing w:val="0"/>
                <w:kern w:val="0"/>
                <w:sz w:val="20"/>
                <w:szCs w:val="20"/>
                <w:lang w:val="en-US" w:eastAsia="zh-CN" w:bidi="ar-SA"/>
              </w:rPr>
            </w:pPr>
            <w:r>
              <w:rPr>
                <w:rFonts w:hint="eastAsia" w:ascii="仿宋_GB2312" w:hAnsi="仿宋_GB2312" w:eastAsia="仿宋_GB2312" w:cs="仿宋_GB2312"/>
                <w:color w:val="auto"/>
                <w:spacing w:val="0"/>
                <w:sz w:val="20"/>
                <w:szCs w:val="20"/>
                <w:lang w:val="en-US" w:eastAsia="zh-CN"/>
              </w:rPr>
              <w:t>100%</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7788E9B9">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default" w:ascii="仿宋_GB2312" w:hAnsi="仿宋_GB2312" w:eastAsia="仿宋_GB2312" w:cs="仿宋_GB2312"/>
                <w:color w:val="auto"/>
                <w:spacing w:val="0"/>
                <w:kern w:val="0"/>
                <w:sz w:val="20"/>
                <w:szCs w:val="20"/>
                <w:lang w:val="en-US" w:eastAsia="zh-CN" w:bidi="ar-SA"/>
              </w:rPr>
            </w:pPr>
            <w:r>
              <w:rPr>
                <w:rFonts w:hint="eastAsia" w:ascii="仿宋_GB2312" w:hAnsi="仿宋_GB2312" w:eastAsia="仿宋_GB2312" w:cs="仿宋_GB2312"/>
                <w:color w:val="auto"/>
                <w:spacing w:val="0"/>
                <w:sz w:val="20"/>
                <w:szCs w:val="20"/>
                <w:lang w:val="en-US" w:eastAsia="zh-CN"/>
              </w:rPr>
              <w:t>100%</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42731CD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56B50B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2A36147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92990EB">
        <w:tblPrEx>
          <w:tblCellMar>
            <w:top w:w="0" w:type="dxa"/>
            <w:left w:w="108" w:type="dxa"/>
            <w:bottom w:w="0" w:type="dxa"/>
            <w:right w:w="108" w:type="dxa"/>
          </w:tblCellMar>
        </w:tblPrEx>
        <w:trPr>
          <w:jc w:val="center"/>
        </w:trPr>
        <w:tc>
          <w:tcPr>
            <w:tcW w:w="1033" w:type="dxa"/>
            <w:vMerge w:val="continue"/>
            <w:tcBorders>
              <w:top w:val="single" w:color="auto" w:sz="4" w:space="0"/>
              <w:left w:val="single" w:color="auto" w:sz="4" w:space="0"/>
              <w:bottom w:val="single" w:color="auto" w:sz="4" w:space="0"/>
              <w:right w:val="single" w:color="auto" w:sz="4" w:space="0"/>
            </w:tcBorders>
            <w:noWrap w:val="0"/>
            <w:vAlign w:val="center"/>
          </w:tcPr>
          <w:p w14:paraId="4C03B68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7" w:type="dxa"/>
            <w:vMerge w:val="continue"/>
            <w:tcBorders>
              <w:top w:val="single" w:color="auto" w:sz="4" w:space="0"/>
              <w:left w:val="single" w:color="auto" w:sz="4" w:space="0"/>
              <w:bottom w:val="single" w:color="auto" w:sz="4" w:space="0"/>
              <w:right w:val="single" w:color="auto" w:sz="4" w:space="0"/>
            </w:tcBorders>
            <w:noWrap w:val="0"/>
            <w:vAlign w:val="center"/>
          </w:tcPr>
          <w:p w14:paraId="4295BF5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21" w:type="dxa"/>
            <w:vMerge w:val="continue"/>
            <w:tcBorders>
              <w:top w:val="single" w:color="auto" w:sz="4" w:space="0"/>
              <w:left w:val="single" w:color="auto" w:sz="4" w:space="0"/>
              <w:bottom w:val="single" w:color="auto" w:sz="4" w:space="0"/>
              <w:right w:val="single" w:color="auto" w:sz="4" w:space="0"/>
            </w:tcBorders>
            <w:noWrap w:val="0"/>
            <w:vAlign w:val="center"/>
          </w:tcPr>
          <w:p w14:paraId="3B0774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0CDE830B">
            <w:pPr>
              <w:keepNext w:val="0"/>
              <w:keepLines w:val="0"/>
              <w:pageBreakBefore w:val="0"/>
              <w:widowControl/>
              <w:kinsoku/>
              <w:wordWrap/>
              <w:overflowPunct/>
              <w:topLinePunct w:val="0"/>
              <w:autoSpaceDE/>
              <w:autoSpaceDN/>
              <w:bidi w:val="0"/>
              <w:adjustRightInd/>
              <w:snapToGrid/>
              <w:spacing w:line="260" w:lineRule="exact"/>
              <w:ind w:left="0" w:leftChars="0"/>
              <w:jc w:val="center"/>
              <w:textAlignment w:val="auto"/>
              <w:rPr>
                <w:rFonts w:hint="eastAsia"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000000"/>
                <w:sz w:val="20"/>
                <w:szCs w:val="20"/>
                <w:highlight w:val="none"/>
              </w:rPr>
              <w:t>符合C</w:t>
            </w:r>
            <w:r>
              <w:rPr>
                <w:rFonts w:hint="eastAsia" w:ascii="仿宋_GB2312" w:hAnsi="仿宋_GB2312" w:eastAsia="仿宋_GB2312" w:cs="仿宋_GB2312"/>
                <w:color w:val="000000"/>
                <w:sz w:val="20"/>
                <w:szCs w:val="20"/>
                <w:highlight w:val="none"/>
                <w:lang w:val="en-US" w:eastAsia="zh-CN"/>
              </w:rPr>
              <w:t>B-50092</w:t>
            </w: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沥青路面</w:t>
            </w:r>
            <w:r>
              <w:rPr>
                <w:rFonts w:hint="eastAsia" w:ascii="仿宋_GB2312" w:hAnsi="仿宋_GB2312" w:eastAsia="仿宋_GB2312" w:cs="仿宋_GB2312"/>
                <w:color w:val="000000"/>
                <w:sz w:val="20"/>
                <w:szCs w:val="20"/>
                <w:highlight w:val="none"/>
              </w:rPr>
              <w:t>施工与质量验收规范》标准</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02F5E3E7">
            <w:pPr>
              <w:keepNext w:val="0"/>
              <w:keepLines w:val="0"/>
              <w:pageBreakBefore w:val="0"/>
              <w:widowControl/>
              <w:tabs>
                <w:tab w:val="left" w:pos="465"/>
              </w:tabs>
              <w:kinsoku/>
              <w:wordWrap/>
              <w:overflowPunct/>
              <w:topLinePunct w:val="0"/>
              <w:autoSpaceDE/>
              <w:autoSpaceDN/>
              <w:bidi w:val="0"/>
              <w:adjustRightInd/>
              <w:snapToGrid/>
              <w:spacing w:line="260" w:lineRule="exact"/>
              <w:ind w:left="0" w:leftChars="0"/>
              <w:jc w:val="center"/>
              <w:textAlignment w:val="auto"/>
              <w:rPr>
                <w:rFonts w:hint="eastAsia" w:ascii="仿宋_GB2312" w:hAnsi="仿宋_GB2312" w:eastAsia="仿宋_GB2312" w:cs="仿宋_GB2312"/>
                <w:color w:val="auto"/>
                <w:spacing w:val="0"/>
                <w:kern w:val="0"/>
                <w:sz w:val="20"/>
                <w:szCs w:val="20"/>
                <w:lang w:val="en-US" w:eastAsia="zh-CN" w:bidi="ar-SA"/>
              </w:rPr>
            </w:pPr>
            <w:r>
              <w:rPr>
                <w:rFonts w:hint="eastAsia" w:ascii="仿宋_GB2312" w:hAnsi="仿宋_GB2312" w:eastAsia="仿宋_GB2312" w:cs="仿宋_GB2312"/>
                <w:color w:val="auto"/>
                <w:spacing w:val="0"/>
                <w:sz w:val="20"/>
                <w:szCs w:val="20"/>
                <w:lang w:val="en-US" w:eastAsia="zh-CN"/>
              </w:rPr>
              <w:t>100%</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8C970DB">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hAnsi="仿宋_GB2312" w:eastAsia="仿宋_GB2312" w:cs="仿宋_GB2312"/>
                <w:color w:val="auto"/>
                <w:spacing w:val="0"/>
                <w:kern w:val="0"/>
                <w:sz w:val="20"/>
                <w:szCs w:val="20"/>
                <w:lang w:val="en-US" w:eastAsia="zh-CN" w:bidi="ar-SA"/>
              </w:rPr>
            </w:pPr>
            <w:r>
              <w:rPr>
                <w:rFonts w:hint="eastAsia" w:ascii="仿宋_GB2312" w:hAnsi="仿宋_GB2312" w:eastAsia="仿宋_GB2312" w:cs="仿宋_GB2312"/>
                <w:color w:val="auto"/>
                <w:spacing w:val="0"/>
                <w:sz w:val="20"/>
                <w:szCs w:val="20"/>
                <w:lang w:val="en-US" w:eastAsia="zh-CN"/>
              </w:rPr>
              <w:t>100%</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329A92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64FED4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53A2584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F836AE5">
        <w:tblPrEx>
          <w:tblCellMar>
            <w:top w:w="0" w:type="dxa"/>
            <w:left w:w="108" w:type="dxa"/>
            <w:bottom w:w="0" w:type="dxa"/>
            <w:right w:w="108" w:type="dxa"/>
          </w:tblCellMar>
        </w:tblPrEx>
        <w:trPr>
          <w:trHeight w:val="652" w:hRule="atLeast"/>
          <w:jc w:val="center"/>
        </w:trPr>
        <w:tc>
          <w:tcPr>
            <w:tcW w:w="1033" w:type="dxa"/>
            <w:vMerge w:val="continue"/>
            <w:tcBorders>
              <w:top w:val="single" w:color="auto" w:sz="4" w:space="0"/>
              <w:left w:val="single" w:color="auto" w:sz="4" w:space="0"/>
              <w:bottom w:val="single" w:color="auto" w:sz="4" w:space="0"/>
              <w:right w:val="single" w:color="auto" w:sz="4" w:space="0"/>
            </w:tcBorders>
            <w:noWrap w:val="0"/>
            <w:vAlign w:val="center"/>
          </w:tcPr>
          <w:p w14:paraId="7F8DBA5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7" w:type="dxa"/>
            <w:vMerge w:val="continue"/>
            <w:tcBorders>
              <w:top w:val="single" w:color="auto" w:sz="4" w:space="0"/>
              <w:left w:val="single" w:color="auto" w:sz="4" w:space="0"/>
              <w:bottom w:val="single" w:color="auto" w:sz="4" w:space="0"/>
              <w:right w:val="single" w:color="auto" w:sz="4" w:space="0"/>
            </w:tcBorders>
            <w:noWrap w:val="0"/>
            <w:vAlign w:val="center"/>
          </w:tcPr>
          <w:p w14:paraId="588D0AB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21" w:type="dxa"/>
            <w:vMerge w:val="restart"/>
            <w:tcBorders>
              <w:top w:val="single" w:color="auto" w:sz="4" w:space="0"/>
              <w:left w:val="single" w:color="auto" w:sz="4" w:space="0"/>
              <w:bottom w:val="single" w:color="auto" w:sz="4" w:space="0"/>
              <w:right w:val="single" w:color="auto" w:sz="4" w:space="0"/>
            </w:tcBorders>
            <w:noWrap w:val="0"/>
            <w:vAlign w:val="center"/>
          </w:tcPr>
          <w:p w14:paraId="3894D5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549" w:type="dxa"/>
            <w:tcBorders>
              <w:top w:val="single" w:color="auto" w:sz="4" w:space="0"/>
              <w:left w:val="single" w:color="auto" w:sz="4" w:space="0"/>
              <w:bottom w:val="single" w:color="auto" w:sz="4" w:space="0"/>
              <w:right w:val="single" w:color="auto" w:sz="4" w:space="0"/>
            </w:tcBorders>
            <w:noWrap w:val="0"/>
            <w:vAlign w:val="center"/>
          </w:tcPr>
          <w:p w14:paraId="0AB0A48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themeColor="text1"/>
                <w:spacing w:val="0"/>
                <w:sz w:val="20"/>
                <w:szCs w:val="20"/>
                <w:lang w:eastAsia="zh-CN"/>
                <w14:textFill>
                  <w14:solidFill>
                    <w14:schemeClr w14:val="tx1"/>
                  </w14:solidFill>
                </w14:textFill>
              </w:rPr>
              <w:t>目标任务完成时间</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7E561DF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2025年12月31日前</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939D77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均如期完成</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5DFB96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624FF24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2A1C047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73B2AAC">
        <w:tblPrEx>
          <w:tblCellMar>
            <w:top w:w="0" w:type="dxa"/>
            <w:left w:w="108" w:type="dxa"/>
            <w:bottom w:w="0" w:type="dxa"/>
            <w:right w:w="108" w:type="dxa"/>
          </w:tblCellMar>
        </w:tblPrEx>
        <w:trPr>
          <w:trHeight w:val="605" w:hRule="atLeast"/>
          <w:jc w:val="center"/>
        </w:trPr>
        <w:tc>
          <w:tcPr>
            <w:tcW w:w="1033" w:type="dxa"/>
            <w:vMerge w:val="continue"/>
            <w:tcBorders>
              <w:top w:val="single" w:color="auto" w:sz="4" w:space="0"/>
              <w:left w:val="single" w:color="auto" w:sz="4" w:space="0"/>
              <w:bottom w:val="single" w:color="auto" w:sz="4" w:space="0"/>
              <w:right w:val="single" w:color="auto" w:sz="4" w:space="0"/>
            </w:tcBorders>
            <w:noWrap w:val="0"/>
            <w:vAlign w:val="center"/>
          </w:tcPr>
          <w:p w14:paraId="6AB6A6E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7" w:type="dxa"/>
            <w:vMerge w:val="continue"/>
            <w:tcBorders>
              <w:top w:val="single" w:color="auto" w:sz="4" w:space="0"/>
              <w:left w:val="single" w:color="auto" w:sz="4" w:space="0"/>
              <w:bottom w:val="single" w:color="auto" w:sz="4" w:space="0"/>
              <w:right w:val="single" w:color="auto" w:sz="4" w:space="0"/>
            </w:tcBorders>
            <w:noWrap w:val="0"/>
            <w:vAlign w:val="center"/>
          </w:tcPr>
          <w:p w14:paraId="0356B4E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21" w:type="dxa"/>
            <w:vMerge w:val="continue"/>
            <w:tcBorders>
              <w:top w:val="single" w:color="auto" w:sz="4" w:space="0"/>
              <w:left w:val="single" w:color="auto" w:sz="4" w:space="0"/>
              <w:bottom w:val="single" w:color="auto" w:sz="4" w:space="0"/>
              <w:right w:val="single" w:color="auto" w:sz="4" w:space="0"/>
            </w:tcBorders>
            <w:noWrap w:val="0"/>
            <w:vAlign w:val="center"/>
          </w:tcPr>
          <w:p w14:paraId="2E893D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3B68BC0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损坏设施修复时间</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41FB93D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及时完成修复</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BB3E40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均及时完成修复</w:t>
            </w:r>
            <w:r>
              <w:rPr>
                <w:rFonts w:hint="eastAsia" w:ascii="仿宋_GB2312" w:hAnsi="仿宋_GB2312" w:eastAsia="仿宋_GB2312" w:cs="仿宋_GB2312"/>
                <w:color w:val="000000"/>
                <w:sz w:val="20"/>
                <w:szCs w:val="20"/>
                <w:highlight w:val="none"/>
                <w:lang w:val="en-US" w:eastAsia="zh-CN"/>
              </w:rPr>
              <w:t xml:space="preserve"> </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5AEE783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499DE8D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6467B74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8CB7DF3">
        <w:tblPrEx>
          <w:tblCellMar>
            <w:top w:w="0" w:type="dxa"/>
            <w:left w:w="108" w:type="dxa"/>
            <w:bottom w:w="0" w:type="dxa"/>
            <w:right w:w="108" w:type="dxa"/>
          </w:tblCellMar>
        </w:tblPrEx>
        <w:trPr>
          <w:trHeight w:val="615" w:hRule="atLeast"/>
          <w:jc w:val="center"/>
        </w:trPr>
        <w:tc>
          <w:tcPr>
            <w:tcW w:w="1033" w:type="dxa"/>
            <w:vMerge w:val="continue"/>
            <w:tcBorders>
              <w:top w:val="single" w:color="auto" w:sz="4" w:space="0"/>
              <w:left w:val="single" w:color="auto" w:sz="4" w:space="0"/>
              <w:bottom w:val="single" w:color="auto" w:sz="4" w:space="0"/>
              <w:right w:val="single" w:color="auto" w:sz="4" w:space="0"/>
            </w:tcBorders>
            <w:noWrap w:val="0"/>
            <w:vAlign w:val="center"/>
          </w:tcPr>
          <w:p w14:paraId="7567978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7" w:type="dxa"/>
            <w:vMerge w:val="continue"/>
            <w:tcBorders>
              <w:top w:val="single" w:color="auto" w:sz="4" w:space="0"/>
              <w:left w:val="single" w:color="auto" w:sz="4" w:space="0"/>
              <w:bottom w:val="single" w:color="auto" w:sz="4" w:space="0"/>
              <w:right w:val="single" w:color="auto" w:sz="4" w:space="0"/>
            </w:tcBorders>
            <w:noWrap w:val="0"/>
            <w:vAlign w:val="center"/>
          </w:tcPr>
          <w:p w14:paraId="6B1CBB7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21" w:type="dxa"/>
            <w:vMerge w:val="restart"/>
            <w:tcBorders>
              <w:top w:val="single" w:color="auto" w:sz="4" w:space="0"/>
              <w:left w:val="single" w:color="auto" w:sz="4" w:space="0"/>
              <w:bottom w:val="single" w:color="auto" w:sz="4" w:space="0"/>
              <w:right w:val="single" w:color="auto" w:sz="4" w:space="0"/>
            </w:tcBorders>
            <w:noWrap w:val="0"/>
            <w:vAlign w:val="center"/>
          </w:tcPr>
          <w:p w14:paraId="1C032D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54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10F2D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是否对社会造成负面影响</w:t>
            </w:r>
          </w:p>
        </w:tc>
        <w:tc>
          <w:tcPr>
            <w:tcW w:w="108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07C6A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无负面影响</w:t>
            </w:r>
          </w:p>
        </w:tc>
        <w:tc>
          <w:tcPr>
            <w:tcW w:w="118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21A68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无负面影响</w:t>
            </w:r>
          </w:p>
        </w:tc>
        <w:tc>
          <w:tcPr>
            <w:tcW w:w="69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DCED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2</w:t>
            </w:r>
          </w:p>
        </w:tc>
        <w:tc>
          <w:tcPr>
            <w:tcW w:w="68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B7FB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2</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50B82CE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1F0BE016">
        <w:tblPrEx>
          <w:tblCellMar>
            <w:top w:w="0" w:type="dxa"/>
            <w:left w:w="108" w:type="dxa"/>
            <w:bottom w:w="0" w:type="dxa"/>
            <w:right w:w="108" w:type="dxa"/>
          </w:tblCellMar>
        </w:tblPrEx>
        <w:trPr>
          <w:trHeight w:val="90" w:hRule="atLeast"/>
          <w:jc w:val="center"/>
        </w:trPr>
        <w:tc>
          <w:tcPr>
            <w:tcW w:w="1033" w:type="dxa"/>
            <w:vMerge w:val="continue"/>
            <w:tcBorders>
              <w:top w:val="single" w:color="auto" w:sz="4" w:space="0"/>
              <w:left w:val="single" w:color="auto" w:sz="4" w:space="0"/>
              <w:bottom w:val="single" w:color="auto" w:sz="4" w:space="0"/>
              <w:right w:val="single" w:color="auto" w:sz="4" w:space="0"/>
            </w:tcBorders>
            <w:noWrap w:val="0"/>
            <w:vAlign w:val="center"/>
          </w:tcPr>
          <w:p w14:paraId="7A751CB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7" w:type="dxa"/>
            <w:vMerge w:val="continue"/>
            <w:tcBorders>
              <w:top w:val="single" w:color="auto" w:sz="4" w:space="0"/>
              <w:left w:val="single" w:color="auto" w:sz="4" w:space="0"/>
              <w:bottom w:val="single" w:color="auto" w:sz="4" w:space="0"/>
              <w:right w:val="single" w:color="auto" w:sz="4" w:space="0"/>
            </w:tcBorders>
            <w:noWrap w:val="0"/>
            <w:vAlign w:val="center"/>
          </w:tcPr>
          <w:p w14:paraId="6663084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21" w:type="dxa"/>
            <w:vMerge w:val="continue"/>
            <w:tcBorders>
              <w:top w:val="single" w:color="auto" w:sz="4" w:space="0"/>
              <w:left w:val="single" w:color="auto" w:sz="4" w:space="0"/>
              <w:bottom w:val="single" w:color="auto" w:sz="4" w:space="0"/>
              <w:right w:val="single" w:color="auto" w:sz="4" w:space="0"/>
            </w:tcBorders>
            <w:noWrap w:val="0"/>
            <w:vAlign w:val="center"/>
          </w:tcPr>
          <w:p w14:paraId="57ED11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54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232A5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是否对生态环境造成负面影响</w:t>
            </w:r>
          </w:p>
        </w:tc>
        <w:tc>
          <w:tcPr>
            <w:tcW w:w="108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19842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无负面影响</w:t>
            </w:r>
          </w:p>
        </w:tc>
        <w:tc>
          <w:tcPr>
            <w:tcW w:w="118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6250C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无负面影响</w:t>
            </w:r>
          </w:p>
        </w:tc>
        <w:tc>
          <w:tcPr>
            <w:tcW w:w="69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E8185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2</w:t>
            </w:r>
          </w:p>
        </w:tc>
        <w:tc>
          <w:tcPr>
            <w:tcW w:w="68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A8C9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2</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66D33A6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647468A7">
        <w:tblPrEx>
          <w:tblCellMar>
            <w:top w:w="0" w:type="dxa"/>
            <w:left w:w="108" w:type="dxa"/>
            <w:bottom w:w="0" w:type="dxa"/>
            <w:right w:w="108" w:type="dxa"/>
          </w:tblCellMar>
        </w:tblPrEx>
        <w:trPr>
          <w:trHeight w:val="1575" w:hRule="atLeast"/>
          <w:jc w:val="center"/>
        </w:trPr>
        <w:tc>
          <w:tcPr>
            <w:tcW w:w="1033" w:type="dxa"/>
            <w:vMerge w:val="continue"/>
            <w:tcBorders>
              <w:top w:val="single" w:color="auto" w:sz="4" w:space="0"/>
              <w:left w:val="single" w:color="auto" w:sz="4" w:space="0"/>
              <w:bottom w:val="single" w:color="auto" w:sz="4" w:space="0"/>
              <w:right w:val="single" w:color="auto" w:sz="4" w:space="0"/>
            </w:tcBorders>
            <w:noWrap w:val="0"/>
            <w:vAlign w:val="center"/>
          </w:tcPr>
          <w:p w14:paraId="36749F0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7" w:type="dxa"/>
            <w:vMerge w:val="continue"/>
            <w:tcBorders>
              <w:top w:val="single" w:color="auto" w:sz="4" w:space="0"/>
              <w:left w:val="single" w:color="auto" w:sz="4" w:space="0"/>
              <w:bottom w:val="single" w:color="auto" w:sz="4" w:space="0"/>
              <w:right w:val="single" w:color="auto" w:sz="4" w:space="0"/>
            </w:tcBorders>
            <w:noWrap w:val="0"/>
            <w:vAlign w:val="center"/>
          </w:tcPr>
          <w:p w14:paraId="29673F4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21" w:type="dxa"/>
            <w:vMerge w:val="continue"/>
            <w:tcBorders>
              <w:top w:val="single" w:color="auto" w:sz="4" w:space="0"/>
              <w:left w:val="single" w:color="auto" w:sz="4" w:space="0"/>
              <w:bottom w:val="single" w:color="auto" w:sz="4" w:space="0"/>
              <w:right w:val="single" w:color="auto" w:sz="4" w:space="0"/>
            </w:tcBorders>
            <w:noWrap w:val="0"/>
            <w:vAlign w:val="center"/>
          </w:tcPr>
          <w:p w14:paraId="4818A95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2C3AF51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项目实施成本经济成本指标</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3A49395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控制在</w:t>
            </w:r>
            <w:r>
              <w:rPr>
                <w:rFonts w:hint="eastAsia" w:ascii="仿宋_GB2312" w:hAnsi="仿宋_GB2312" w:eastAsia="仿宋_GB2312" w:cs="仿宋_GB2312"/>
                <w:color w:val="000000"/>
                <w:sz w:val="20"/>
                <w:szCs w:val="20"/>
                <w:highlight w:val="none"/>
                <w:lang w:val="en-US" w:eastAsia="zh-CN"/>
              </w:rPr>
              <w:t>11.98万元之内</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0D0914C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实际支出</w:t>
            </w:r>
            <w:r>
              <w:rPr>
                <w:rFonts w:hint="eastAsia" w:ascii="仿宋_GB2312" w:hAnsi="仿宋_GB2312" w:eastAsia="仿宋_GB2312" w:cs="仿宋_GB2312"/>
                <w:color w:val="000000"/>
                <w:sz w:val="20"/>
                <w:szCs w:val="20"/>
                <w:highlight w:val="none"/>
                <w:lang w:val="en-US" w:eastAsia="zh-CN"/>
              </w:rPr>
              <w:t>11.98万元</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388828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3469C78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0787C26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99E5A72">
        <w:tblPrEx>
          <w:tblCellMar>
            <w:top w:w="0" w:type="dxa"/>
            <w:left w:w="108" w:type="dxa"/>
            <w:bottom w:w="0" w:type="dxa"/>
            <w:right w:w="108" w:type="dxa"/>
          </w:tblCellMar>
        </w:tblPrEx>
        <w:trPr>
          <w:jc w:val="center"/>
        </w:trPr>
        <w:tc>
          <w:tcPr>
            <w:tcW w:w="1033" w:type="dxa"/>
            <w:vMerge w:val="continue"/>
            <w:tcBorders>
              <w:top w:val="single" w:color="auto" w:sz="4" w:space="0"/>
              <w:left w:val="single" w:color="auto" w:sz="4" w:space="0"/>
              <w:bottom w:val="single" w:color="auto" w:sz="4" w:space="0"/>
              <w:right w:val="single" w:color="auto" w:sz="4" w:space="0"/>
            </w:tcBorders>
            <w:noWrap w:val="0"/>
            <w:vAlign w:val="center"/>
          </w:tcPr>
          <w:p w14:paraId="2E64FAC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7" w:type="dxa"/>
            <w:vMerge w:val="restart"/>
            <w:tcBorders>
              <w:top w:val="single" w:color="auto" w:sz="4" w:space="0"/>
              <w:left w:val="single" w:color="auto" w:sz="4" w:space="0"/>
              <w:bottom w:val="single" w:color="auto" w:sz="4" w:space="0"/>
              <w:right w:val="single" w:color="auto" w:sz="4" w:space="0"/>
            </w:tcBorders>
            <w:noWrap w:val="0"/>
            <w:vAlign w:val="center"/>
          </w:tcPr>
          <w:p w14:paraId="59C74A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效益指标（30分）</w:t>
            </w:r>
          </w:p>
        </w:tc>
        <w:tc>
          <w:tcPr>
            <w:tcW w:w="102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6A174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经济</w:t>
            </w:r>
            <w:r>
              <w:rPr>
                <w:rFonts w:hint="eastAsia" w:ascii="仿宋_GB2312" w:hAnsi="仿宋_GB2312" w:eastAsia="仿宋_GB2312" w:cs="仿宋_GB2312"/>
                <w:color w:val="000000"/>
                <w:sz w:val="20"/>
                <w:szCs w:val="20"/>
                <w:highlight w:val="none"/>
              </w:rPr>
              <w:t>效</w:t>
            </w:r>
          </w:p>
          <w:p w14:paraId="7602B6B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益指标</w:t>
            </w:r>
          </w:p>
        </w:tc>
        <w:tc>
          <w:tcPr>
            <w:tcW w:w="154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9852FF">
            <w:pPr>
              <w:keepNext w:val="0"/>
              <w:keepLines w:val="0"/>
              <w:pageBreakBefore w:val="0"/>
              <w:widowControl/>
              <w:kinsoku/>
              <w:wordWrap/>
              <w:overflowPunct/>
              <w:topLinePunct w:val="0"/>
              <w:autoSpaceDE/>
              <w:autoSpaceDN/>
              <w:bidi w:val="0"/>
              <w:adjustRightInd/>
              <w:snapToGrid/>
              <w:spacing w:line="260" w:lineRule="exact"/>
              <w:ind w:left="0" w:leftChars="0"/>
              <w:jc w:val="center"/>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是否有益于经济的发展</w:t>
            </w:r>
          </w:p>
        </w:tc>
        <w:tc>
          <w:tcPr>
            <w:tcW w:w="108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FF607B">
            <w:pPr>
              <w:keepNext w:val="0"/>
              <w:keepLines w:val="0"/>
              <w:pageBreakBefore w:val="0"/>
              <w:widowControl/>
              <w:kinsoku/>
              <w:wordWrap/>
              <w:overflowPunct/>
              <w:topLinePunct w:val="0"/>
              <w:autoSpaceDE/>
              <w:autoSpaceDN/>
              <w:bidi w:val="0"/>
              <w:adjustRightInd/>
              <w:snapToGrid/>
              <w:spacing w:line="260" w:lineRule="exact"/>
              <w:ind w:left="0" w:leftChars="0"/>
              <w:jc w:val="center"/>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助力岳阳经济发展</w:t>
            </w:r>
          </w:p>
        </w:tc>
        <w:tc>
          <w:tcPr>
            <w:tcW w:w="118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19576B">
            <w:pPr>
              <w:keepNext w:val="0"/>
              <w:keepLines w:val="0"/>
              <w:pageBreakBefore w:val="0"/>
              <w:widowControl/>
              <w:kinsoku/>
              <w:wordWrap/>
              <w:overflowPunct/>
              <w:topLinePunct w:val="0"/>
              <w:autoSpaceDE/>
              <w:autoSpaceDN/>
              <w:bidi w:val="0"/>
              <w:adjustRightInd/>
              <w:snapToGrid/>
              <w:spacing w:line="260" w:lineRule="exact"/>
              <w:ind w:left="0" w:leftChars="0"/>
              <w:jc w:val="center"/>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有效助力岳阳经济发展</w:t>
            </w:r>
          </w:p>
        </w:tc>
        <w:tc>
          <w:tcPr>
            <w:tcW w:w="69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1746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6</w:t>
            </w:r>
          </w:p>
        </w:tc>
        <w:tc>
          <w:tcPr>
            <w:tcW w:w="68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7224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6</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3AB86FD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24D0152">
        <w:tblPrEx>
          <w:tblCellMar>
            <w:top w:w="0" w:type="dxa"/>
            <w:left w:w="108" w:type="dxa"/>
            <w:bottom w:w="0" w:type="dxa"/>
            <w:right w:w="108" w:type="dxa"/>
          </w:tblCellMar>
        </w:tblPrEx>
        <w:trPr>
          <w:jc w:val="center"/>
        </w:trPr>
        <w:tc>
          <w:tcPr>
            <w:tcW w:w="1033" w:type="dxa"/>
            <w:vMerge w:val="continue"/>
            <w:tcBorders>
              <w:top w:val="single" w:color="auto" w:sz="4" w:space="0"/>
              <w:left w:val="single" w:color="auto" w:sz="4" w:space="0"/>
              <w:bottom w:val="single" w:color="auto" w:sz="4" w:space="0"/>
              <w:right w:val="single" w:color="auto" w:sz="4" w:space="0"/>
            </w:tcBorders>
            <w:noWrap w:val="0"/>
            <w:vAlign w:val="center"/>
          </w:tcPr>
          <w:p w14:paraId="7D19154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7" w:type="dxa"/>
            <w:vMerge w:val="continue"/>
            <w:tcBorders>
              <w:top w:val="single" w:color="auto" w:sz="4" w:space="0"/>
              <w:left w:val="single" w:color="auto" w:sz="4" w:space="0"/>
              <w:bottom w:val="single" w:color="auto" w:sz="4" w:space="0"/>
              <w:right w:val="single" w:color="auto" w:sz="4" w:space="0"/>
            </w:tcBorders>
            <w:noWrap w:val="0"/>
            <w:vAlign w:val="center"/>
          </w:tcPr>
          <w:p w14:paraId="3B92CB3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21" w:type="dxa"/>
            <w:vMerge w:val="restart"/>
            <w:tcBorders>
              <w:top w:val="single" w:color="auto" w:sz="4" w:space="0"/>
              <w:left w:val="single" w:color="auto" w:sz="4" w:space="0"/>
              <w:bottom w:val="single" w:color="auto" w:sz="4" w:space="0"/>
              <w:right w:val="single" w:color="auto" w:sz="4" w:space="0"/>
            </w:tcBorders>
            <w:noWrap w:val="0"/>
            <w:vAlign w:val="center"/>
          </w:tcPr>
          <w:p w14:paraId="527B3EF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096E73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549" w:type="dxa"/>
            <w:tcBorders>
              <w:top w:val="single" w:color="auto" w:sz="4" w:space="0"/>
              <w:left w:val="single" w:color="auto" w:sz="4" w:space="0"/>
              <w:bottom w:val="single" w:color="auto" w:sz="4" w:space="0"/>
              <w:right w:val="single" w:color="auto" w:sz="4" w:space="0"/>
            </w:tcBorders>
            <w:noWrap w:val="0"/>
            <w:vAlign w:val="center"/>
          </w:tcPr>
          <w:p w14:paraId="25F9E61C">
            <w:pPr>
              <w:keepNext w:val="0"/>
              <w:keepLines w:val="0"/>
              <w:pageBreakBefore w:val="0"/>
              <w:widowControl/>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是否方便市民出行</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2314A571">
            <w:pPr>
              <w:keepNext w:val="0"/>
              <w:keepLines w:val="0"/>
              <w:pageBreakBefore w:val="0"/>
              <w:widowControl/>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方便市民出行</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C9ED3A7">
            <w:pPr>
              <w:keepNext w:val="0"/>
              <w:keepLines w:val="0"/>
              <w:pageBreakBefore w:val="0"/>
              <w:widowControl/>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损坏设施及时维护，方便了市民出行</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0733828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74F3A9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49CDEDA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019A883">
        <w:tblPrEx>
          <w:tblCellMar>
            <w:top w:w="0" w:type="dxa"/>
            <w:left w:w="108" w:type="dxa"/>
            <w:bottom w:w="0" w:type="dxa"/>
            <w:right w:w="108" w:type="dxa"/>
          </w:tblCellMar>
        </w:tblPrEx>
        <w:trPr>
          <w:trHeight w:val="1425" w:hRule="atLeast"/>
          <w:jc w:val="center"/>
        </w:trPr>
        <w:tc>
          <w:tcPr>
            <w:tcW w:w="1033" w:type="dxa"/>
            <w:vMerge w:val="continue"/>
            <w:tcBorders>
              <w:top w:val="single" w:color="auto" w:sz="4" w:space="0"/>
              <w:left w:val="single" w:color="auto" w:sz="4" w:space="0"/>
              <w:bottom w:val="single" w:color="auto" w:sz="4" w:space="0"/>
              <w:right w:val="single" w:color="auto" w:sz="4" w:space="0"/>
            </w:tcBorders>
            <w:noWrap w:val="0"/>
            <w:vAlign w:val="center"/>
          </w:tcPr>
          <w:p w14:paraId="1EE98B7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7" w:type="dxa"/>
            <w:vMerge w:val="continue"/>
            <w:tcBorders>
              <w:top w:val="single" w:color="auto" w:sz="4" w:space="0"/>
              <w:left w:val="single" w:color="auto" w:sz="4" w:space="0"/>
              <w:bottom w:val="single" w:color="auto" w:sz="4" w:space="0"/>
              <w:right w:val="single" w:color="auto" w:sz="4" w:space="0"/>
            </w:tcBorders>
            <w:noWrap w:val="0"/>
            <w:vAlign w:val="center"/>
          </w:tcPr>
          <w:p w14:paraId="2FEF9BB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21" w:type="dxa"/>
            <w:vMerge w:val="continue"/>
            <w:tcBorders>
              <w:top w:val="single" w:color="auto" w:sz="4" w:space="0"/>
              <w:left w:val="single" w:color="auto" w:sz="4" w:space="0"/>
              <w:bottom w:val="single" w:color="auto" w:sz="4" w:space="0"/>
              <w:right w:val="single" w:color="auto" w:sz="4" w:space="0"/>
            </w:tcBorders>
            <w:noWrap w:val="0"/>
            <w:vAlign w:val="center"/>
          </w:tcPr>
          <w:p w14:paraId="65C11EF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538DB33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提升城市服务保障水平</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19C57B0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有助提升城市服务保障水平</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7E6F270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城市服务保障水平不断提升</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4B7C6F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6</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4B14FC8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0D18105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B8C9A94">
        <w:tblPrEx>
          <w:tblCellMar>
            <w:top w:w="0" w:type="dxa"/>
            <w:left w:w="108" w:type="dxa"/>
            <w:bottom w:w="0" w:type="dxa"/>
            <w:right w:w="108" w:type="dxa"/>
          </w:tblCellMar>
        </w:tblPrEx>
        <w:trPr>
          <w:trHeight w:val="830" w:hRule="atLeast"/>
          <w:jc w:val="center"/>
        </w:trPr>
        <w:tc>
          <w:tcPr>
            <w:tcW w:w="1033" w:type="dxa"/>
            <w:vMerge w:val="continue"/>
            <w:tcBorders>
              <w:top w:val="single" w:color="auto" w:sz="4" w:space="0"/>
              <w:left w:val="single" w:color="auto" w:sz="4" w:space="0"/>
              <w:bottom w:val="single" w:color="auto" w:sz="4" w:space="0"/>
              <w:right w:val="single" w:color="auto" w:sz="4" w:space="0"/>
            </w:tcBorders>
            <w:noWrap w:val="0"/>
            <w:vAlign w:val="center"/>
          </w:tcPr>
          <w:p w14:paraId="0A5FC44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7" w:type="dxa"/>
            <w:vMerge w:val="continue"/>
            <w:tcBorders>
              <w:top w:val="single" w:color="auto" w:sz="4" w:space="0"/>
              <w:left w:val="single" w:color="auto" w:sz="4" w:space="0"/>
              <w:bottom w:val="single" w:color="auto" w:sz="4" w:space="0"/>
              <w:right w:val="single" w:color="auto" w:sz="4" w:space="0"/>
            </w:tcBorders>
            <w:noWrap w:val="0"/>
            <w:vAlign w:val="center"/>
          </w:tcPr>
          <w:p w14:paraId="2F5F64B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21" w:type="dxa"/>
            <w:tcBorders>
              <w:top w:val="single" w:color="auto" w:sz="4" w:space="0"/>
              <w:left w:val="single" w:color="auto" w:sz="4" w:space="0"/>
              <w:bottom w:val="single" w:color="auto" w:sz="4" w:space="0"/>
              <w:right w:val="single" w:color="auto" w:sz="4" w:space="0"/>
            </w:tcBorders>
            <w:noWrap w:val="0"/>
            <w:vAlign w:val="center"/>
          </w:tcPr>
          <w:p w14:paraId="581046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73AA44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549" w:type="dxa"/>
            <w:tcBorders>
              <w:top w:val="single" w:color="auto" w:sz="4" w:space="0"/>
              <w:left w:val="single" w:color="auto" w:sz="4" w:space="0"/>
              <w:bottom w:val="single" w:color="auto" w:sz="4" w:space="0"/>
              <w:right w:val="single" w:color="auto" w:sz="4" w:space="0"/>
            </w:tcBorders>
            <w:noWrap w:val="0"/>
            <w:vAlign w:val="center"/>
          </w:tcPr>
          <w:p w14:paraId="0AB8962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是否有利于改善城市景观</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5B7BA4A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美化城市景观</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2E6368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城市景观有所改善</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7548FFF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4DB44E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7713D6F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E7B0CB7">
        <w:tblPrEx>
          <w:tblCellMar>
            <w:top w:w="0" w:type="dxa"/>
            <w:left w:w="108" w:type="dxa"/>
            <w:bottom w:w="0" w:type="dxa"/>
            <w:right w:w="108" w:type="dxa"/>
          </w:tblCellMar>
        </w:tblPrEx>
        <w:trPr>
          <w:jc w:val="center"/>
        </w:trPr>
        <w:tc>
          <w:tcPr>
            <w:tcW w:w="1033" w:type="dxa"/>
            <w:vMerge w:val="continue"/>
            <w:tcBorders>
              <w:top w:val="single" w:color="auto" w:sz="4" w:space="0"/>
              <w:left w:val="single" w:color="auto" w:sz="4" w:space="0"/>
              <w:bottom w:val="single" w:color="auto" w:sz="4" w:space="0"/>
              <w:right w:val="single" w:color="auto" w:sz="4" w:space="0"/>
            </w:tcBorders>
            <w:noWrap w:val="0"/>
            <w:vAlign w:val="center"/>
          </w:tcPr>
          <w:p w14:paraId="5E541C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47" w:type="dxa"/>
            <w:vMerge w:val="continue"/>
            <w:tcBorders>
              <w:top w:val="single" w:color="auto" w:sz="4" w:space="0"/>
              <w:left w:val="single" w:color="auto" w:sz="4" w:space="0"/>
              <w:bottom w:val="single" w:color="auto" w:sz="4" w:space="0"/>
              <w:right w:val="single" w:color="auto" w:sz="4" w:space="0"/>
            </w:tcBorders>
            <w:noWrap w:val="0"/>
            <w:vAlign w:val="center"/>
          </w:tcPr>
          <w:p w14:paraId="6611954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21" w:type="dxa"/>
            <w:tcBorders>
              <w:top w:val="single" w:color="auto" w:sz="4" w:space="0"/>
              <w:left w:val="single" w:color="auto" w:sz="4" w:space="0"/>
              <w:bottom w:val="single" w:color="auto" w:sz="4" w:space="0"/>
              <w:right w:val="single" w:color="auto" w:sz="4" w:space="0"/>
            </w:tcBorders>
            <w:noWrap w:val="0"/>
            <w:vAlign w:val="center"/>
          </w:tcPr>
          <w:p w14:paraId="57FF73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549" w:type="dxa"/>
            <w:tcBorders>
              <w:top w:val="single" w:color="auto" w:sz="4" w:space="0"/>
              <w:left w:val="single" w:color="auto" w:sz="4" w:space="0"/>
              <w:bottom w:val="single" w:color="auto" w:sz="4" w:space="0"/>
              <w:right w:val="single" w:color="auto" w:sz="4" w:space="0"/>
            </w:tcBorders>
            <w:noWrap w:val="0"/>
            <w:vAlign w:val="center"/>
          </w:tcPr>
          <w:p w14:paraId="2C1C381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市政设施完好率</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36DA4ED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提升市政设施完好率</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22270CE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市政设施完好率不断提升</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7FB8B4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6A07AB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0531791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部分单位损坏市政设施后选择自行修复，但由于修复标准不一，影响整体效果。下一步将加强宣传与管理，统一修复标准，提升市政设施整体效果</w:t>
            </w:r>
          </w:p>
        </w:tc>
      </w:tr>
      <w:tr w14:paraId="4D89652D">
        <w:tblPrEx>
          <w:tblCellMar>
            <w:top w:w="0" w:type="dxa"/>
            <w:left w:w="108" w:type="dxa"/>
            <w:bottom w:w="0" w:type="dxa"/>
            <w:right w:w="108" w:type="dxa"/>
          </w:tblCellMar>
        </w:tblPrEx>
        <w:trPr>
          <w:jc w:val="center"/>
        </w:trPr>
        <w:tc>
          <w:tcPr>
            <w:tcW w:w="1033" w:type="dxa"/>
            <w:vMerge w:val="continue"/>
            <w:tcBorders>
              <w:top w:val="single" w:color="auto" w:sz="4" w:space="0"/>
              <w:left w:val="single" w:color="auto" w:sz="4" w:space="0"/>
              <w:bottom w:val="single" w:color="auto" w:sz="4" w:space="0"/>
              <w:right w:val="single" w:color="auto" w:sz="4" w:space="0"/>
            </w:tcBorders>
            <w:noWrap w:val="0"/>
            <w:vAlign w:val="center"/>
          </w:tcPr>
          <w:p w14:paraId="7A388E9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E233E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5BCEA1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3BBF547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21" w:type="dxa"/>
            <w:tcBorders>
              <w:top w:val="single" w:color="auto" w:sz="4" w:space="0"/>
              <w:left w:val="single" w:color="auto" w:sz="4" w:space="0"/>
              <w:bottom w:val="single" w:color="auto" w:sz="4" w:space="0"/>
              <w:right w:val="single" w:color="auto" w:sz="4" w:space="0"/>
            </w:tcBorders>
            <w:noWrap w:val="0"/>
            <w:vAlign w:val="center"/>
          </w:tcPr>
          <w:p w14:paraId="4B90A87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549" w:type="dxa"/>
            <w:tcBorders>
              <w:top w:val="single" w:color="auto" w:sz="4" w:space="0"/>
              <w:left w:val="single" w:color="auto" w:sz="4" w:space="0"/>
              <w:bottom w:val="single" w:color="auto" w:sz="4" w:space="0"/>
              <w:right w:val="single" w:color="auto" w:sz="4" w:space="0"/>
            </w:tcBorders>
            <w:noWrap w:val="0"/>
            <w:vAlign w:val="center"/>
          </w:tcPr>
          <w:p w14:paraId="4170B44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使用对象满意度</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7289860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95%</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9EA5DE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96%</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6CA2EC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72B236B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23676C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849F090">
        <w:tblPrEx>
          <w:tblCellMar>
            <w:top w:w="0" w:type="dxa"/>
            <w:left w:w="108" w:type="dxa"/>
            <w:bottom w:w="0" w:type="dxa"/>
            <w:right w:w="108" w:type="dxa"/>
          </w:tblCellMar>
        </w:tblPrEx>
        <w:trPr>
          <w:trHeight w:val="405" w:hRule="atLeast"/>
          <w:jc w:val="center"/>
        </w:trPr>
        <w:tc>
          <w:tcPr>
            <w:tcW w:w="6921" w:type="dxa"/>
            <w:gridSpan w:val="6"/>
            <w:tcBorders>
              <w:top w:val="single" w:color="auto" w:sz="4" w:space="0"/>
              <w:left w:val="single" w:color="auto" w:sz="4" w:space="0"/>
              <w:bottom w:val="single" w:color="auto" w:sz="4" w:space="0"/>
              <w:right w:val="single" w:color="auto" w:sz="4" w:space="0"/>
            </w:tcBorders>
            <w:noWrap w:val="0"/>
            <w:vAlign w:val="center"/>
          </w:tcPr>
          <w:p w14:paraId="053FFC5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5145C4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010D1B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98</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5E113F9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4C30C72A">
      <w:pPr>
        <w:keepNext w:val="0"/>
        <w:keepLines w:val="0"/>
        <w:pageBreakBefore w:val="0"/>
        <w:widowControl w:val="0"/>
        <w:kinsoku/>
        <w:wordWrap/>
        <w:overflowPunct/>
        <w:topLinePunct w:val="0"/>
        <w:autoSpaceDE/>
        <w:autoSpaceDN/>
        <w:bidi w:val="0"/>
        <w:adjustRightInd/>
        <w:snapToGrid/>
        <w:spacing w:afterLines="0" w:line="360" w:lineRule="auto"/>
        <w:ind w:right="0" w:rightChars="0"/>
        <w:jc w:val="both"/>
        <w:textAlignment w:val="auto"/>
        <w:rPr>
          <w:rFonts w:hint="eastAsia" w:ascii="仿宋_GB2312" w:hAnsi="仿宋_GB2312" w:eastAsia="仿宋_GB2312" w:cs="仿宋_GB2312"/>
          <w:sz w:val="22"/>
          <w:szCs w:val="22"/>
          <w:highlight w:val="none"/>
        </w:rPr>
      </w:pPr>
    </w:p>
    <w:p w14:paraId="6BEBC01A">
      <w:pPr>
        <w:keepNext w:val="0"/>
        <w:keepLines w:val="0"/>
        <w:pageBreakBefore w:val="0"/>
        <w:widowControl w:val="0"/>
        <w:kinsoku/>
        <w:wordWrap/>
        <w:overflowPunct/>
        <w:topLinePunct w:val="0"/>
        <w:autoSpaceDE/>
        <w:autoSpaceDN/>
        <w:bidi w:val="0"/>
        <w:adjustRightInd/>
        <w:snapToGrid/>
        <w:spacing w:afterLines="0" w:line="360" w:lineRule="auto"/>
        <w:ind w:right="0" w:rightChars="0"/>
        <w:jc w:val="both"/>
        <w:textAlignment w:val="auto"/>
        <w:rPr>
          <w:rFonts w:hint="eastAsia"/>
          <w:lang w:val="en-US" w:eastAsia="zh-CN"/>
        </w:rPr>
      </w:pPr>
      <w:r>
        <w:rPr>
          <w:rFonts w:hint="eastAsia" w:ascii="仿宋_GB2312" w:hAnsi="仿宋_GB2312" w:eastAsia="仿宋_GB2312" w:cs="仿宋_GB2312"/>
          <w:sz w:val="22"/>
          <w:szCs w:val="22"/>
          <w:highlight w:val="none"/>
        </w:rPr>
        <w:t>填表人：</w:t>
      </w:r>
      <w:r>
        <w:rPr>
          <w:rFonts w:hint="eastAsia" w:ascii="仿宋_GB2312" w:hAnsi="仿宋_GB2312" w:eastAsia="仿宋_GB2312" w:cs="仿宋_GB2312"/>
          <w:color w:val="000000" w:themeColor="text1"/>
          <w:spacing w:val="0"/>
          <w:sz w:val="22"/>
          <w:szCs w:val="22"/>
          <w:lang w:eastAsia="zh-CN"/>
          <w14:textFill>
            <w14:solidFill>
              <w14:schemeClr w14:val="tx1"/>
            </w14:solidFill>
          </w14:textFill>
        </w:rPr>
        <w:t>刘</w:t>
      </w:r>
      <w:r>
        <w:rPr>
          <w:rFonts w:hint="eastAsia" w:ascii="仿宋_GB2312" w:hAnsi="仿宋_GB2312" w:eastAsia="仿宋_GB2312" w:cs="仿宋_GB2312"/>
          <w:color w:val="000000" w:themeColor="text1"/>
          <w:spacing w:val="0"/>
          <w:sz w:val="22"/>
          <w:szCs w:val="2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sz w:val="22"/>
          <w:szCs w:val="22"/>
          <w:lang w:eastAsia="zh-CN"/>
          <w14:textFill>
            <w14:solidFill>
              <w14:schemeClr w14:val="tx1"/>
            </w14:solidFill>
          </w14:textFill>
        </w:rPr>
        <w:t>蓓</w:t>
      </w:r>
      <w:r>
        <w:rPr>
          <w:rFonts w:hint="eastAsia" w:ascii="仿宋_GB2312" w:hAnsi="仿宋_GB2312" w:eastAsia="仿宋_GB2312" w:cs="仿宋_GB2312"/>
          <w:sz w:val="22"/>
          <w:szCs w:val="22"/>
          <w:highlight w:val="none"/>
        </w:rPr>
        <w:t xml:space="preserve">  填报日期：</w:t>
      </w:r>
      <w:r>
        <w:rPr>
          <w:rFonts w:hint="eastAsia" w:ascii="仿宋_GB2312" w:hAnsi="仿宋_GB2312" w:eastAsia="仿宋_GB2312" w:cs="仿宋_GB2312"/>
          <w:sz w:val="22"/>
          <w:szCs w:val="22"/>
          <w:highlight w:val="none"/>
          <w:lang w:val="en-US" w:eastAsia="zh-CN"/>
        </w:rPr>
        <w:t xml:space="preserve">2026.6.23 </w:t>
      </w:r>
      <w:r>
        <w:rPr>
          <w:rFonts w:hint="eastAsia" w:ascii="仿宋_GB2312" w:hAnsi="仿宋_GB2312" w:eastAsia="仿宋_GB2312" w:cs="仿宋_GB2312"/>
          <w:sz w:val="22"/>
          <w:szCs w:val="22"/>
          <w:highlight w:val="none"/>
        </w:rPr>
        <w:t xml:space="preserve"> 联系电话：</w:t>
      </w:r>
      <w:r>
        <w:rPr>
          <w:rFonts w:hint="eastAsia" w:ascii="仿宋_GB2312" w:hAnsi="仿宋_GB2312" w:eastAsia="仿宋_GB2312" w:cs="仿宋_GB2312"/>
          <w:sz w:val="22"/>
          <w:szCs w:val="22"/>
          <w:highlight w:val="none"/>
          <w:lang w:val="en-US" w:eastAsia="zh-CN"/>
        </w:rPr>
        <w:t>0730-</w:t>
      </w:r>
      <w:r>
        <w:rPr>
          <w:rFonts w:hint="eastAsia" w:ascii="仿宋_GB2312" w:hAnsi="仿宋_GB2312" w:eastAsia="仿宋_GB2312" w:cs="仿宋_GB2312"/>
          <w:color w:val="000000" w:themeColor="text1"/>
          <w:spacing w:val="0"/>
          <w:sz w:val="22"/>
          <w:szCs w:val="22"/>
          <w:lang w:val="en-US" w:eastAsia="zh-CN"/>
          <w14:textFill>
            <w14:solidFill>
              <w14:schemeClr w14:val="tx1"/>
            </w14:solidFill>
          </w14:textFill>
        </w:rPr>
        <w:t>822281</w:t>
      </w:r>
      <w:r>
        <w:rPr>
          <w:rFonts w:hint="eastAsia" w:ascii="仿宋_GB2312" w:hAnsi="仿宋_GB2312" w:eastAsia="仿宋_GB2312" w:cs="仿宋_GB2312"/>
          <w:sz w:val="22"/>
          <w:szCs w:val="22"/>
          <w:highlight w:val="none"/>
          <w:lang w:val="en-US" w:eastAsia="zh-CN"/>
        </w:rPr>
        <w:t xml:space="preserve">  </w:t>
      </w:r>
      <w:r>
        <w:rPr>
          <w:rFonts w:hint="eastAsia" w:ascii="仿宋_GB2312" w:hAnsi="仿宋_GB2312" w:eastAsia="仿宋_GB2312" w:cs="仿宋_GB2312"/>
          <w:sz w:val="22"/>
          <w:szCs w:val="22"/>
          <w:highlight w:val="none"/>
        </w:rPr>
        <w:t xml:space="preserve"> 单位负责人：</w:t>
      </w:r>
      <w:r>
        <w:rPr>
          <w:rFonts w:hint="eastAsia" w:ascii="仿宋_GB2312" w:hAnsi="仿宋_GB2312" w:eastAsia="仿宋_GB2312" w:cs="仿宋_GB2312"/>
          <w:sz w:val="22"/>
          <w:szCs w:val="22"/>
          <w:highlight w:val="none"/>
          <w:lang w:eastAsia="zh-CN"/>
        </w:rPr>
        <w:t>郑</w:t>
      </w:r>
      <w:r>
        <w:rPr>
          <w:rFonts w:hint="eastAsia" w:ascii="仿宋_GB2312" w:hAnsi="仿宋_GB2312" w:eastAsia="仿宋_GB2312" w:cs="仿宋_GB2312"/>
          <w:sz w:val="22"/>
          <w:szCs w:val="22"/>
          <w:highlight w:val="none"/>
          <w:lang w:val="en-US" w:eastAsia="zh-CN"/>
        </w:rPr>
        <w:t xml:space="preserve">  伟</w:t>
      </w:r>
    </w:p>
    <w:sectPr>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98B1EEB2-5230-4F23-9440-9CE1AAF83A30}"/>
  </w:font>
  <w:font w:name="黑体">
    <w:panose1 w:val="02010609060101010101"/>
    <w:charset w:val="86"/>
    <w:family w:val="auto"/>
    <w:pitch w:val="default"/>
    <w:sig w:usb0="800002BF" w:usb1="38CF7CFA" w:usb2="00000016" w:usb3="00000000" w:csb0="00040001" w:csb1="00000000"/>
    <w:embedRegular r:id="rId2" w:fontKey="{B4B6E3EE-A5DB-475D-9FB6-2ECE026E527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embedRegular r:id="rId3" w:fontKey="{EEA98FAE-154E-466B-AA38-078554D68C84}"/>
  </w:font>
  <w:font w:name="???-18030">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embedRegular r:id="rId4" w:fontKey="{041CD986-0464-49A0-951D-CA8FDB626648}"/>
  </w:font>
  <w:font w:name="楷体_GB2312">
    <w:altName w:val="楷体"/>
    <w:panose1 w:val="02010609030101010101"/>
    <w:charset w:val="86"/>
    <w:family w:val="modern"/>
    <w:pitch w:val="default"/>
    <w:sig w:usb0="00000000" w:usb1="00000000" w:usb2="00000000" w:usb3="00000000" w:csb0="00040000" w:csb1="00000000"/>
    <w:embedRegular r:id="rId5" w:fontKey="{B92BDF23-2553-477A-BF29-7E720C572178}"/>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embedRegular r:id="rId6" w:fontKey="{3068B184-A695-4626-B286-65ABF80DA09E}"/>
  </w:font>
  <w:font w:name="CESI仿宋-GB2312">
    <w:altName w:val="仿宋"/>
    <w:panose1 w:val="02000500000000000000"/>
    <w:charset w:val="86"/>
    <w:family w:val="auto"/>
    <w:pitch w:val="default"/>
    <w:sig w:usb0="00000000" w:usb1="00000000" w:usb2="00000010" w:usb3="00000000" w:csb0="0004000F" w:csb1="00000000"/>
    <w:embedRegular r:id="rId7" w:fontKey="{9AFD5257-2727-4B7A-B731-1EAAB1E7047A}"/>
  </w:font>
  <w:font w:name="Microsoft Himalaya">
    <w:panose1 w:val="01010100010101010101"/>
    <w:charset w:val="00"/>
    <w:family w:val="auto"/>
    <w:pitch w:val="default"/>
    <w:sig w:usb0="80000003" w:usb1="00010000" w:usb2="00000040" w:usb3="00000000" w:csb0="00000001" w:csb1="00000000"/>
    <w:embedRegular r:id="rId8" w:fontKey="{072B8FE5-DDED-4FD0-A68A-2122B9A1BB0C}"/>
  </w:font>
  <w:font w:name="方正仿宋_GBK">
    <w:panose1 w:val="02000000000000000000"/>
    <w:charset w:val="86"/>
    <w:family w:val="auto"/>
    <w:pitch w:val="default"/>
    <w:sig w:usb0="A00002BF" w:usb1="38CF7CFA" w:usb2="00082016" w:usb3="00000000" w:csb0="00040001" w:csb1="00000000"/>
    <w:embedRegular r:id="rId9" w:fontKey="{7292E80E-5C4D-480C-8676-8D88A9AE5632}"/>
  </w:font>
  <w:font w:name="华文仿宋">
    <w:panose1 w:val="02010600040101010101"/>
    <w:charset w:val="86"/>
    <w:family w:val="auto"/>
    <w:pitch w:val="default"/>
    <w:sig w:usb0="00000287" w:usb1="080F0000" w:usb2="00000000" w:usb3="00000000" w:csb0="0004009F" w:csb1="DFD70000"/>
    <w:embedRegular r:id="rId10" w:fontKey="{CD8C2697-84FD-4E13-8AB1-4CAC089BD9DD}"/>
  </w:font>
  <w:font w:name="MS PGothic">
    <w:panose1 w:val="020B0600070205080204"/>
    <w:charset w:val="80"/>
    <w:family w:val="auto"/>
    <w:pitch w:val="default"/>
    <w:sig w:usb0="E00002FF" w:usb1="6AC7FDFB" w:usb2="00000012" w:usb3="00000000" w:csb0="4002009F" w:csb1="DFD7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B5FE4">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61BD1C">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A61BD1C">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19A01">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EC756">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AEC756">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9D74C">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9E2E78">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89E2E78">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15E22">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0D045A">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D0D045A">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27A889"/>
    <w:multiLevelType w:val="singleLevel"/>
    <w:tmpl w:val="0127A889"/>
    <w:lvl w:ilvl="0" w:tentative="0">
      <w:start w:val="1"/>
      <w:numFmt w:val="chineseCounting"/>
      <w:suff w:val="nothing"/>
      <w:lvlText w:val="%1、"/>
      <w:lvlJc w:val="left"/>
      <w:rPr>
        <w:rFonts w:hint="eastAsia"/>
      </w:rPr>
    </w:lvl>
  </w:abstractNum>
  <w:abstractNum w:abstractNumId="1">
    <w:nsid w:val="07CA244C"/>
    <w:multiLevelType w:val="singleLevel"/>
    <w:tmpl w:val="07CA244C"/>
    <w:lvl w:ilvl="0" w:tentative="0">
      <w:start w:val="1"/>
      <w:numFmt w:val="chineseCounting"/>
      <w:suff w:val="nothing"/>
      <w:lvlText w:val="（%1）"/>
      <w:lvlJc w:val="left"/>
      <w:rPr>
        <w:rFonts w:hint="eastAsia"/>
      </w:rPr>
    </w:lvl>
  </w:abstractNum>
  <w:abstractNum w:abstractNumId="2">
    <w:nsid w:val="0BE8C4C3"/>
    <w:multiLevelType w:val="singleLevel"/>
    <w:tmpl w:val="0BE8C4C3"/>
    <w:lvl w:ilvl="0" w:tentative="0">
      <w:start w:val="1"/>
      <w:numFmt w:val="chineseCounting"/>
      <w:suff w:val="nothing"/>
      <w:lvlText w:val="（%1）"/>
      <w:lvlJc w:val="left"/>
      <w:rPr>
        <w:rFonts w:hint="eastAsia" w:ascii="楷体_GB2312" w:hAnsi="楷体_GB2312" w:eastAsia="楷体_GB2312" w:cs="楷体_GB2312"/>
        <w:sz w:val="32"/>
        <w:szCs w:val="32"/>
      </w:rPr>
    </w:lvl>
  </w:abstractNum>
  <w:abstractNum w:abstractNumId="3">
    <w:nsid w:val="4E0980DE"/>
    <w:multiLevelType w:val="singleLevel"/>
    <w:tmpl w:val="4E0980DE"/>
    <w:lvl w:ilvl="0" w:tentative="0">
      <w:start w:val="2"/>
      <w:numFmt w:val="chineseCounting"/>
      <w:suff w:val="nothing"/>
      <w:lvlText w:val="(%1）"/>
      <w:lvlJc w:val="left"/>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5OTBlMjkxOGJkZTY2YWVjYTkxNWZjODEzNjkwZDcifQ=="/>
  </w:docVars>
  <w:rsids>
    <w:rsidRoot w:val="59886344"/>
    <w:rsid w:val="001F4C26"/>
    <w:rsid w:val="003F5F2A"/>
    <w:rsid w:val="00563274"/>
    <w:rsid w:val="009D3941"/>
    <w:rsid w:val="00BF0E19"/>
    <w:rsid w:val="00CF3752"/>
    <w:rsid w:val="00E40880"/>
    <w:rsid w:val="013E2A4E"/>
    <w:rsid w:val="014632E9"/>
    <w:rsid w:val="019F636B"/>
    <w:rsid w:val="01AF5332"/>
    <w:rsid w:val="01CC1A40"/>
    <w:rsid w:val="01E46D89"/>
    <w:rsid w:val="01F64D0F"/>
    <w:rsid w:val="0212599B"/>
    <w:rsid w:val="022C52F4"/>
    <w:rsid w:val="027A19C3"/>
    <w:rsid w:val="0281282A"/>
    <w:rsid w:val="02832A46"/>
    <w:rsid w:val="028440C8"/>
    <w:rsid w:val="02866093"/>
    <w:rsid w:val="02A92519"/>
    <w:rsid w:val="02C0793B"/>
    <w:rsid w:val="02C941D1"/>
    <w:rsid w:val="02FA082F"/>
    <w:rsid w:val="03004097"/>
    <w:rsid w:val="0361440A"/>
    <w:rsid w:val="03661A20"/>
    <w:rsid w:val="0384001E"/>
    <w:rsid w:val="0388408C"/>
    <w:rsid w:val="03A762C0"/>
    <w:rsid w:val="03C666FA"/>
    <w:rsid w:val="047F6711"/>
    <w:rsid w:val="048D195A"/>
    <w:rsid w:val="04936845"/>
    <w:rsid w:val="04950238"/>
    <w:rsid w:val="04A04386"/>
    <w:rsid w:val="04A96068"/>
    <w:rsid w:val="04D07A99"/>
    <w:rsid w:val="0523447E"/>
    <w:rsid w:val="054364BD"/>
    <w:rsid w:val="05445D91"/>
    <w:rsid w:val="05707F63"/>
    <w:rsid w:val="0580281F"/>
    <w:rsid w:val="05986408"/>
    <w:rsid w:val="05A21435"/>
    <w:rsid w:val="05AC22B4"/>
    <w:rsid w:val="05BFA51B"/>
    <w:rsid w:val="05EA2DDC"/>
    <w:rsid w:val="061A5470"/>
    <w:rsid w:val="064216C0"/>
    <w:rsid w:val="064A73D7"/>
    <w:rsid w:val="065B15E4"/>
    <w:rsid w:val="06824DC3"/>
    <w:rsid w:val="06826B71"/>
    <w:rsid w:val="06D870D9"/>
    <w:rsid w:val="072263A8"/>
    <w:rsid w:val="073360BD"/>
    <w:rsid w:val="07506BD8"/>
    <w:rsid w:val="075C3866"/>
    <w:rsid w:val="075D1EBF"/>
    <w:rsid w:val="078B414B"/>
    <w:rsid w:val="079513A0"/>
    <w:rsid w:val="07B13BB2"/>
    <w:rsid w:val="07DBBF97"/>
    <w:rsid w:val="07DE30E8"/>
    <w:rsid w:val="07EA2C20"/>
    <w:rsid w:val="07EC0E4C"/>
    <w:rsid w:val="07F90C0E"/>
    <w:rsid w:val="082A74C0"/>
    <w:rsid w:val="0865674A"/>
    <w:rsid w:val="08962DA7"/>
    <w:rsid w:val="08C77405"/>
    <w:rsid w:val="08CE0793"/>
    <w:rsid w:val="08EB30F3"/>
    <w:rsid w:val="08F94841"/>
    <w:rsid w:val="0940176E"/>
    <w:rsid w:val="0970184A"/>
    <w:rsid w:val="0982571B"/>
    <w:rsid w:val="098A290C"/>
    <w:rsid w:val="09A339CE"/>
    <w:rsid w:val="09BA2382"/>
    <w:rsid w:val="09D97496"/>
    <w:rsid w:val="09DA6CC4"/>
    <w:rsid w:val="09F9FD21"/>
    <w:rsid w:val="0A0A733F"/>
    <w:rsid w:val="0A2328A5"/>
    <w:rsid w:val="0A283ED3"/>
    <w:rsid w:val="0A2925FF"/>
    <w:rsid w:val="0A2A37A7"/>
    <w:rsid w:val="0A314B36"/>
    <w:rsid w:val="0A5E78F5"/>
    <w:rsid w:val="0A652A31"/>
    <w:rsid w:val="0A690774"/>
    <w:rsid w:val="0AC91212"/>
    <w:rsid w:val="0AE0030A"/>
    <w:rsid w:val="0AED769F"/>
    <w:rsid w:val="0B5A630E"/>
    <w:rsid w:val="0BA457DB"/>
    <w:rsid w:val="0BB55B0D"/>
    <w:rsid w:val="0BCB0A0C"/>
    <w:rsid w:val="0BCD6AE0"/>
    <w:rsid w:val="0BCE4606"/>
    <w:rsid w:val="0BDE6F3F"/>
    <w:rsid w:val="0BE67BA2"/>
    <w:rsid w:val="0BEC4CD3"/>
    <w:rsid w:val="0BF30FFB"/>
    <w:rsid w:val="0C2506CA"/>
    <w:rsid w:val="0C363019"/>
    <w:rsid w:val="0C4B24F1"/>
    <w:rsid w:val="0C6236CC"/>
    <w:rsid w:val="0C69059F"/>
    <w:rsid w:val="0C7358DA"/>
    <w:rsid w:val="0C7B02EA"/>
    <w:rsid w:val="0C9D2956"/>
    <w:rsid w:val="0D0504FC"/>
    <w:rsid w:val="0D847397"/>
    <w:rsid w:val="0DA547B6"/>
    <w:rsid w:val="0DC45CC1"/>
    <w:rsid w:val="0DD905D6"/>
    <w:rsid w:val="0DEDEAD8"/>
    <w:rsid w:val="0DF2038A"/>
    <w:rsid w:val="0DF2282E"/>
    <w:rsid w:val="0DFF93EA"/>
    <w:rsid w:val="0DFFE783"/>
    <w:rsid w:val="0E2D7D0A"/>
    <w:rsid w:val="0E4806A0"/>
    <w:rsid w:val="0E6F20D1"/>
    <w:rsid w:val="0E8004E8"/>
    <w:rsid w:val="0E811E04"/>
    <w:rsid w:val="0EAFB5C2"/>
    <w:rsid w:val="0ECD1421"/>
    <w:rsid w:val="0EE83C31"/>
    <w:rsid w:val="0EF75E8E"/>
    <w:rsid w:val="0F225A13"/>
    <w:rsid w:val="0F2F360E"/>
    <w:rsid w:val="0F3D4EFB"/>
    <w:rsid w:val="0F3E75D5"/>
    <w:rsid w:val="0F4C5F6E"/>
    <w:rsid w:val="0F7554C5"/>
    <w:rsid w:val="0F792829"/>
    <w:rsid w:val="0F916077"/>
    <w:rsid w:val="0FA638D0"/>
    <w:rsid w:val="0FABB44B"/>
    <w:rsid w:val="0FAF4BD0"/>
    <w:rsid w:val="0FB57FB7"/>
    <w:rsid w:val="0FE34B24"/>
    <w:rsid w:val="0FEA2DC6"/>
    <w:rsid w:val="0FED59A3"/>
    <w:rsid w:val="0FEF4286"/>
    <w:rsid w:val="102003D3"/>
    <w:rsid w:val="1020743A"/>
    <w:rsid w:val="102E0261"/>
    <w:rsid w:val="103B4960"/>
    <w:rsid w:val="103E61FE"/>
    <w:rsid w:val="10481B52"/>
    <w:rsid w:val="104E0165"/>
    <w:rsid w:val="107514F4"/>
    <w:rsid w:val="10790550"/>
    <w:rsid w:val="107918BF"/>
    <w:rsid w:val="10A67900"/>
    <w:rsid w:val="10C304B2"/>
    <w:rsid w:val="10CC4159"/>
    <w:rsid w:val="10FA52BC"/>
    <w:rsid w:val="11005262"/>
    <w:rsid w:val="113373E5"/>
    <w:rsid w:val="11733097"/>
    <w:rsid w:val="118F3A92"/>
    <w:rsid w:val="11A2456B"/>
    <w:rsid w:val="11C6025A"/>
    <w:rsid w:val="11CA6736"/>
    <w:rsid w:val="11CD66CC"/>
    <w:rsid w:val="11E16DBC"/>
    <w:rsid w:val="120945EA"/>
    <w:rsid w:val="12435D4E"/>
    <w:rsid w:val="124E69E8"/>
    <w:rsid w:val="12571784"/>
    <w:rsid w:val="125A4E46"/>
    <w:rsid w:val="1284666A"/>
    <w:rsid w:val="128D0D77"/>
    <w:rsid w:val="12EA4759"/>
    <w:rsid w:val="12EB1E25"/>
    <w:rsid w:val="12EC0194"/>
    <w:rsid w:val="131D7FE0"/>
    <w:rsid w:val="137A3878"/>
    <w:rsid w:val="138C7281"/>
    <w:rsid w:val="13D053C0"/>
    <w:rsid w:val="13D6674E"/>
    <w:rsid w:val="14072DAB"/>
    <w:rsid w:val="141C043C"/>
    <w:rsid w:val="142016CF"/>
    <w:rsid w:val="147014A9"/>
    <w:rsid w:val="14720225"/>
    <w:rsid w:val="14843E57"/>
    <w:rsid w:val="14DE5705"/>
    <w:rsid w:val="14F90946"/>
    <w:rsid w:val="151237B6"/>
    <w:rsid w:val="15170DCC"/>
    <w:rsid w:val="151C4634"/>
    <w:rsid w:val="151D121B"/>
    <w:rsid w:val="153E45AB"/>
    <w:rsid w:val="157ED449"/>
    <w:rsid w:val="1582093B"/>
    <w:rsid w:val="158346B4"/>
    <w:rsid w:val="1595558F"/>
    <w:rsid w:val="15BE74C2"/>
    <w:rsid w:val="15C9656A"/>
    <w:rsid w:val="15DE18EA"/>
    <w:rsid w:val="15E2004A"/>
    <w:rsid w:val="16021F42"/>
    <w:rsid w:val="16AE89F3"/>
    <w:rsid w:val="16B70803"/>
    <w:rsid w:val="16BA047E"/>
    <w:rsid w:val="16BD6696"/>
    <w:rsid w:val="16C48F58"/>
    <w:rsid w:val="16D025EF"/>
    <w:rsid w:val="16EB2510"/>
    <w:rsid w:val="16F9EE74"/>
    <w:rsid w:val="16FA388F"/>
    <w:rsid w:val="170B670F"/>
    <w:rsid w:val="170D06D9"/>
    <w:rsid w:val="172B08CC"/>
    <w:rsid w:val="174734AB"/>
    <w:rsid w:val="174B2FAF"/>
    <w:rsid w:val="17572A7D"/>
    <w:rsid w:val="175B58E8"/>
    <w:rsid w:val="1761165C"/>
    <w:rsid w:val="177F0133"/>
    <w:rsid w:val="17884203"/>
    <w:rsid w:val="178C784F"/>
    <w:rsid w:val="17AC0514"/>
    <w:rsid w:val="17C20BA8"/>
    <w:rsid w:val="17CA481C"/>
    <w:rsid w:val="17D31922"/>
    <w:rsid w:val="17DB840A"/>
    <w:rsid w:val="17DFAB75"/>
    <w:rsid w:val="17E543AE"/>
    <w:rsid w:val="17EFDF35"/>
    <w:rsid w:val="17FB7A1E"/>
    <w:rsid w:val="18277578"/>
    <w:rsid w:val="182932F0"/>
    <w:rsid w:val="1867206B"/>
    <w:rsid w:val="18770500"/>
    <w:rsid w:val="187D363C"/>
    <w:rsid w:val="18D77ECF"/>
    <w:rsid w:val="18DD7AE4"/>
    <w:rsid w:val="19033B41"/>
    <w:rsid w:val="190D2C12"/>
    <w:rsid w:val="191044B0"/>
    <w:rsid w:val="19377C8F"/>
    <w:rsid w:val="19551BD9"/>
    <w:rsid w:val="19630A84"/>
    <w:rsid w:val="19CB7F59"/>
    <w:rsid w:val="19EE2A43"/>
    <w:rsid w:val="19FDC551"/>
    <w:rsid w:val="1A030DE0"/>
    <w:rsid w:val="1A06226D"/>
    <w:rsid w:val="1A2139A3"/>
    <w:rsid w:val="1A21737F"/>
    <w:rsid w:val="1A2F583E"/>
    <w:rsid w:val="1A3909FA"/>
    <w:rsid w:val="1A584361"/>
    <w:rsid w:val="1A6920CA"/>
    <w:rsid w:val="1A732F49"/>
    <w:rsid w:val="1A733BBE"/>
    <w:rsid w:val="1A765A93"/>
    <w:rsid w:val="1AAB623F"/>
    <w:rsid w:val="1AB33345"/>
    <w:rsid w:val="1ACA327D"/>
    <w:rsid w:val="1AD27C6F"/>
    <w:rsid w:val="1B100797"/>
    <w:rsid w:val="1B1453A9"/>
    <w:rsid w:val="1B1E2EB4"/>
    <w:rsid w:val="1B300E3A"/>
    <w:rsid w:val="1B4B7A22"/>
    <w:rsid w:val="1B6E388C"/>
    <w:rsid w:val="1B6F3B23"/>
    <w:rsid w:val="1B7FA26E"/>
    <w:rsid w:val="1BA432A8"/>
    <w:rsid w:val="1BAF128C"/>
    <w:rsid w:val="1BBF64DB"/>
    <w:rsid w:val="1BC670A8"/>
    <w:rsid w:val="1BDE1E53"/>
    <w:rsid w:val="1C034E47"/>
    <w:rsid w:val="1C142509"/>
    <w:rsid w:val="1C715D05"/>
    <w:rsid w:val="1C792991"/>
    <w:rsid w:val="1CBF64FE"/>
    <w:rsid w:val="1CC01D49"/>
    <w:rsid w:val="1CC67D35"/>
    <w:rsid w:val="1CCC6333"/>
    <w:rsid w:val="1CF12B0A"/>
    <w:rsid w:val="1D2E3157"/>
    <w:rsid w:val="1D3753FE"/>
    <w:rsid w:val="1D5A219E"/>
    <w:rsid w:val="1D7414E5"/>
    <w:rsid w:val="1DA578BD"/>
    <w:rsid w:val="1DAE215E"/>
    <w:rsid w:val="1DB63CAD"/>
    <w:rsid w:val="1DD106B2"/>
    <w:rsid w:val="1DD11B67"/>
    <w:rsid w:val="1DD79B20"/>
    <w:rsid w:val="1DDE7F18"/>
    <w:rsid w:val="1DFF8578"/>
    <w:rsid w:val="1E0C793C"/>
    <w:rsid w:val="1E1F64AE"/>
    <w:rsid w:val="1E2527AC"/>
    <w:rsid w:val="1E6C413D"/>
    <w:rsid w:val="1E6F1C79"/>
    <w:rsid w:val="1E7D7EF2"/>
    <w:rsid w:val="1EBD10C1"/>
    <w:rsid w:val="1EC71AB5"/>
    <w:rsid w:val="1EE14925"/>
    <w:rsid w:val="1EF67CA4"/>
    <w:rsid w:val="1EF732C2"/>
    <w:rsid w:val="1EF743BA"/>
    <w:rsid w:val="1EF7E10E"/>
    <w:rsid w:val="1EF98480"/>
    <w:rsid w:val="1F132604"/>
    <w:rsid w:val="1F151741"/>
    <w:rsid w:val="1F223D05"/>
    <w:rsid w:val="1F301408"/>
    <w:rsid w:val="1F332CA6"/>
    <w:rsid w:val="1F4D1FBA"/>
    <w:rsid w:val="1F5E41C7"/>
    <w:rsid w:val="1F6B41EE"/>
    <w:rsid w:val="1F73046B"/>
    <w:rsid w:val="1F74BEB0"/>
    <w:rsid w:val="1F7E4E8A"/>
    <w:rsid w:val="1F813A12"/>
    <w:rsid w:val="1F8D23B7"/>
    <w:rsid w:val="1FDF21AF"/>
    <w:rsid w:val="1FEE70DF"/>
    <w:rsid w:val="1FEEDB63"/>
    <w:rsid w:val="1FEFE096"/>
    <w:rsid w:val="1FF329DE"/>
    <w:rsid w:val="1FFACDB0"/>
    <w:rsid w:val="1FFC3D24"/>
    <w:rsid w:val="1FFF11CD"/>
    <w:rsid w:val="20032679"/>
    <w:rsid w:val="2011502D"/>
    <w:rsid w:val="2043516B"/>
    <w:rsid w:val="205630F0"/>
    <w:rsid w:val="20566C4C"/>
    <w:rsid w:val="20692782"/>
    <w:rsid w:val="207F7BB6"/>
    <w:rsid w:val="20A43E5C"/>
    <w:rsid w:val="20AA343C"/>
    <w:rsid w:val="20DA787E"/>
    <w:rsid w:val="20E92EC4"/>
    <w:rsid w:val="210061D6"/>
    <w:rsid w:val="21117B79"/>
    <w:rsid w:val="21154BA4"/>
    <w:rsid w:val="211A5ECC"/>
    <w:rsid w:val="212705E9"/>
    <w:rsid w:val="213D3949"/>
    <w:rsid w:val="21453DB4"/>
    <w:rsid w:val="214C004F"/>
    <w:rsid w:val="21582E98"/>
    <w:rsid w:val="216058A9"/>
    <w:rsid w:val="217C0935"/>
    <w:rsid w:val="217C517A"/>
    <w:rsid w:val="21893052"/>
    <w:rsid w:val="21C1459A"/>
    <w:rsid w:val="21C32926"/>
    <w:rsid w:val="21D41800"/>
    <w:rsid w:val="22294365"/>
    <w:rsid w:val="22364F87"/>
    <w:rsid w:val="224B70FF"/>
    <w:rsid w:val="22597779"/>
    <w:rsid w:val="226B1251"/>
    <w:rsid w:val="22787ACF"/>
    <w:rsid w:val="229972C4"/>
    <w:rsid w:val="22C73E32"/>
    <w:rsid w:val="22DB5B2F"/>
    <w:rsid w:val="22E16244"/>
    <w:rsid w:val="22E91FFA"/>
    <w:rsid w:val="23452FA8"/>
    <w:rsid w:val="23496F3C"/>
    <w:rsid w:val="2366191B"/>
    <w:rsid w:val="236839CB"/>
    <w:rsid w:val="237F295E"/>
    <w:rsid w:val="23857F98"/>
    <w:rsid w:val="23A6192A"/>
    <w:rsid w:val="23AE0B4E"/>
    <w:rsid w:val="23B77210"/>
    <w:rsid w:val="23C93BD9"/>
    <w:rsid w:val="23CD191B"/>
    <w:rsid w:val="23D06D16"/>
    <w:rsid w:val="23E822B1"/>
    <w:rsid w:val="23FD2EE8"/>
    <w:rsid w:val="2435301D"/>
    <w:rsid w:val="24875A24"/>
    <w:rsid w:val="248863FE"/>
    <w:rsid w:val="24CA70D0"/>
    <w:rsid w:val="24E567F1"/>
    <w:rsid w:val="24FF3D57"/>
    <w:rsid w:val="25113A8A"/>
    <w:rsid w:val="253F05F7"/>
    <w:rsid w:val="25461985"/>
    <w:rsid w:val="25564299"/>
    <w:rsid w:val="255E0351"/>
    <w:rsid w:val="256718FC"/>
    <w:rsid w:val="256911D0"/>
    <w:rsid w:val="257FEFEA"/>
    <w:rsid w:val="258E6E89"/>
    <w:rsid w:val="25922CDA"/>
    <w:rsid w:val="25A14E0E"/>
    <w:rsid w:val="25B032A3"/>
    <w:rsid w:val="260333D3"/>
    <w:rsid w:val="26103D41"/>
    <w:rsid w:val="263E1317"/>
    <w:rsid w:val="26627380"/>
    <w:rsid w:val="26A84300"/>
    <w:rsid w:val="26B50445"/>
    <w:rsid w:val="26B50AAA"/>
    <w:rsid w:val="26B7E3DE"/>
    <w:rsid w:val="26BF46E7"/>
    <w:rsid w:val="26C07516"/>
    <w:rsid w:val="26FBD038"/>
    <w:rsid w:val="26FE3B9A"/>
    <w:rsid w:val="27035905"/>
    <w:rsid w:val="27070CA1"/>
    <w:rsid w:val="27181100"/>
    <w:rsid w:val="27351CB2"/>
    <w:rsid w:val="27558469"/>
    <w:rsid w:val="27671B02"/>
    <w:rsid w:val="27693709"/>
    <w:rsid w:val="27AE55C0"/>
    <w:rsid w:val="27BA49AC"/>
    <w:rsid w:val="27BB2021"/>
    <w:rsid w:val="27BD2266"/>
    <w:rsid w:val="27BEEF02"/>
    <w:rsid w:val="27C7B0A9"/>
    <w:rsid w:val="27DFAA7F"/>
    <w:rsid w:val="27FFD3D8"/>
    <w:rsid w:val="28086671"/>
    <w:rsid w:val="280C1053"/>
    <w:rsid w:val="28422863"/>
    <w:rsid w:val="287265EE"/>
    <w:rsid w:val="287F6F5C"/>
    <w:rsid w:val="28926C90"/>
    <w:rsid w:val="28991DCC"/>
    <w:rsid w:val="28EA13DF"/>
    <w:rsid w:val="292D0705"/>
    <w:rsid w:val="293146FB"/>
    <w:rsid w:val="29534918"/>
    <w:rsid w:val="2976210D"/>
    <w:rsid w:val="299E23E0"/>
    <w:rsid w:val="29B44768"/>
    <w:rsid w:val="29B82726"/>
    <w:rsid w:val="29F666F3"/>
    <w:rsid w:val="2A0B6CFA"/>
    <w:rsid w:val="2A181417"/>
    <w:rsid w:val="2A6603D4"/>
    <w:rsid w:val="2A930A9D"/>
    <w:rsid w:val="2AC800C8"/>
    <w:rsid w:val="2ACA1805"/>
    <w:rsid w:val="2AE164EB"/>
    <w:rsid w:val="2AFE7E6E"/>
    <w:rsid w:val="2B165956"/>
    <w:rsid w:val="2B342280"/>
    <w:rsid w:val="2B3476CD"/>
    <w:rsid w:val="2B487ADA"/>
    <w:rsid w:val="2B6C5576"/>
    <w:rsid w:val="2B6F91A6"/>
    <w:rsid w:val="2B73193E"/>
    <w:rsid w:val="2BB65F56"/>
    <w:rsid w:val="2BF76E81"/>
    <w:rsid w:val="2C1520B2"/>
    <w:rsid w:val="2C245E51"/>
    <w:rsid w:val="2C2E7151"/>
    <w:rsid w:val="2C581964"/>
    <w:rsid w:val="2C7D420B"/>
    <w:rsid w:val="2C8E776E"/>
    <w:rsid w:val="2CCB2770"/>
    <w:rsid w:val="2D102879"/>
    <w:rsid w:val="2D1660E1"/>
    <w:rsid w:val="2D177764"/>
    <w:rsid w:val="2D207C8A"/>
    <w:rsid w:val="2D2D51D9"/>
    <w:rsid w:val="2D3DA89F"/>
    <w:rsid w:val="2D3F5D2D"/>
    <w:rsid w:val="2D4A6466"/>
    <w:rsid w:val="2D7ACE8C"/>
    <w:rsid w:val="2D92328E"/>
    <w:rsid w:val="2DBF2965"/>
    <w:rsid w:val="2DBFC87E"/>
    <w:rsid w:val="2DD45655"/>
    <w:rsid w:val="2DE41D3C"/>
    <w:rsid w:val="2DE47F8D"/>
    <w:rsid w:val="2DED564A"/>
    <w:rsid w:val="2DF3C5E1"/>
    <w:rsid w:val="2E00469C"/>
    <w:rsid w:val="2E0C3040"/>
    <w:rsid w:val="2E1B47E9"/>
    <w:rsid w:val="2E3B3926"/>
    <w:rsid w:val="2E455F2E"/>
    <w:rsid w:val="2E4A29C4"/>
    <w:rsid w:val="2E7361AA"/>
    <w:rsid w:val="2E935510"/>
    <w:rsid w:val="2EA339A5"/>
    <w:rsid w:val="2EA3A4D7"/>
    <w:rsid w:val="2EB3170E"/>
    <w:rsid w:val="2EB45BB2"/>
    <w:rsid w:val="2EBD3813"/>
    <w:rsid w:val="2EBEFDA1"/>
    <w:rsid w:val="2ECC611B"/>
    <w:rsid w:val="2ED3590C"/>
    <w:rsid w:val="2ED7496F"/>
    <w:rsid w:val="2ED79C25"/>
    <w:rsid w:val="2EDE3101"/>
    <w:rsid w:val="2F364819"/>
    <w:rsid w:val="2F3D354D"/>
    <w:rsid w:val="2F3F2AFF"/>
    <w:rsid w:val="2F4F7689"/>
    <w:rsid w:val="2F5B8D64"/>
    <w:rsid w:val="2F5D8700"/>
    <w:rsid w:val="2F6F1AD9"/>
    <w:rsid w:val="2F718172"/>
    <w:rsid w:val="2F7964B4"/>
    <w:rsid w:val="2F8512FC"/>
    <w:rsid w:val="2F9F19DD"/>
    <w:rsid w:val="2FAA1963"/>
    <w:rsid w:val="2FB7ADED"/>
    <w:rsid w:val="2FBAE8F2"/>
    <w:rsid w:val="2FBFD7D6"/>
    <w:rsid w:val="2FBFE14D"/>
    <w:rsid w:val="2FC16F49"/>
    <w:rsid w:val="2FD635A1"/>
    <w:rsid w:val="2FD6DF93"/>
    <w:rsid w:val="2FEFE79C"/>
    <w:rsid w:val="2FF646D2"/>
    <w:rsid w:val="2FF749CE"/>
    <w:rsid w:val="2FF9DAB2"/>
    <w:rsid w:val="2FFDC8E6"/>
    <w:rsid w:val="30124148"/>
    <w:rsid w:val="30466CDD"/>
    <w:rsid w:val="30607673"/>
    <w:rsid w:val="30664236"/>
    <w:rsid w:val="3075311F"/>
    <w:rsid w:val="307849BD"/>
    <w:rsid w:val="307A24E3"/>
    <w:rsid w:val="309713E7"/>
    <w:rsid w:val="30EE1DEE"/>
    <w:rsid w:val="3106021B"/>
    <w:rsid w:val="31077308"/>
    <w:rsid w:val="31080849"/>
    <w:rsid w:val="311D7312"/>
    <w:rsid w:val="313AD418"/>
    <w:rsid w:val="31476781"/>
    <w:rsid w:val="31523460"/>
    <w:rsid w:val="316E47AA"/>
    <w:rsid w:val="317A6513"/>
    <w:rsid w:val="319F66B5"/>
    <w:rsid w:val="31BE0AF5"/>
    <w:rsid w:val="31BFE42C"/>
    <w:rsid w:val="31F75DB5"/>
    <w:rsid w:val="32026C34"/>
    <w:rsid w:val="321EE511"/>
    <w:rsid w:val="322E4F1A"/>
    <w:rsid w:val="326E256E"/>
    <w:rsid w:val="32D0288E"/>
    <w:rsid w:val="32D61E6F"/>
    <w:rsid w:val="32DC6793"/>
    <w:rsid w:val="32F02F31"/>
    <w:rsid w:val="33423060"/>
    <w:rsid w:val="33584A7B"/>
    <w:rsid w:val="336A2CE3"/>
    <w:rsid w:val="33792F26"/>
    <w:rsid w:val="33883169"/>
    <w:rsid w:val="33B13175"/>
    <w:rsid w:val="33C06DA7"/>
    <w:rsid w:val="33CF3729"/>
    <w:rsid w:val="33DF0751"/>
    <w:rsid w:val="33DF6757"/>
    <w:rsid w:val="33E76E23"/>
    <w:rsid w:val="33E77F72"/>
    <w:rsid w:val="33ED56C2"/>
    <w:rsid w:val="33FE7C62"/>
    <w:rsid w:val="34086058"/>
    <w:rsid w:val="342543B7"/>
    <w:rsid w:val="344A6670"/>
    <w:rsid w:val="346267E7"/>
    <w:rsid w:val="3491429F"/>
    <w:rsid w:val="34BD32E6"/>
    <w:rsid w:val="34BE8580"/>
    <w:rsid w:val="34BF0E0C"/>
    <w:rsid w:val="34C44E95"/>
    <w:rsid w:val="34C93A39"/>
    <w:rsid w:val="34D148F2"/>
    <w:rsid w:val="34FF745B"/>
    <w:rsid w:val="353DCB0E"/>
    <w:rsid w:val="35507CB7"/>
    <w:rsid w:val="355F17FC"/>
    <w:rsid w:val="357D08E9"/>
    <w:rsid w:val="358856A2"/>
    <w:rsid w:val="359C73A0"/>
    <w:rsid w:val="359C7B48"/>
    <w:rsid w:val="35AB1391"/>
    <w:rsid w:val="35AB2F7A"/>
    <w:rsid w:val="35C6441D"/>
    <w:rsid w:val="35DF76CF"/>
    <w:rsid w:val="35EEC6F0"/>
    <w:rsid w:val="35FD0E35"/>
    <w:rsid w:val="35FED397"/>
    <w:rsid w:val="35FF7E3B"/>
    <w:rsid w:val="365732C7"/>
    <w:rsid w:val="36625977"/>
    <w:rsid w:val="369F491C"/>
    <w:rsid w:val="36A858D0"/>
    <w:rsid w:val="36C21D82"/>
    <w:rsid w:val="36C24BE4"/>
    <w:rsid w:val="36E0506A"/>
    <w:rsid w:val="36EC7EB3"/>
    <w:rsid w:val="36F11025"/>
    <w:rsid w:val="36FB0124"/>
    <w:rsid w:val="36FD0401"/>
    <w:rsid w:val="36FD53E6"/>
    <w:rsid w:val="37163674"/>
    <w:rsid w:val="37256F21"/>
    <w:rsid w:val="374750E9"/>
    <w:rsid w:val="37555A58"/>
    <w:rsid w:val="375D7432"/>
    <w:rsid w:val="377F1A56"/>
    <w:rsid w:val="37B74408"/>
    <w:rsid w:val="37BC5181"/>
    <w:rsid w:val="37D5AF8A"/>
    <w:rsid w:val="37DC66A6"/>
    <w:rsid w:val="37EBE952"/>
    <w:rsid w:val="37F039D3"/>
    <w:rsid w:val="37F90336"/>
    <w:rsid w:val="37FA215C"/>
    <w:rsid w:val="37FBA52B"/>
    <w:rsid w:val="37FFC521"/>
    <w:rsid w:val="380F3E59"/>
    <w:rsid w:val="382D5A23"/>
    <w:rsid w:val="38351123"/>
    <w:rsid w:val="38523D46"/>
    <w:rsid w:val="38564001"/>
    <w:rsid w:val="3885236D"/>
    <w:rsid w:val="388E678B"/>
    <w:rsid w:val="38975FEE"/>
    <w:rsid w:val="389C3213"/>
    <w:rsid w:val="38A6A4D5"/>
    <w:rsid w:val="38D806EF"/>
    <w:rsid w:val="38EC7CF6"/>
    <w:rsid w:val="38F018A4"/>
    <w:rsid w:val="391C1A1D"/>
    <w:rsid w:val="391C205D"/>
    <w:rsid w:val="39296CF1"/>
    <w:rsid w:val="393B8186"/>
    <w:rsid w:val="393D67A4"/>
    <w:rsid w:val="39433B79"/>
    <w:rsid w:val="39463085"/>
    <w:rsid w:val="3950297B"/>
    <w:rsid w:val="39551D3F"/>
    <w:rsid w:val="39663F4D"/>
    <w:rsid w:val="396D2DA3"/>
    <w:rsid w:val="398E34A3"/>
    <w:rsid w:val="39927EEA"/>
    <w:rsid w:val="39992310"/>
    <w:rsid w:val="399A68E9"/>
    <w:rsid w:val="399FE0C2"/>
    <w:rsid w:val="39BE5B37"/>
    <w:rsid w:val="39E35A00"/>
    <w:rsid w:val="39E7A7BA"/>
    <w:rsid w:val="39F552D0"/>
    <w:rsid w:val="39F7303D"/>
    <w:rsid w:val="39FFB41F"/>
    <w:rsid w:val="3A362A43"/>
    <w:rsid w:val="3A6B4FF2"/>
    <w:rsid w:val="3A766411"/>
    <w:rsid w:val="3A850402"/>
    <w:rsid w:val="3AA720CC"/>
    <w:rsid w:val="3AAD7959"/>
    <w:rsid w:val="3ABB47D0"/>
    <w:rsid w:val="3ABFA687"/>
    <w:rsid w:val="3ADD0FDD"/>
    <w:rsid w:val="3AE227BC"/>
    <w:rsid w:val="3B0A4DAB"/>
    <w:rsid w:val="3B337E5E"/>
    <w:rsid w:val="3B3FD647"/>
    <w:rsid w:val="3B654619"/>
    <w:rsid w:val="3B6FF9E5"/>
    <w:rsid w:val="3B8E74DE"/>
    <w:rsid w:val="3B9A1C8B"/>
    <w:rsid w:val="3BA527DC"/>
    <w:rsid w:val="3BA743A8"/>
    <w:rsid w:val="3BB3EC54"/>
    <w:rsid w:val="3BB547BF"/>
    <w:rsid w:val="3BB6D9F5"/>
    <w:rsid w:val="3BBDC54C"/>
    <w:rsid w:val="3BBE7B9A"/>
    <w:rsid w:val="3BCA3F69"/>
    <w:rsid w:val="3BCE4121"/>
    <w:rsid w:val="3BE61DC8"/>
    <w:rsid w:val="3BFD72CA"/>
    <w:rsid w:val="3BFDEAC7"/>
    <w:rsid w:val="3BFF6133"/>
    <w:rsid w:val="3C0D24FF"/>
    <w:rsid w:val="3C4A628B"/>
    <w:rsid w:val="3C5E3B51"/>
    <w:rsid w:val="3C6F3118"/>
    <w:rsid w:val="3C821E5C"/>
    <w:rsid w:val="3C9C1A33"/>
    <w:rsid w:val="3CAEAE60"/>
    <w:rsid w:val="3CBF19F9"/>
    <w:rsid w:val="3CE31410"/>
    <w:rsid w:val="3CFE26EE"/>
    <w:rsid w:val="3D0C6BB9"/>
    <w:rsid w:val="3D4448E0"/>
    <w:rsid w:val="3D5B544A"/>
    <w:rsid w:val="3D793B23"/>
    <w:rsid w:val="3D7E2704"/>
    <w:rsid w:val="3D7F0540"/>
    <w:rsid w:val="3DBF9912"/>
    <w:rsid w:val="3DD05E38"/>
    <w:rsid w:val="3DD27E02"/>
    <w:rsid w:val="3DDD4F97"/>
    <w:rsid w:val="3DF20CBB"/>
    <w:rsid w:val="3DFFEC87"/>
    <w:rsid w:val="3E237A35"/>
    <w:rsid w:val="3E3363C7"/>
    <w:rsid w:val="3E3824EF"/>
    <w:rsid w:val="3E4D1237"/>
    <w:rsid w:val="3E533253"/>
    <w:rsid w:val="3E5F0F6A"/>
    <w:rsid w:val="3E7B9B86"/>
    <w:rsid w:val="3E8D02CD"/>
    <w:rsid w:val="3EA177D5"/>
    <w:rsid w:val="3EA3354D"/>
    <w:rsid w:val="3EC3599D"/>
    <w:rsid w:val="3ECF6D87"/>
    <w:rsid w:val="3EDC0657"/>
    <w:rsid w:val="3EDDAF53"/>
    <w:rsid w:val="3EE53B65"/>
    <w:rsid w:val="3EF6E1CC"/>
    <w:rsid w:val="3EF8DE55"/>
    <w:rsid w:val="3EFE041A"/>
    <w:rsid w:val="3EFE0941"/>
    <w:rsid w:val="3F0833B0"/>
    <w:rsid w:val="3F0A537A"/>
    <w:rsid w:val="3F172290"/>
    <w:rsid w:val="3F3EC6A9"/>
    <w:rsid w:val="3F591E5E"/>
    <w:rsid w:val="3F5B7D9C"/>
    <w:rsid w:val="3F5D89C8"/>
    <w:rsid w:val="3F5F3B09"/>
    <w:rsid w:val="3F63C4AD"/>
    <w:rsid w:val="3F6D3308"/>
    <w:rsid w:val="3F6D83DA"/>
    <w:rsid w:val="3F7B4EF9"/>
    <w:rsid w:val="3F7B9EF7"/>
    <w:rsid w:val="3F7D58C4"/>
    <w:rsid w:val="3F7F10C8"/>
    <w:rsid w:val="3F7F20AD"/>
    <w:rsid w:val="3F9714ED"/>
    <w:rsid w:val="3F974237"/>
    <w:rsid w:val="3F9B0241"/>
    <w:rsid w:val="3FB5AD2F"/>
    <w:rsid w:val="3FBAAB5B"/>
    <w:rsid w:val="3FBF109B"/>
    <w:rsid w:val="3FBF1A2A"/>
    <w:rsid w:val="3FBF4BDF"/>
    <w:rsid w:val="3FBF858D"/>
    <w:rsid w:val="3FBFC738"/>
    <w:rsid w:val="3FC4A1F9"/>
    <w:rsid w:val="3FC512A1"/>
    <w:rsid w:val="3FD15E98"/>
    <w:rsid w:val="3FD53E51"/>
    <w:rsid w:val="3FD71032"/>
    <w:rsid w:val="3FD76B63"/>
    <w:rsid w:val="3FDA491F"/>
    <w:rsid w:val="3FDB6C15"/>
    <w:rsid w:val="3FDBD2BD"/>
    <w:rsid w:val="3FDC258E"/>
    <w:rsid w:val="3FDEEB4D"/>
    <w:rsid w:val="3FDF045D"/>
    <w:rsid w:val="3FE51A52"/>
    <w:rsid w:val="3FE73B29"/>
    <w:rsid w:val="3FED144A"/>
    <w:rsid w:val="3FEDDD04"/>
    <w:rsid w:val="3FEEA710"/>
    <w:rsid w:val="3FEF17C6"/>
    <w:rsid w:val="3FEF4421"/>
    <w:rsid w:val="3FEF627C"/>
    <w:rsid w:val="3FEFB0ED"/>
    <w:rsid w:val="3FF55125"/>
    <w:rsid w:val="3FF6F44F"/>
    <w:rsid w:val="3FF74D64"/>
    <w:rsid w:val="3FF7C5DF"/>
    <w:rsid w:val="3FF9B39F"/>
    <w:rsid w:val="3FFC4467"/>
    <w:rsid w:val="3FFF08A4"/>
    <w:rsid w:val="3FFF25BC"/>
    <w:rsid w:val="3FFF5086"/>
    <w:rsid w:val="3FFFB881"/>
    <w:rsid w:val="3FFFC5EE"/>
    <w:rsid w:val="3FFFF296"/>
    <w:rsid w:val="40002726"/>
    <w:rsid w:val="400C551E"/>
    <w:rsid w:val="40271F5C"/>
    <w:rsid w:val="40381A73"/>
    <w:rsid w:val="409F7D44"/>
    <w:rsid w:val="40C7225C"/>
    <w:rsid w:val="40CB28E7"/>
    <w:rsid w:val="40D043A1"/>
    <w:rsid w:val="412A5087"/>
    <w:rsid w:val="4131552A"/>
    <w:rsid w:val="41641C86"/>
    <w:rsid w:val="416C7340"/>
    <w:rsid w:val="41C2018E"/>
    <w:rsid w:val="42274495"/>
    <w:rsid w:val="42530DE6"/>
    <w:rsid w:val="42786A9F"/>
    <w:rsid w:val="42B9333F"/>
    <w:rsid w:val="42FC4385"/>
    <w:rsid w:val="430F518E"/>
    <w:rsid w:val="43165337"/>
    <w:rsid w:val="43713C1A"/>
    <w:rsid w:val="438D20D6"/>
    <w:rsid w:val="438D7711"/>
    <w:rsid w:val="43A7763B"/>
    <w:rsid w:val="43B27D8E"/>
    <w:rsid w:val="43BE4985"/>
    <w:rsid w:val="43C53F65"/>
    <w:rsid w:val="43F4400D"/>
    <w:rsid w:val="43F65388"/>
    <w:rsid w:val="44382E93"/>
    <w:rsid w:val="44627A06"/>
    <w:rsid w:val="448E07FB"/>
    <w:rsid w:val="44950109"/>
    <w:rsid w:val="44A75419"/>
    <w:rsid w:val="44A92F74"/>
    <w:rsid w:val="44F22B38"/>
    <w:rsid w:val="44F3122C"/>
    <w:rsid w:val="450317EC"/>
    <w:rsid w:val="451C5BBF"/>
    <w:rsid w:val="455530C7"/>
    <w:rsid w:val="45742E4C"/>
    <w:rsid w:val="4599566D"/>
    <w:rsid w:val="45AB037C"/>
    <w:rsid w:val="45AC7FDA"/>
    <w:rsid w:val="45B609EF"/>
    <w:rsid w:val="45CE5353"/>
    <w:rsid w:val="45DE6E06"/>
    <w:rsid w:val="45E83F3B"/>
    <w:rsid w:val="45EB38B5"/>
    <w:rsid w:val="46957C1F"/>
    <w:rsid w:val="46AE6F33"/>
    <w:rsid w:val="46B52034"/>
    <w:rsid w:val="46BF55D1"/>
    <w:rsid w:val="46CC1167"/>
    <w:rsid w:val="46D923D8"/>
    <w:rsid w:val="46DC11B8"/>
    <w:rsid w:val="46DF755D"/>
    <w:rsid w:val="46F937D6"/>
    <w:rsid w:val="46FF676C"/>
    <w:rsid w:val="47462CC7"/>
    <w:rsid w:val="477B37BF"/>
    <w:rsid w:val="47E26177"/>
    <w:rsid w:val="47E371D8"/>
    <w:rsid w:val="47F86278"/>
    <w:rsid w:val="47FA0FFD"/>
    <w:rsid w:val="47FB1BEF"/>
    <w:rsid w:val="47FF6DD7"/>
    <w:rsid w:val="484713ED"/>
    <w:rsid w:val="485D29BF"/>
    <w:rsid w:val="48A51C70"/>
    <w:rsid w:val="48DF1625"/>
    <w:rsid w:val="48F5140F"/>
    <w:rsid w:val="48F6EBB9"/>
    <w:rsid w:val="49180694"/>
    <w:rsid w:val="4929464F"/>
    <w:rsid w:val="492B6619"/>
    <w:rsid w:val="493D634C"/>
    <w:rsid w:val="49804BB7"/>
    <w:rsid w:val="49973BDF"/>
    <w:rsid w:val="499F0E56"/>
    <w:rsid w:val="49B54134"/>
    <w:rsid w:val="49BE748D"/>
    <w:rsid w:val="49D43C50"/>
    <w:rsid w:val="4A421E6C"/>
    <w:rsid w:val="4A7A27F3"/>
    <w:rsid w:val="4A7B537E"/>
    <w:rsid w:val="4A9D83B3"/>
    <w:rsid w:val="4AA5064D"/>
    <w:rsid w:val="4AA532B1"/>
    <w:rsid w:val="4AC5484B"/>
    <w:rsid w:val="4AEF40C4"/>
    <w:rsid w:val="4AF15640"/>
    <w:rsid w:val="4B55797D"/>
    <w:rsid w:val="4B5E0F27"/>
    <w:rsid w:val="4B9DB7DD"/>
    <w:rsid w:val="4B9F0D75"/>
    <w:rsid w:val="4BA12BC2"/>
    <w:rsid w:val="4BB00825"/>
    <w:rsid w:val="4BCCD4D3"/>
    <w:rsid w:val="4BEFCDC6"/>
    <w:rsid w:val="4BFD3C75"/>
    <w:rsid w:val="4C325F63"/>
    <w:rsid w:val="4C650094"/>
    <w:rsid w:val="4C7BA678"/>
    <w:rsid w:val="4CB8759E"/>
    <w:rsid w:val="4CC0176E"/>
    <w:rsid w:val="4D1675E0"/>
    <w:rsid w:val="4D2D6B40"/>
    <w:rsid w:val="4D347533"/>
    <w:rsid w:val="4D4F6AB4"/>
    <w:rsid w:val="4D7B3559"/>
    <w:rsid w:val="4D901140"/>
    <w:rsid w:val="4DBF2EC8"/>
    <w:rsid w:val="4DC91C06"/>
    <w:rsid w:val="4DE4148C"/>
    <w:rsid w:val="4DF5E1A4"/>
    <w:rsid w:val="4E0833CC"/>
    <w:rsid w:val="4E0B28D9"/>
    <w:rsid w:val="4E143B1F"/>
    <w:rsid w:val="4E4C5B74"/>
    <w:rsid w:val="4E5F9FDF"/>
    <w:rsid w:val="4E870795"/>
    <w:rsid w:val="4EAB696C"/>
    <w:rsid w:val="4EBD26F6"/>
    <w:rsid w:val="4EDB4A1F"/>
    <w:rsid w:val="4EEDFACD"/>
    <w:rsid w:val="4EF83441"/>
    <w:rsid w:val="4EFD967C"/>
    <w:rsid w:val="4EFFF76C"/>
    <w:rsid w:val="4F0516BA"/>
    <w:rsid w:val="4F47FC7F"/>
    <w:rsid w:val="4F626B0C"/>
    <w:rsid w:val="4F7B0B05"/>
    <w:rsid w:val="4F8627FB"/>
    <w:rsid w:val="4F8E7901"/>
    <w:rsid w:val="4FCD5DF5"/>
    <w:rsid w:val="4FE0080E"/>
    <w:rsid w:val="4FE37C4D"/>
    <w:rsid w:val="4FE736C3"/>
    <w:rsid w:val="4FEE2C9B"/>
    <w:rsid w:val="4FEF5074"/>
    <w:rsid w:val="4FF13E3E"/>
    <w:rsid w:val="4FFE2985"/>
    <w:rsid w:val="4FFF9941"/>
    <w:rsid w:val="4FFFC824"/>
    <w:rsid w:val="50193725"/>
    <w:rsid w:val="502D0EC8"/>
    <w:rsid w:val="50403A7D"/>
    <w:rsid w:val="50632065"/>
    <w:rsid w:val="50657E8F"/>
    <w:rsid w:val="506B0F49"/>
    <w:rsid w:val="50741279"/>
    <w:rsid w:val="50746AF7"/>
    <w:rsid w:val="507811E4"/>
    <w:rsid w:val="50AD7156"/>
    <w:rsid w:val="50B26176"/>
    <w:rsid w:val="50B769E4"/>
    <w:rsid w:val="50D348A8"/>
    <w:rsid w:val="50E6454A"/>
    <w:rsid w:val="50F625AF"/>
    <w:rsid w:val="50F73284"/>
    <w:rsid w:val="511124D0"/>
    <w:rsid w:val="51136310"/>
    <w:rsid w:val="512D239E"/>
    <w:rsid w:val="51703763"/>
    <w:rsid w:val="518123D3"/>
    <w:rsid w:val="51850890"/>
    <w:rsid w:val="51A27694"/>
    <w:rsid w:val="51A86FD4"/>
    <w:rsid w:val="51DD22DD"/>
    <w:rsid w:val="51F06651"/>
    <w:rsid w:val="521A547C"/>
    <w:rsid w:val="52505342"/>
    <w:rsid w:val="52750905"/>
    <w:rsid w:val="527903F5"/>
    <w:rsid w:val="52BA27BB"/>
    <w:rsid w:val="52C42D7B"/>
    <w:rsid w:val="52DD2516"/>
    <w:rsid w:val="52EB7B2A"/>
    <w:rsid w:val="52F97788"/>
    <w:rsid w:val="5391176E"/>
    <w:rsid w:val="539179C0"/>
    <w:rsid w:val="53B4545D"/>
    <w:rsid w:val="53BFBB33"/>
    <w:rsid w:val="53C438F2"/>
    <w:rsid w:val="53CC09F8"/>
    <w:rsid w:val="53DF52F9"/>
    <w:rsid w:val="53DF5F28"/>
    <w:rsid w:val="53EFF119"/>
    <w:rsid w:val="53F87A3F"/>
    <w:rsid w:val="53FF0E79"/>
    <w:rsid w:val="5426154A"/>
    <w:rsid w:val="54422A68"/>
    <w:rsid w:val="549E0F61"/>
    <w:rsid w:val="54C46B14"/>
    <w:rsid w:val="54CC98CE"/>
    <w:rsid w:val="54FB75D3"/>
    <w:rsid w:val="550F71CE"/>
    <w:rsid w:val="5511700B"/>
    <w:rsid w:val="555E38D2"/>
    <w:rsid w:val="556A04C9"/>
    <w:rsid w:val="55756616"/>
    <w:rsid w:val="55913CA7"/>
    <w:rsid w:val="559E0172"/>
    <w:rsid w:val="55AD03B6"/>
    <w:rsid w:val="55BE34C6"/>
    <w:rsid w:val="55EE2838"/>
    <w:rsid w:val="55FF9201"/>
    <w:rsid w:val="56073F6A"/>
    <w:rsid w:val="562543F0"/>
    <w:rsid w:val="562E4B6A"/>
    <w:rsid w:val="56321D83"/>
    <w:rsid w:val="563E861B"/>
    <w:rsid w:val="564451BE"/>
    <w:rsid w:val="56576C9F"/>
    <w:rsid w:val="566A7C9F"/>
    <w:rsid w:val="568F468B"/>
    <w:rsid w:val="56B651FC"/>
    <w:rsid w:val="56BA0FDC"/>
    <w:rsid w:val="56C836F9"/>
    <w:rsid w:val="56CC046B"/>
    <w:rsid w:val="56DBB187"/>
    <w:rsid w:val="56ECCE31"/>
    <w:rsid w:val="56FE711B"/>
    <w:rsid w:val="56FEEBFD"/>
    <w:rsid w:val="571EA5A2"/>
    <w:rsid w:val="572823EA"/>
    <w:rsid w:val="572959A2"/>
    <w:rsid w:val="5737CBB6"/>
    <w:rsid w:val="574C257C"/>
    <w:rsid w:val="575C7219"/>
    <w:rsid w:val="576756AE"/>
    <w:rsid w:val="576D51CD"/>
    <w:rsid w:val="576D9EEC"/>
    <w:rsid w:val="576F0A31"/>
    <w:rsid w:val="57743881"/>
    <w:rsid w:val="577FF5A0"/>
    <w:rsid w:val="579DD38C"/>
    <w:rsid w:val="57AF4001"/>
    <w:rsid w:val="57B4F229"/>
    <w:rsid w:val="57BC4FD5"/>
    <w:rsid w:val="57BDA4EE"/>
    <w:rsid w:val="57BFBC36"/>
    <w:rsid w:val="57C66669"/>
    <w:rsid w:val="57EF6C2C"/>
    <w:rsid w:val="57EF7E76"/>
    <w:rsid w:val="57EFFFCF"/>
    <w:rsid w:val="57FBF713"/>
    <w:rsid w:val="57FF7AB7"/>
    <w:rsid w:val="57FF9A7B"/>
    <w:rsid w:val="57FFA087"/>
    <w:rsid w:val="5818420C"/>
    <w:rsid w:val="582E57DE"/>
    <w:rsid w:val="582F707B"/>
    <w:rsid w:val="58501BF8"/>
    <w:rsid w:val="589612E3"/>
    <w:rsid w:val="58B33085"/>
    <w:rsid w:val="58C359AD"/>
    <w:rsid w:val="58DC348C"/>
    <w:rsid w:val="58ED7447"/>
    <w:rsid w:val="58EF5912"/>
    <w:rsid w:val="5907B4F1"/>
    <w:rsid w:val="593957BB"/>
    <w:rsid w:val="5963554A"/>
    <w:rsid w:val="5969092C"/>
    <w:rsid w:val="597F42FA"/>
    <w:rsid w:val="59886344"/>
    <w:rsid w:val="599A2BDE"/>
    <w:rsid w:val="59B83EF9"/>
    <w:rsid w:val="59BBE6DE"/>
    <w:rsid w:val="59C56616"/>
    <w:rsid w:val="59D86349"/>
    <w:rsid w:val="59E3084A"/>
    <w:rsid w:val="59F3B8D7"/>
    <w:rsid w:val="59FE7432"/>
    <w:rsid w:val="59FFBEA0"/>
    <w:rsid w:val="59FFC785"/>
    <w:rsid w:val="5A1B7FE4"/>
    <w:rsid w:val="5A4401BD"/>
    <w:rsid w:val="5A4412E8"/>
    <w:rsid w:val="5A4F7C8D"/>
    <w:rsid w:val="5A557999"/>
    <w:rsid w:val="5A6FE937"/>
    <w:rsid w:val="5AB30E9B"/>
    <w:rsid w:val="5ABD109B"/>
    <w:rsid w:val="5ACB7C5C"/>
    <w:rsid w:val="5AFCEDEB"/>
    <w:rsid w:val="5B0E18F6"/>
    <w:rsid w:val="5B21162A"/>
    <w:rsid w:val="5B2F89F4"/>
    <w:rsid w:val="5B334792"/>
    <w:rsid w:val="5B3DE263"/>
    <w:rsid w:val="5B3F802E"/>
    <w:rsid w:val="5B4F5F3B"/>
    <w:rsid w:val="5B57329D"/>
    <w:rsid w:val="5B5B7FC3"/>
    <w:rsid w:val="5B8027F4"/>
    <w:rsid w:val="5B9242D5"/>
    <w:rsid w:val="5B9C24CE"/>
    <w:rsid w:val="5B9DED82"/>
    <w:rsid w:val="5BB76CE8"/>
    <w:rsid w:val="5BBFF141"/>
    <w:rsid w:val="5BD26DC8"/>
    <w:rsid w:val="5BEF34D6"/>
    <w:rsid w:val="5BFE9A90"/>
    <w:rsid w:val="5BFF22C7"/>
    <w:rsid w:val="5BFF736E"/>
    <w:rsid w:val="5C25514A"/>
    <w:rsid w:val="5C2D665C"/>
    <w:rsid w:val="5C563555"/>
    <w:rsid w:val="5C63269D"/>
    <w:rsid w:val="5C676640"/>
    <w:rsid w:val="5C6E3680"/>
    <w:rsid w:val="5CD821BC"/>
    <w:rsid w:val="5CDDF76B"/>
    <w:rsid w:val="5CEF276D"/>
    <w:rsid w:val="5CF76AE6"/>
    <w:rsid w:val="5CFADA8F"/>
    <w:rsid w:val="5CFFDD9C"/>
    <w:rsid w:val="5D273B8E"/>
    <w:rsid w:val="5D374D6B"/>
    <w:rsid w:val="5D3FC02B"/>
    <w:rsid w:val="5D423AD9"/>
    <w:rsid w:val="5D55B210"/>
    <w:rsid w:val="5D6B9EBD"/>
    <w:rsid w:val="5D774498"/>
    <w:rsid w:val="5D811A1B"/>
    <w:rsid w:val="5DB45CF4"/>
    <w:rsid w:val="5DB80F79"/>
    <w:rsid w:val="5DC30D1A"/>
    <w:rsid w:val="5DC34D3E"/>
    <w:rsid w:val="5DCC9EEE"/>
    <w:rsid w:val="5DD07337"/>
    <w:rsid w:val="5DDEE8C4"/>
    <w:rsid w:val="5DDF6344"/>
    <w:rsid w:val="5DDF9D3C"/>
    <w:rsid w:val="5DE3706A"/>
    <w:rsid w:val="5DEFE4BD"/>
    <w:rsid w:val="5DF7F0C4"/>
    <w:rsid w:val="5DFE1110"/>
    <w:rsid w:val="5DFF9B62"/>
    <w:rsid w:val="5DFFE02F"/>
    <w:rsid w:val="5E37C75A"/>
    <w:rsid w:val="5E4428E5"/>
    <w:rsid w:val="5E5F1310"/>
    <w:rsid w:val="5E6FFEFF"/>
    <w:rsid w:val="5E7B3550"/>
    <w:rsid w:val="5E8C14B0"/>
    <w:rsid w:val="5E9709F3"/>
    <w:rsid w:val="5E9E67ED"/>
    <w:rsid w:val="5EBF2E1D"/>
    <w:rsid w:val="5ED3CD32"/>
    <w:rsid w:val="5EDC52C3"/>
    <w:rsid w:val="5EEB83FE"/>
    <w:rsid w:val="5EED5985"/>
    <w:rsid w:val="5EF3B31F"/>
    <w:rsid w:val="5EF7AF06"/>
    <w:rsid w:val="5EFE1120"/>
    <w:rsid w:val="5EFF13A1"/>
    <w:rsid w:val="5EFF3DBE"/>
    <w:rsid w:val="5EFF457A"/>
    <w:rsid w:val="5F1A4531"/>
    <w:rsid w:val="5F217E4A"/>
    <w:rsid w:val="5F32465D"/>
    <w:rsid w:val="5F3A715E"/>
    <w:rsid w:val="5F3FFBFE"/>
    <w:rsid w:val="5F5558C2"/>
    <w:rsid w:val="5F580071"/>
    <w:rsid w:val="5F5C0E82"/>
    <w:rsid w:val="5F5DEF96"/>
    <w:rsid w:val="5F61293D"/>
    <w:rsid w:val="5F72BCF6"/>
    <w:rsid w:val="5F797585"/>
    <w:rsid w:val="5F7D2060"/>
    <w:rsid w:val="5F7E5AD2"/>
    <w:rsid w:val="5F7F2BE8"/>
    <w:rsid w:val="5F979B02"/>
    <w:rsid w:val="5FABBD5F"/>
    <w:rsid w:val="5FBF240D"/>
    <w:rsid w:val="5FBFC0FD"/>
    <w:rsid w:val="5FC66C44"/>
    <w:rsid w:val="5FCB6008"/>
    <w:rsid w:val="5FCFBC56"/>
    <w:rsid w:val="5FD30328"/>
    <w:rsid w:val="5FD65DDB"/>
    <w:rsid w:val="5FDB161C"/>
    <w:rsid w:val="5FDBB4C3"/>
    <w:rsid w:val="5FDDC8F6"/>
    <w:rsid w:val="5FDF6595"/>
    <w:rsid w:val="5FEB66AA"/>
    <w:rsid w:val="5FF2B1E8"/>
    <w:rsid w:val="5FF4730D"/>
    <w:rsid w:val="5FF6E52D"/>
    <w:rsid w:val="5FF760CB"/>
    <w:rsid w:val="5FF99D55"/>
    <w:rsid w:val="5FFB2090"/>
    <w:rsid w:val="5FFCB255"/>
    <w:rsid w:val="5FFCC4C4"/>
    <w:rsid w:val="5FFE13E4"/>
    <w:rsid w:val="5FFE44BF"/>
    <w:rsid w:val="5FFEC8CC"/>
    <w:rsid w:val="5FFF04B1"/>
    <w:rsid w:val="5FFF38BD"/>
    <w:rsid w:val="5FFF6A2E"/>
    <w:rsid w:val="5FFF7E7A"/>
    <w:rsid w:val="5FFFDE05"/>
    <w:rsid w:val="60213E7A"/>
    <w:rsid w:val="60254A8E"/>
    <w:rsid w:val="602C4AE6"/>
    <w:rsid w:val="603E7C8E"/>
    <w:rsid w:val="60473A9A"/>
    <w:rsid w:val="60A76A75"/>
    <w:rsid w:val="60AA20C1"/>
    <w:rsid w:val="60B908AE"/>
    <w:rsid w:val="60D37589"/>
    <w:rsid w:val="60F8107F"/>
    <w:rsid w:val="611079B6"/>
    <w:rsid w:val="611930CB"/>
    <w:rsid w:val="614E58A5"/>
    <w:rsid w:val="617A1A94"/>
    <w:rsid w:val="61811074"/>
    <w:rsid w:val="61AD3C17"/>
    <w:rsid w:val="61DE1A06"/>
    <w:rsid w:val="61F67910"/>
    <w:rsid w:val="62020F0F"/>
    <w:rsid w:val="62031A89"/>
    <w:rsid w:val="622364BD"/>
    <w:rsid w:val="623B56C7"/>
    <w:rsid w:val="626F3D33"/>
    <w:rsid w:val="627B301E"/>
    <w:rsid w:val="627E4448"/>
    <w:rsid w:val="628C5F22"/>
    <w:rsid w:val="629FF361"/>
    <w:rsid w:val="62A414BE"/>
    <w:rsid w:val="62AC4D13"/>
    <w:rsid w:val="62D858DE"/>
    <w:rsid w:val="63100901"/>
    <w:rsid w:val="63312626"/>
    <w:rsid w:val="636747DD"/>
    <w:rsid w:val="6367D9CE"/>
    <w:rsid w:val="636E73D6"/>
    <w:rsid w:val="637238DE"/>
    <w:rsid w:val="6377272F"/>
    <w:rsid w:val="637DDFDB"/>
    <w:rsid w:val="637F30AF"/>
    <w:rsid w:val="63B76FCF"/>
    <w:rsid w:val="63E019C2"/>
    <w:rsid w:val="63EB4B5E"/>
    <w:rsid w:val="63EF524F"/>
    <w:rsid w:val="63F58AE9"/>
    <w:rsid w:val="63FC066F"/>
    <w:rsid w:val="64032F91"/>
    <w:rsid w:val="64091015"/>
    <w:rsid w:val="64112FF4"/>
    <w:rsid w:val="64265F03"/>
    <w:rsid w:val="64540CC2"/>
    <w:rsid w:val="64874BF3"/>
    <w:rsid w:val="64947310"/>
    <w:rsid w:val="64966BE4"/>
    <w:rsid w:val="649B24DD"/>
    <w:rsid w:val="64AB65E7"/>
    <w:rsid w:val="64ED07CF"/>
    <w:rsid w:val="650401BE"/>
    <w:rsid w:val="65325384"/>
    <w:rsid w:val="653B59DE"/>
    <w:rsid w:val="65474383"/>
    <w:rsid w:val="65493805"/>
    <w:rsid w:val="654C3DA5"/>
    <w:rsid w:val="654E74BF"/>
    <w:rsid w:val="65696075"/>
    <w:rsid w:val="656A38BF"/>
    <w:rsid w:val="65896749"/>
    <w:rsid w:val="65B418F2"/>
    <w:rsid w:val="65BF03BD"/>
    <w:rsid w:val="65C245CC"/>
    <w:rsid w:val="65D5198E"/>
    <w:rsid w:val="65D774B5"/>
    <w:rsid w:val="65D79CA1"/>
    <w:rsid w:val="65DCF2E3"/>
    <w:rsid w:val="65EB11B2"/>
    <w:rsid w:val="65FE7BA6"/>
    <w:rsid w:val="6603474E"/>
    <w:rsid w:val="66110D10"/>
    <w:rsid w:val="66370F45"/>
    <w:rsid w:val="66377F53"/>
    <w:rsid w:val="663A3EE7"/>
    <w:rsid w:val="663D9882"/>
    <w:rsid w:val="669453A6"/>
    <w:rsid w:val="66B0195F"/>
    <w:rsid w:val="66BD1BED"/>
    <w:rsid w:val="66D4362D"/>
    <w:rsid w:val="66EE33EB"/>
    <w:rsid w:val="66F619EF"/>
    <w:rsid w:val="66F75262"/>
    <w:rsid w:val="66FE2161"/>
    <w:rsid w:val="67486190"/>
    <w:rsid w:val="675FE88D"/>
    <w:rsid w:val="677B6565"/>
    <w:rsid w:val="678216A2"/>
    <w:rsid w:val="679BE9AC"/>
    <w:rsid w:val="67AC4971"/>
    <w:rsid w:val="67B0620F"/>
    <w:rsid w:val="67B73C29"/>
    <w:rsid w:val="67B81568"/>
    <w:rsid w:val="67CA4DF7"/>
    <w:rsid w:val="67E3E43A"/>
    <w:rsid w:val="67EC2FBF"/>
    <w:rsid w:val="67EF1A4B"/>
    <w:rsid w:val="67FDE75E"/>
    <w:rsid w:val="67FE3CD2"/>
    <w:rsid w:val="67FF0175"/>
    <w:rsid w:val="67FF6F1E"/>
    <w:rsid w:val="67FFA9CD"/>
    <w:rsid w:val="681A5D7E"/>
    <w:rsid w:val="682C217D"/>
    <w:rsid w:val="684150B9"/>
    <w:rsid w:val="68464DC5"/>
    <w:rsid w:val="684A184C"/>
    <w:rsid w:val="684E4E7D"/>
    <w:rsid w:val="686226D4"/>
    <w:rsid w:val="687A309F"/>
    <w:rsid w:val="687F0A67"/>
    <w:rsid w:val="689D9F77"/>
    <w:rsid w:val="68B03FED"/>
    <w:rsid w:val="68DE0B5A"/>
    <w:rsid w:val="692757B4"/>
    <w:rsid w:val="692F7608"/>
    <w:rsid w:val="69450BD9"/>
    <w:rsid w:val="69482477"/>
    <w:rsid w:val="697D6AE9"/>
    <w:rsid w:val="69CB37D4"/>
    <w:rsid w:val="69EBE637"/>
    <w:rsid w:val="69EC374B"/>
    <w:rsid w:val="69F0323B"/>
    <w:rsid w:val="69F300F7"/>
    <w:rsid w:val="69FF1024"/>
    <w:rsid w:val="6A040A94"/>
    <w:rsid w:val="6A194A0E"/>
    <w:rsid w:val="6A6B7FB9"/>
    <w:rsid w:val="6A6D4256"/>
    <w:rsid w:val="6A6F447D"/>
    <w:rsid w:val="6A723C50"/>
    <w:rsid w:val="6A747336"/>
    <w:rsid w:val="6A761DEA"/>
    <w:rsid w:val="6A8E6595"/>
    <w:rsid w:val="6A9D0A93"/>
    <w:rsid w:val="6AA67D9D"/>
    <w:rsid w:val="6ABE6E95"/>
    <w:rsid w:val="6ABFCB47"/>
    <w:rsid w:val="6ACB1489"/>
    <w:rsid w:val="6ADD1370"/>
    <w:rsid w:val="6B382482"/>
    <w:rsid w:val="6B4A24D7"/>
    <w:rsid w:val="6B581098"/>
    <w:rsid w:val="6B761901"/>
    <w:rsid w:val="6BA73DCD"/>
    <w:rsid w:val="6BBC5D75"/>
    <w:rsid w:val="6BC1F791"/>
    <w:rsid w:val="6BC73B27"/>
    <w:rsid w:val="6BCE3108"/>
    <w:rsid w:val="6BEE7306"/>
    <w:rsid w:val="6BFA054A"/>
    <w:rsid w:val="6BFB7C75"/>
    <w:rsid w:val="6BFD5CB5"/>
    <w:rsid w:val="6BFFA779"/>
    <w:rsid w:val="6C1F4F0B"/>
    <w:rsid w:val="6C2A257D"/>
    <w:rsid w:val="6C3F8E80"/>
    <w:rsid w:val="6C4258A4"/>
    <w:rsid w:val="6C523D39"/>
    <w:rsid w:val="6C5850C7"/>
    <w:rsid w:val="6C6BD8D9"/>
    <w:rsid w:val="6C77D359"/>
    <w:rsid w:val="6C7F15DD"/>
    <w:rsid w:val="6C8E2897"/>
    <w:rsid w:val="6C96DAB6"/>
    <w:rsid w:val="6CB467A2"/>
    <w:rsid w:val="6CE7FABD"/>
    <w:rsid w:val="6D1021A9"/>
    <w:rsid w:val="6D3A5834"/>
    <w:rsid w:val="6D3C6E8F"/>
    <w:rsid w:val="6D57DE99"/>
    <w:rsid w:val="6D8A7447"/>
    <w:rsid w:val="6D978CE6"/>
    <w:rsid w:val="6DAA14EF"/>
    <w:rsid w:val="6DB66549"/>
    <w:rsid w:val="6DCEA40C"/>
    <w:rsid w:val="6DD738F0"/>
    <w:rsid w:val="6DDB6C06"/>
    <w:rsid w:val="6DE4B419"/>
    <w:rsid w:val="6DE7B436"/>
    <w:rsid w:val="6DEB8730"/>
    <w:rsid w:val="6DF71E3A"/>
    <w:rsid w:val="6DFB3911"/>
    <w:rsid w:val="6E177A5E"/>
    <w:rsid w:val="6E1FE8B3"/>
    <w:rsid w:val="6E423939"/>
    <w:rsid w:val="6E5EB458"/>
    <w:rsid w:val="6E7E3A9D"/>
    <w:rsid w:val="6E9D9348"/>
    <w:rsid w:val="6EA463A2"/>
    <w:rsid w:val="6EA5128D"/>
    <w:rsid w:val="6EAA3313"/>
    <w:rsid w:val="6EBB9898"/>
    <w:rsid w:val="6EBF3DBE"/>
    <w:rsid w:val="6EDEA552"/>
    <w:rsid w:val="6EDF9468"/>
    <w:rsid w:val="6EE113A4"/>
    <w:rsid w:val="6EE3511C"/>
    <w:rsid w:val="6EE6185C"/>
    <w:rsid w:val="6EF72976"/>
    <w:rsid w:val="6EFE5619"/>
    <w:rsid w:val="6EFEBF38"/>
    <w:rsid w:val="6EFF6711"/>
    <w:rsid w:val="6F36556B"/>
    <w:rsid w:val="6F370DFD"/>
    <w:rsid w:val="6F4F13EF"/>
    <w:rsid w:val="6F5DF524"/>
    <w:rsid w:val="6F62E6DF"/>
    <w:rsid w:val="6F6D6B6A"/>
    <w:rsid w:val="6F7749DF"/>
    <w:rsid w:val="6F77AE6E"/>
    <w:rsid w:val="6F7EB38F"/>
    <w:rsid w:val="6F7FD4C0"/>
    <w:rsid w:val="6F833042"/>
    <w:rsid w:val="6F86196C"/>
    <w:rsid w:val="6F903864"/>
    <w:rsid w:val="6F971E2C"/>
    <w:rsid w:val="6FAFF201"/>
    <w:rsid w:val="6FB22D40"/>
    <w:rsid w:val="6FB5BB13"/>
    <w:rsid w:val="6FB7DDE1"/>
    <w:rsid w:val="6FB996CE"/>
    <w:rsid w:val="6FBB5F52"/>
    <w:rsid w:val="6FBBDB77"/>
    <w:rsid w:val="6FBD1638"/>
    <w:rsid w:val="6FBEC1DE"/>
    <w:rsid w:val="6FC3531C"/>
    <w:rsid w:val="6FCDD9C8"/>
    <w:rsid w:val="6FDD4EE9"/>
    <w:rsid w:val="6FEB35DE"/>
    <w:rsid w:val="6FEF67C1"/>
    <w:rsid w:val="6FEF7AF1"/>
    <w:rsid w:val="6FF250D5"/>
    <w:rsid w:val="6FF25DB8"/>
    <w:rsid w:val="6FF6F9F7"/>
    <w:rsid w:val="6FF723D9"/>
    <w:rsid w:val="6FF76D37"/>
    <w:rsid w:val="6FF7D9D1"/>
    <w:rsid w:val="6FF922AC"/>
    <w:rsid w:val="6FFB4742"/>
    <w:rsid w:val="6FFC8F6E"/>
    <w:rsid w:val="6FFDF21E"/>
    <w:rsid w:val="6FFE0539"/>
    <w:rsid w:val="6FFE63AB"/>
    <w:rsid w:val="6FFEA775"/>
    <w:rsid w:val="6FFF05B9"/>
    <w:rsid w:val="6FFF0E2A"/>
    <w:rsid w:val="6FFF1345"/>
    <w:rsid w:val="6FFF22AF"/>
    <w:rsid w:val="6FFF8F96"/>
    <w:rsid w:val="6FFF93FD"/>
    <w:rsid w:val="6FFFAC44"/>
    <w:rsid w:val="6FFFC0A5"/>
    <w:rsid w:val="6FFFE697"/>
    <w:rsid w:val="700F0193"/>
    <w:rsid w:val="703C7C58"/>
    <w:rsid w:val="70645DE9"/>
    <w:rsid w:val="7067385E"/>
    <w:rsid w:val="707751DA"/>
    <w:rsid w:val="708C3275"/>
    <w:rsid w:val="709F32C5"/>
    <w:rsid w:val="70B54896"/>
    <w:rsid w:val="70BD374B"/>
    <w:rsid w:val="70C77AE4"/>
    <w:rsid w:val="70EF9512"/>
    <w:rsid w:val="70FB4132"/>
    <w:rsid w:val="71213CDA"/>
    <w:rsid w:val="71333A0D"/>
    <w:rsid w:val="71381023"/>
    <w:rsid w:val="716F6217"/>
    <w:rsid w:val="71732331"/>
    <w:rsid w:val="71793B16"/>
    <w:rsid w:val="717D380F"/>
    <w:rsid w:val="71917BAA"/>
    <w:rsid w:val="71974F0C"/>
    <w:rsid w:val="71CD0F45"/>
    <w:rsid w:val="71CF4C28"/>
    <w:rsid w:val="71CFB65C"/>
    <w:rsid w:val="71D074AE"/>
    <w:rsid w:val="71D451F0"/>
    <w:rsid w:val="71DC43B7"/>
    <w:rsid w:val="71EF433D"/>
    <w:rsid w:val="71FA0EF5"/>
    <w:rsid w:val="720553A9"/>
    <w:rsid w:val="72165809"/>
    <w:rsid w:val="722E709D"/>
    <w:rsid w:val="72347EC4"/>
    <w:rsid w:val="72365AEB"/>
    <w:rsid w:val="72704323"/>
    <w:rsid w:val="72824A8C"/>
    <w:rsid w:val="72824C4C"/>
    <w:rsid w:val="72884956"/>
    <w:rsid w:val="729D5E3D"/>
    <w:rsid w:val="72A51683"/>
    <w:rsid w:val="72AD2E73"/>
    <w:rsid w:val="72AE77EF"/>
    <w:rsid w:val="72CE7E91"/>
    <w:rsid w:val="72D57472"/>
    <w:rsid w:val="72DF690C"/>
    <w:rsid w:val="72EE5E3E"/>
    <w:rsid w:val="72FC769D"/>
    <w:rsid w:val="733F48EB"/>
    <w:rsid w:val="735F2E79"/>
    <w:rsid w:val="73786F91"/>
    <w:rsid w:val="73832A2A"/>
    <w:rsid w:val="738A25AC"/>
    <w:rsid w:val="739E0321"/>
    <w:rsid w:val="739FDF04"/>
    <w:rsid w:val="73A647D7"/>
    <w:rsid w:val="73AF1A71"/>
    <w:rsid w:val="73BF769E"/>
    <w:rsid w:val="73D5EE8F"/>
    <w:rsid w:val="73DFB493"/>
    <w:rsid w:val="73F7D816"/>
    <w:rsid w:val="73FF21E5"/>
    <w:rsid w:val="73FF51B6"/>
    <w:rsid w:val="73FF60A7"/>
    <w:rsid w:val="73FF8C79"/>
    <w:rsid w:val="7418207D"/>
    <w:rsid w:val="742064CB"/>
    <w:rsid w:val="7443040B"/>
    <w:rsid w:val="7447614D"/>
    <w:rsid w:val="745E5245"/>
    <w:rsid w:val="745F1D1D"/>
    <w:rsid w:val="747D04B2"/>
    <w:rsid w:val="74E4073E"/>
    <w:rsid w:val="74E65614"/>
    <w:rsid w:val="74ECAD49"/>
    <w:rsid w:val="74EF5B6E"/>
    <w:rsid w:val="74EFD287"/>
    <w:rsid w:val="74FDA2D0"/>
    <w:rsid w:val="74FE90C0"/>
    <w:rsid w:val="74FE9A5F"/>
    <w:rsid w:val="751A73BE"/>
    <w:rsid w:val="752C6859"/>
    <w:rsid w:val="75502DDF"/>
    <w:rsid w:val="756B7C19"/>
    <w:rsid w:val="757C7ACE"/>
    <w:rsid w:val="757E794D"/>
    <w:rsid w:val="758E3908"/>
    <w:rsid w:val="75919E99"/>
    <w:rsid w:val="759E3A12"/>
    <w:rsid w:val="759E5483"/>
    <w:rsid w:val="75AF3E9C"/>
    <w:rsid w:val="75D35D0A"/>
    <w:rsid w:val="75DE0202"/>
    <w:rsid w:val="75DF28CA"/>
    <w:rsid w:val="75DF3B00"/>
    <w:rsid w:val="75DFBBBD"/>
    <w:rsid w:val="75ECBB49"/>
    <w:rsid w:val="75EFDD64"/>
    <w:rsid w:val="75F6EBA4"/>
    <w:rsid w:val="75F777A8"/>
    <w:rsid w:val="75FB77CD"/>
    <w:rsid w:val="75FF207A"/>
    <w:rsid w:val="760F3037"/>
    <w:rsid w:val="7610256F"/>
    <w:rsid w:val="761402B1"/>
    <w:rsid w:val="7667123C"/>
    <w:rsid w:val="767CDCC8"/>
    <w:rsid w:val="767E572A"/>
    <w:rsid w:val="769B841A"/>
    <w:rsid w:val="769F6A1C"/>
    <w:rsid w:val="769F7688"/>
    <w:rsid w:val="769FB020"/>
    <w:rsid w:val="769FD446"/>
    <w:rsid w:val="76A525E8"/>
    <w:rsid w:val="76A809F9"/>
    <w:rsid w:val="76B75D5D"/>
    <w:rsid w:val="76BE8F87"/>
    <w:rsid w:val="76C92E49"/>
    <w:rsid w:val="76CA4E14"/>
    <w:rsid w:val="76CD2790"/>
    <w:rsid w:val="76D33DC1"/>
    <w:rsid w:val="76DA0CF8"/>
    <w:rsid w:val="76DD5BF7"/>
    <w:rsid w:val="76DDCFDD"/>
    <w:rsid w:val="76DF7CA3"/>
    <w:rsid w:val="76E97695"/>
    <w:rsid w:val="76EF03D6"/>
    <w:rsid w:val="76FF1BEF"/>
    <w:rsid w:val="76FFA9A9"/>
    <w:rsid w:val="770420D4"/>
    <w:rsid w:val="770F18ED"/>
    <w:rsid w:val="771F6F0D"/>
    <w:rsid w:val="772E0EFE"/>
    <w:rsid w:val="7737E5B3"/>
    <w:rsid w:val="774F1ED2"/>
    <w:rsid w:val="775F743A"/>
    <w:rsid w:val="77671A38"/>
    <w:rsid w:val="776D61FB"/>
    <w:rsid w:val="777739FD"/>
    <w:rsid w:val="7778C067"/>
    <w:rsid w:val="777D68F4"/>
    <w:rsid w:val="777DB4C9"/>
    <w:rsid w:val="777F9CAF"/>
    <w:rsid w:val="777FBBBE"/>
    <w:rsid w:val="77894387"/>
    <w:rsid w:val="77977E71"/>
    <w:rsid w:val="779C5832"/>
    <w:rsid w:val="77B4B3EE"/>
    <w:rsid w:val="77BBB353"/>
    <w:rsid w:val="77BDD824"/>
    <w:rsid w:val="77BF711A"/>
    <w:rsid w:val="77CB9AA3"/>
    <w:rsid w:val="77D50CB4"/>
    <w:rsid w:val="77D7B893"/>
    <w:rsid w:val="77D9FF7F"/>
    <w:rsid w:val="77E30923"/>
    <w:rsid w:val="77EB48E7"/>
    <w:rsid w:val="77EB5323"/>
    <w:rsid w:val="77EECEB8"/>
    <w:rsid w:val="77F7C2F7"/>
    <w:rsid w:val="77FB6E66"/>
    <w:rsid w:val="77FD9E1B"/>
    <w:rsid w:val="77FECA7A"/>
    <w:rsid w:val="77FF2C76"/>
    <w:rsid w:val="77FFB553"/>
    <w:rsid w:val="77FFFBAA"/>
    <w:rsid w:val="78531455"/>
    <w:rsid w:val="786595D9"/>
    <w:rsid w:val="78857244"/>
    <w:rsid w:val="7893658B"/>
    <w:rsid w:val="7899684C"/>
    <w:rsid w:val="78DF70BD"/>
    <w:rsid w:val="78E81581"/>
    <w:rsid w:val="78EA67A0"/>
    <w:rsid w:val="78EF017D"/>
    <w:rsid w:val="78EF07FC"/>
    <w:rsid w:val="78FB3062"/>
    <w:rsid w:val="79297BCF"/>
    <w:rsid w:val="794B1A7D"/>
    <w:rsid w:val="79573560"/>
    <w:rsid w:val="795D1F57"/>
    <w:rsid w:val="795D3D1D"/>
    <w:rsid w:val="796E2FFB"/>
    <w:rsid w:val="797B41A3"/>
    <w:rsid w:val="797B5B86"/>
    <w:rsid w:val="797F5B52"/>
    <w:rsid w:val="798C54C9"/>
    <w:rsid w:val="799F80C9"/>
    <w:rsid w:val="79A25548"/>
    <w:rsid w:val="79AC9666"/>
    <w:rsid w:val="79BC4EE7"/>
    <w:rsid w:val="79BC602A"/>
    <w:rsid w:val="79BDFA82"/>
    <w:rsid w:val="79C70AF2"/>
    <w:rsid w:val="79C93160"/>
    <w:rsid w:val="79D79709"/>
    <w:rsid w:val="79DE56D2"/>
    <w:rsid w:val="79F3A340"/>
    <w:rsid w:val="79FB9217"/>
    <w:rsid w:val="79FCE4DF"/>
    <w:rsid w:val="79FD2C9F"/>
    <w:rsid w:val="79FE4540"/>
    <w:rsid w:val="7A13EFB5"/>
    <w:rsid w:val="7A24483B"/>
    <w:rsid w:val="7A3C1B84"/>
    <w:rsid w:val="7A5D7470"/>
    <w:rsid w:val="7A637111"/>
    <w:rsid w:val="7A6730A5"/>
    <w:rsid w:val="7A6C5C5E"/>
    <w:rsid w:val="7A6E703C"/>
    <w:rsid w:val="7A72682F"/>
    <w:rsid w:val="7A807CC3"/>
    <w:rsid w:val="7ACE4ED2"/>
    <w:rsid w:val="7AD5450C"/>
    <w:rsid w:val="7AD70C1E"/>
    <w:rsid w:val="7AD79D85"/>
    <w:rsid w:val="7ADFE98C"/>
    <w:rsid w:val="7AE75F94"/>
    <w:rsid w:val="7AEB00B7"/>
    <w:rsid w:val="7AEF309B"/>
    <w:rsid w:val="7AFB30A2"/>
    <w:rsid w:val="7AFE2F0F"/>
    <w:rsid w:val="7B174574"/>
    <w:rsid w:val="7B3376EA"/>
    <w:rsid w:val="7B3D3E06"/>
    <w:rsid w:val="7B3EE468"/>
    <w:rsid w:val="7B3F8175"/>
    <w:rsid w:val="7B3F8ED5"/>
    <w:rsid w:val="7B3FFE1B"/>
    <w:rsid w:val="7B4A2BC5"/>
    <w:rsid w:val="7B5ED368"/>
    <w:rsid w:val="7B658F21"/>
    <w:rsid w:val="7B76E770"/>
    <w:rsid w:val="7B7F7A90"/>
    <w:rsid w:val="7B9212BF"/>
    <w:rsid w:val="7BA3896B"/>
    <w:rsid w:val="7BA3EC1F"/>
    <w:rsid w:val="7BA50742"/>
    <w:rsid w:val="7BAD6330"/>
    <w:rsid w:val="7BAD958E"/>
    <w:rsid w:val="7BB57AFC"/>
    <w:rsid w:val="7BB58D5D"/>
    <w:rsid w:val="7BBD75C4"/>
    <w:rsid w:val="7BBDE134"/>
    <w:rsid w:val="7BC96521"/>
    <w:rsid w:val="7BE53A1F"/>
    <w:rsid w:val="7BE67018"/>
    <w:rsid w:val="7BFAE68E"/>
    <w:rsid w:val="7BFB6E7C"/>
    <w:rsid w:val="7BFC399C"/>
    <w:rsid w:val="7BFDE65C"/>
    <w:rsid w:val="7BFF2089"/>
    <w:rsid w:val="7BFF2F6B"/>
    <w:rsid w:val="7BFF33E7"/>
    <w:rsid w:val="7BFF677B"/>
    <w:rsid w:val="7BFF8591"/>
    <w:rsid w:val="7BFF953A"/>
    <w:rsid w:val="7BFFABC9"/>
    <w:rsid w:val="7BFFB5C5"/>
    <w:rsid w:val="7BFFDC56"/>
    <w:rsid w:val="7C211032"/>
    <w:rsid w:val="7C316837"/>
    <w:rsid w:val="7C6F87D3"/>
    <w:rsid w:val="7C79301F"/>
    <w:rsid w:val="7C914409"/>
    <w:rsid w:val="7C9B3B5B"/>
    <w:rsid w:val="7CB63591"/>
    <w:rsid w:val="7CBF793D"/>
    <w:rsid w:val="7CD63BB9"/>
    <w:rsid w:val="7CD75B94"/>
    <w:rsid w:val="7CF2A31C"/>
    <w:rsid w:val="7CF61090"/>
    <w:rsid w:val="7D0345CF"/>
    <w:rsid w:val="7D252AA5"/>
    <w:rsid w:val="7D3FC4E9"/>
    <w:rsid w:val="7D5C48F8"/>
    <w:rsid w:val="7D763077"/>
    <w:rsid w:val="7D7E09AA"/>
    <w:rsid w:val="7D7F2DB5"/>
    <w:rsid w:val="7D7F3834"/>
    <w:rsid w:val="7D7F3915"/>
    <w:rsid w:val="7D7F4CA0"/>
    <w:rsid w:val="7D8F2B2C"/>
    <w:rsid w:val="7DA2E8AF"/>
    <w:rsid w:val="7DB7476F"/>
    <w:rsid w:val="7DBB6DC8"/>
    <w:rsid w:val="7DBEA37A"/>
    <w:rsid w:val="7DBF3D86"/>
    <w:rsid w:val="7DCC0512"/>
    <w:rsid w:val="7DF12C86"/>
    <w:rsid w:val="7DF72F10"/>
    <w:rsid w:val="7DF80C14"/>
    <w:rsid w:val="7DF89113"/>
    <w:rsid w:val="7DFB04CC"/>
    <w:rsid w:val="7DFB72CB"/>
    <w:rsid w:val="7DFB751D"/>
    <w:rsid w:val="7DFB8129"/>
    <w:rsid w:val="7DFD71C4"/>
    <w:rsid w:val="7DFEF579"/>
    <w:rsid w:val="7DFEFB3C"/>
    <w:rsid w:val="7DFFFB4D"/>
    <w:rsid w:val="7E1370A0"/>
    <w:rsid w:val="7E1D0226"/>
    <w:rsid w:val="7E2748F9"/>
    <w:rsid w:val="7E357016"/>
    <w:rsid w:val="7E3EC899"/>
    <w:rsid w:val="7E47629B"/>
    <w:rsid w:val="7E525E1A"/>
    <w:rsid w:val="7E562BEA"/>
    <w:rsid w:val="7E5765AB"/>
    <w:rsid w:val="7E6B483B"/>
    <w:rsid w:val="7E764F56"/>
    <w:rsid w:val="7E77DE29"/>
    <w:rsid w:val="7E788117"/>
    <w:rsid w:val="7E7B0D5B"/>
    <w:rsid w:val="7E7F59A1"/>
    <w:rsid w:val="7E8B4812"/>
    <w:rsid w:val="7E964F1B"/>
    <w:rsid w:val="7E971A7F"/>
    <w:rsid w:val="7E9F2ABE"/>
    <w:rsid w:val="7E9F78BF"/>
    <w:rsid w:val="7EB85499"/>
    <w:rsid w:val="7EBFFCDA"/>
    <w:rsid w:val="7EC695E8"/>
    <w:rsid w:val="7EC7904E"/>
    <w:rsid w:val="7ED6D4F2"/>
    <w:rsid w:val="7EDC56E4"/>
    <w:rsid w:val="7EDCB65D"/>
    <w:rsid w:val="7EDD386A"/>
    <w:rsid w:val="7EDE145C"/>
    <w:rsid w:val="7EEC76BB"/>
    <w:rsid w:val="7EED6298"/>
    <w:rsid w:val="7EED6DFF"/>
    <w:rsid w:val="7EEF2BBC"/>
    <w:rsid w:val="7EF1607D"/>
    <w:rsid w:val="7EF749FB"/>
    <w:rsid w:val="7EF7A05C"/>
    <w:rsid w:val="7EFEE099"/>
    <w:rsid w:val="7EFF4F3B"/>
    <w:rsid w:val="7EFF7A63"/>
    <w:rsid w:val="7EFFA651"/>
    <w:rsid w:val="7EFFB7BF"/>
    <w:rsid w:val="7EFFD778"/>
    <w:rsid w:val="7F086650"/>
    <w:rsid w:val="7F12A3E9"/>
    <w:rsid w:val="7F2F8596"/>
    <w:rsid w:val="7F313C82"/>
    <w:rsid w:val="7F3156C1"/>
    <w:rsid w:val="7F36CD3C"/>
    <w:rsid w:val="7F370B6C"/>
    <w:rsid w:val="7F3B80E2"/>
    <w:rsid w:val="7F3C9B73"/>
    <w:rsid w:val="7F3FBBA3"/>
    <w:rsid w:val="7F4F8892"/>
    <w:rsid w:val="7F5AFEF5"/>
    <w:rsid w:val="7F5E51BC"/>
    <w:rsid w:val="7F5E74C2"/>
    <w:rsid w:val="7F5FF404"/>
    <w:rsid w:val="7F6EC6F4"/>
    <w:rsid w:val="7F6F1213"/>
    <w:rsid w:val="7F6F483C"/>
    <w:rsid w:val="7F6FFE50"/>
    <w:rsid w:val="7F7059BE"/>
    <w:rsid w:val="7F721F54"/>
    <w:rsid w:val="7F7753F2"/>
    <w:rsid w:val="7F77CA9D"/>
    <w:rsid w:val="7F7A5E79"/>
    <w:rsid w:val="7F7D18A4"/>
    <w:rsid w:val="7F7DF1DB"/>
    <w:rsid w:val="7F7ED3D9"/>
    <w:rsid w:val="7F7FBC81"/>
    <w:rsid w:val="7F7FCB73"/>
    <w:rsid w:val="7F7FEF28"/>
    <w:rsid w:val="7F94B0D3"/>
    <w:rsid w:val="7F9BBCFB"/>
    <w:rsid w:val="7F9D4E73"/>
    <w:rsid w:val="7F9DA1C7"/>
    <w:rsid w:val="7F9F2D7F"/>
    <w:rsid w:val="7F9FFB11"/>
    <w:rsid w:val="7FAD2BD6"/>
    <w:rsid w:val="7FAF0AB9"/>
    <w:rsid w:val="7FAF3E31"/>
    <w:rsid w:val="7FAF90D4"/>
    <w:rsid w:val="7FAFB589"/>
    <w:rsid w:val="7FB089A4"/>
    <w:rsid w:val="7FB30E84"/>
    <w:rsid w:val="7FB5431D"/>
    <w:rsid w:val="7FB56E9A"/>
    <w:rsid w:val="7FB57F6F"/>
    <w:rsid w:val="7FB8230E"/>
    <w:rsid w:val="7FB9A6FC"/>
    <w:rsid w:val="7FBA255E"/>
    <w:rsid w:val="7FBB00CB"/>
    <w:rsid w:val="7FBCC189"/>
    <w:rsid w:val="7FBDCD62"/>
    <w:rsid w:val="7FBEBE14"/>
    <w:rsid w:val="7FBF2BF6"/>
    <w:rsid w:val="7FBF3A40"/>
    <w:rsid w:val="7FBF5F87"/>
    <w:rsid w:val="7FBFF572"/>
    <w:rsid w:val="7FCB8C7E"/>
    <w:rsid w:val="7FCBBBF8"/>
    <w:rsid w:val="7FCD4354"/>
    <w:rsid w:val="7FCDA0AD"/>
    <w:rsid w:val="7FCDC1F8"/>
    <w:rsid w:val="7FCDF394"/>
    <w:rsid w:val="7FCE4677"/>
    <w:rsid w:val="7FCECF7E"/>
    <w:rsid w:val="7FD78455"/>
    <w:rsid w:val="7FDD1065"/>
    <w:rsid w:val="7FDD4231"/>
    <w:rsid w:val="7FDF2252"/>
    <w:rsid w:val="7FDF782F"/>
    <w:rsid w:val="7FDFB44A"/>
    <w:rsid w:val="7FDFEEF1"/>
    <w:rsid w:val="7FE32AA9"/>
    <w:rsid w:val="7FE4F857"/>
    <w:rsid w:val="7FE589A7"/>
    <w:rsid w:val="7FE9A68A"/>
    <w:rsid w:val="7FEB01A0"/>
    <w:rsid w:val="7FEB277A"/>
    <w:rsid w:val="7FED14A8"/>
    <w:rsid w:val="7FED1581"/>
    <w:rsid w:val="7FED2298"/>
    <w:rsid w:val="7FED52FD"/>
    <w:rsid w:val="7FEDD192"/>
    <w:rsid w:val="7FEECFE7"/>
    <w:rsid w:val="7FEF3E4F"/>
    <w:rsid w:val="7FEFB7B9"/>
    <w:rsid w:val="7FF240BB"/>
    <w:rsid w:val="7FF2B1B0"/>
    <w:rsid w:val="7FF2B9BF"/>
    <w:rsid w:val="7FF3364D"/>
    <w:rsid w:val="7FF5C346"/>
    <w:rsid w:val="7FF6EC8B"/>
    <w:rsid w:val="7FF71A77"/>
    <w:rsid w:val="7FF7A3C7"/>
    <w:rsid w:val="7FF7CFB8"/>
    <w:rsid w:val="7FF7FC8B"/>
    <w:rsid w:val="7FFB9064"/>
    <w:rsid w:val="7FFB93A4"/>
    <w:rsid w:val="7FFC7A71"/>
    <w:rsid w:val="7FFD34AB"/>
    <w:rsid w:val="7FFDA15D"/>
    <w:rsid w:val="7FFDE932"/>
    <w:rsid w:val="7FFE5113"/>
    <w:rsid w:val="7FFE7C18"/>
    <w:rsid w:val="7FFF021E"/>
    <w:rsid w:val="7FFF05BB"/>
    <w:rsid w:val="7FFF0FE9"/>
    <w:rsid w:val="7FFF6034"/>
    <w:rsid w:val="7FFF6184"/>
    <w:rsid w:val="7FFF773D"/>
    <w:rsid w:val="7FFF791F"/>
    <w:rsid w:val="7FFFBF4C"/>
    <w:rsid w:val="7FFFC6F9"/>
    <w:rsid w:val="7FFFC9FE"/>
    <w:rsid w:val="7FFFDFBC"/>
    <w:rsid w:val="7FFFE0A2"/>
    <w:rsid w:val="87F7FCCC"/>
    <w:rsid w:val="87FDA105"/>
    <w:rsid w:val="8C7F06A5"/>
    <w:rsid w:val="8D3A24BF"/>
    <w:rsid w:val="8DDE4A5A"/>
    <w:rsid w:val="8DDFE764"/>
    <w:rsid w:val="8EFE7F1C"/>
    <w:rsid w:val="8F767B04"/>
    <w:rsid w:val="8F7EA061"/>
    <w:rsid w:val="8FBB8744"/>
    <w:rsid w:val="8FEF74A1"/>
    <w:rsid w:val="8FEFCC72"/>
    <w:rsid w:val="8FF0B587"/>
    <w:rsid w:val="8FFF6E00"/>
    <w:rsid w:val="9357DD94"/>
    <w:rsid w:val="93FB8FA5"/>
    <w:rsid w:val="95FEA181"/>
    <w:rsid w:val="977AF658"/>
    <w:rsid w:val="97B5B090"/>
    <w:rsid w:val="97BE2DC8"/>
    <w:rsid w:val="97DEAFC0"/>
    <w:rsid w:val="99DA0683"/>
    <w:rsid w:val="9ADE981D"/>
    <w:rsid w:val="9B5E1009"/>
    <w:rsid w:val="9B89C554"/>
    <w:rsid w:val="9BCFF3CD"/>
    <w:rsid w:val="9BEECCB5"/>
    <w:rsid w:val="9BF3EC4A"/>
    <w:rsid w:val="9CDA9BC2"/>
    <w:rsid w:val="9DFFABF5"/>
    <w:rsid w:val="9EBF82E3"/>
    <w:rsid w:val="9EC7B801"/>
    <w:rsid w:val="9EDD4B65"/>
    <w:rsid w:val="9EDE7BB8"/>
    <w:rsid w:val="9EDEFD85"/>
    <w:rsid w:val="9EF7AACF"/>
    <w:rsid w:val="9F3B4C9F"/>
    <w:rsid w:val="9F6972EE"/>
    <w:rsid w:val="9F7F59F8"/>
    <w:rsid w:val="9F7FACF7"/>
    <w:rsid w:val="9FEDD826"/>
    <w:rsid w:val="9FEE3016"/>
    <w:rsid w:val="9FEF1AC3"/>
    <w:rsid w:val="9FF33770"/>
    <w:rsid w:val="9FF3F5EF"/>
    <w:rsid w:val="9FF68F7E"/>
    <w:rsid w:val="9FF781A1"/>
    <w:rsid w:val="9FFF31BF"/>
    <w:rsid w:val="9FFF7CA0"/>
    <w:rsid w:val="A2C3F649"/>
    <w:rsid w:val="A39F88BC"/>
    <w:rsid w:val="A71B4501"/>
    <w:rsid w:val="A77F76D4"/>
    <w:rsid w:val="A7BF01A5"/>
    <w:rsid w:val="A7F3D41B"/>
    <w:rsid w:val="A7F89D88"/>
    <w:rsid w:val="AADC7F33"/>
    <w:rsid w:val="ABFCAF03"/>
    <w:rsid w:val="AD4B0E65"/>
    <w:rsid w:val="AD7E2BD7"/>
    <w:rsid w:val="AD9D12DB"/>
    <w:rsid w:val="ADF9F095"/>
    <w:rsid w:val="ADFD92C8"/>
    <w:rsid w:val="ADFF7F88"/>
    <w:rsid w:val="AECF044A"/>
    <w:rsid w:val="AF174F1C"/>
    <w:rsid w:val="AF3D0F52"/>
    <w:rsid w:val="AF6759C4"/>
    <w:rsid w:val="AF77D865"/>
    <w:rsid w:val="AFBE3972"/>
    <w:rsid w:val="AFD709D8"/>
    <w:rsid w:val="AFD77546"/>
    <w:rsid w:val="AFF238C7"/>
    <w:rsid w:val="AFF760E0"/>
    <w:rsid w:val="AFF9CEAE"/>
    <w:rsid w:val="AFFB1D77"/>
    <w:rsid w:val="B0FFE78A"/>
    <w:rsid w:val="B25A6111"/>
    <w:rsid w:val="B2F8701F"/>
    <w:rsid w:val="B3775514"/>
    <w:rsid w:val="B3AE256D"/>
    <w:rsid w:val="B3C52428"/>
    <w:rsid w:val="B3CDBC91"/>
    <w:rsid w:val="B3F774FF"/>
    <w:rsid w:val="B3FFBAC0"/>
    <w:rsid w:val="B40BD865"/>
    <w:rsid w:val="B4FD0BEB"/>
    <w:rsid w:val="B51FD119"/>
    <w:rsid w:val="B5777C3D"/>
    <w:rsid w:val="B57F047A"/>
    <w:rsid w:val="B57F4E58"/>
    <w:rsid w:val="B5F286FE"/>
    <w:rsid w:val="B5FF07A6"/>
    <w:rsid w:val="B67F811F"/>
    <w:rsid w:val="B6C89B89"/>
    <w:rsid w:val="B6E67261"/>
    <w:rsid w:val="B6F911AA"/>
    <w:rsid w:val="B6FF417B"/>
    <w:rsid w:val="B71FB7AE"/>
    <w:rsid w:val="B772832F"/>
    <w:rsid w:val="B7995B31"/>
    <w:rsid w:val="B7BED504"/>
    <w:rsid w:val="B7BFC3FD"/>
    <w:rsid w:val="B7DF51D4"/>
    <w:rsid w:val="B7EB9C73"/>
    <w:rsid w:val="B7EDED95"/>
    <w:rsid w:val="B7FDBFB3"/>
    <w:rsid w:val="B7FF15A3"/>
    <w:rsid w:val="B7FF9FCD"/>
    <w:rsid w:val="B97E821E"/>
    <w:rsid w:val="B9B5E981"/>
    <w:rsid w:val="B9CFA55B"/>
    <w:rsid w:val="BA9F6A6E"/>
    <w:rsid w:val="BAD3B480"/>
    <w:rsid w:val="BADC022F"/>
    <w:rsid w:val="BAFF6942"/>
    <w:rsid w:val="BB3FE6FD"/>
    <w:rsid w:val="BB4F6ED0"/>
    <w:rsid w:val="BB5F7CBA"/>
    <w:rsid w:val="BB6E9371"/>
    <w:rsid w:val="BB6FADBC"/>
    <w:rsid w:val="BB76C03E"/>
    <w:rsid w:val="BB7709D8"/>
    <w:rsid w:val="BB9BA9C2"/>
    <w:rsid w:val="BBAF43F2"/>
    <w:rsid w:val="BBBF4351"/>
    <w:rsid w:val="BBBF821F"/>
    <w:rsid w:val="BBD1D5BF"/>
    <w:rsid w:val="BBDF7175"/>
    <w:rsid w:val="BBE36085"/>
    <w:rsid w:val="BBE75090"/>
    <w:rsid w:val="BBEFC542"/>
    <w:rsid w:val="BBF71753"/>
    <w:rsid w:val="BC2BAB12"/>
    <w:rsid w:val="BC5FE10A"/>
    <w:rsid w:val="BCD365DD"/>
    <w:rsid w:val="BCFFE25F"/>
    <w:rsid w:val="BD3A0061"/>
    <w:rsid w:val="BD3BAE32"/>
    <w:rsid w:val="BD7CAF91"/>
    <w:rsid w:val="BD7F5457"/>
    <w:rsid w:val="BDAF4DAE"/>
    <w:rsid w:val="BDBD3AF5"/>
    <w:rsid w:val="BDCF5A08"/>
    <w:rsid w:val="BDCFC71F"/>
    <w:rsid w:val="BDDA3F31"/>
    <w:rsid w:val="BDF3D4D5"/>
    <w:rsid w:val="BDF6799A"/>
    <w:rsid w:val="BDFA8691"/>
    <w:rsid w:val="BDFB2766"/>
    <w:rsid w:val="BDFDB98E"/>
    <w:rsid w:val="BDFECF45"/>
    <w:rsid w:val="BDFF0448"/>
    <w:rsid w:val="BDFF9B31"/>
    <w:rsid w:val="BE5F1BF8"/>
    <w:rsid w:val="BE6D9DC2"/>
    <w:rsid w:val="BE6F5848"/>
    <w:rsid w:val="BE7391A6"/>
    <w:rsid w:val="BE9F7C31"/>
    <w:rsid w:val="BEBF3A3D"/>
    <w:rsid w:val="BEDB45A6"/>
    <w:rsid w:val="BEDC0491"/>
    <w:rsid w:val="BEDDE3D6"/>
    <w:rsid w:val="BEDFBD21"/>
    <w:rsid w:val="BEE79DA1"/>
    <w:rsid w:val="BEEFDEB6"/>
    <w:rsid w:val="BEF7A8A9"/>
    <w:rsid w:val="BEF9D206"/>
    <w:rsid w:val="BEFF0B51"/>
    <w:rsid w:val="BEFF18BA"/>
    <w:rsid w:val="BEFF9B1C"/>
    <w:rsid w:val="BF3D4BFA"/>
    <w:rsid w:val="BF5B93D4"/>
    <w:rsid w:val="BF5FE959"/>
    <w:rsid w:val="BF6C2FF4"/>
    <w:rsid w:val="BF76FB28"/>
    <w:rsid w:val="BF7B93B5"/>
    <w:rsid w:val="BF7D2D20"/>
    <w:rsid w:val="BF7FC883"/>
    <w:rsid w:val="BF91DAF0"/>
    <w:rsid w:val="BF93900A"/>
    <w:rsid w:val="BFAF0868"/>
    <w:rsid w:val="BFB437BE"/>
    <w:rsid w:val="BFB5E09A"/>
    <w:rsid w:val="BFBD56B5"/>
    <w:rsid w:val="BFBE3DEF"/>
    <w:rsid w:val="BFBEDD1D"/>
    <w:rsid w:val="BFCFF16A"/>
    <w:rsid w:val="BFD5BA30"/>
    <w:rsid w:val="BFD6E124"/>
    <w:rsid w:val="BFD7BD0C"/>
    <w:rsid w:val="BFDDFD7E"/>
    <w:rsid w:val="BFDF3EFC"/>
    <w:rsid w:val="BFDF5E8E"/>
    <w:rsid w:val="BFDFE55D"/>
    <w:rsid w:val="BFEA8B80"/>
    <w:rsid w:val="BFEBA2F2"/>
    <w:rsid w:val="BFED9D44"/>
    <w:rsid w:val="BFEF29D2"/>
    <w:rsid w:val="BFEF875B"/>
    <w:rsid w:val="BFEFF16B"/>
    <w:rsid w:val="BFF1B434"/>
    <w:rsid w:val="BFF3723C"/>
    <w:rsid w:val="BFF5066B"/>
    <w:rsid w:val="BFF7AAB5"/>
    <w:rsid w:val="BFF9B722"/>
    <w:rsid w:val="BFF9FACA"/>
    <w:rsid w:val="BFFA23A4"/>
    <w:rsid w:val="BFFA35E6"/>
    <w:rsid w:val="BFFBF4B0"/>
    <w:rsid w:val="BFFD2212"/>
    <w:rsid w:val="BFFD24BD"/>
    <w:rsid w:val="BFFD57EF"/>
    <w:rsid w:val="BFFDE87A"/>
    <w:rsid w:val="BFFE3726"/>
    <w:rsid w:val="BFFF6CA9"/>
    <w:rsid w:val="BFFF9B15"/>
    <w:rsid w:val="C3412EC3"/>
    <w:rsid w:val="C36FDFCA"/>
    <w:rsid w:val="C3CB41E8"/>
    <w:rsid w:val="C6D7D009"/>
    <w:rsid w:val="C77FB67D"/>
    <w:rsid w:val="C7B31B40"/>
    <w:rsid w:val="C7EDFE81"/>
    <w:rsid w:val="C7F607B7"/>
    <w:rsid w:val="C9DBE6EB"/>
    <w:rsid w:val="C9FD92E8"/>
    <w:rsid w:val="CABF84B1"/>
    <w:rsid w:val="CB3FA592"/>
    <w:rsid w:val="CB7F7A8E"/>
    <w:rsid w:val="CBBF2093"/>
    <w:rsid w:val="CCFF4C26"/>
    <w:rsid w:val="CD76328C"/>
    <w:rsid w:val="CD8A4FC0"/>
    <w:rsid w:val="CD93B0BA"/>
    <w:rsid w:val="CDF74315"/>
    <w:rsid w:val="CDFE77BF"/>
    <w:rsid w:val="CDFF1E75"/>
    <w:rsid w:val="CE3FB167"/>
    <w:rsid w:val="CF0B2C41"/>
    <w:rsid w:val="CF3B2511"/>
    <w:rsid w:val="CF445782"/>
    <w:rsid w:val="CF571638"/>
    <w:rsid w:val="CF7538FB"/>
    <w:rsid w:val="CFAF48DC"/>
    <w:rsid w:val="CFBB8373"/>
    <w:rsid w:val="CFBF02B9"/>
    <w:rsid w:val="CFDDFA88"/>
    <w:rsid w:val="CFEE08E3"/>
    <w:rsid w:val="CFEEDFCD"/>
    <w:rsid w:val="CFFA844D"/>
    <w:rsid w:val="CFFF0990"/>
    <w:rsid w:val="CFFF2BB2"/>
    <w:rsid w:val="CFFFA76B"/>
    <w:rsid w:val="D0F79F3B"/>
    <w:rsid w:val="D0FB8156"/>
    <w:rsid w:val="D1BEDF20"/>
    <w:rsid w:val="D297F6A3"/>
    <w:rsid w:val="D392FD1B"/>
    <w:rsid w:val="D39C37C2"/>
    <w:rsid w:val="D3B7DB9E"/>
    <w:rsid w:val="D3BF09AA"/>
    <w:rsid w:val="D3BF29A4"/>
    <w:rsid w:val="D3EB7A9E"/>
    <w:rsid w:val="D3EE239E"/>
    <w:rsid w:val="D3F75ED9"/>
    <w:rsid w:val="D4EF3C15"/>
    <w:rsid w:val="D59C0813"/>
    <w:rsid w:val="D5B238F8"/>
    <w:rsid w:val="D5CC0A08"/>
    <w:rsid w:val="D67738E5"/>
    <w:rsid w:val="D6CB3ECF"/>
    <w:rsid w:val="D6DB54AD"/>
    <w:rsid w:val="D76794AC"/>
    <w:rsid w:val="D76D7DC6"/>
    <w:rsid w:val="D76F8AC6"/>
    <w:rsid w:val="D77F0FEE"/>
    <w:rsid w:val="D79D2F01"/>
    <w:rsid w:val="D7B7C4D8"/>
    <w:rsid w:val="D7DDBF47"/>
    <w:rsid w:val="D7E674A3"/>
    <w:rsid w:val="D7E9C4FA"/>
    <w:rsid w:val="D7EDDFCF"/>
    <w:rsid w:val="D7F658E7"/>
    <w:rsid w:val="D7FA8676"/>
    <w:rsid w:val="D7FDEA01"/>
    <w:rsid w:val="D7FDF803"/>
    <w:rsid w:val="D7FED003"/>
    <w:rsid w:val="D7FF5FDD"/>
    <w:rsid w:val="D7FFEC93"/>
    <w:rsid w:val="D8B70779"/>
    <w:rsid w:val="D97F5782"/>
    <w:rsid w:val="D9DDC8DA"/>
    <w:rsid w:val="D9F4FB99"/>
    <w:rsid w:val="D9F76F0B"/>
    <w:rsid w:val="DA2F3E0F"/>
    <w:rsid w:val="DABCF688"/>
    <w:rsid w:val="DAEB6EEE"/>
    <w:rsid w:val="DB75DE9B"/>
    <w:rsid w:val="DBBE084D"/>
    <w:rsid w:val="DBBFBC10"/>
    <w:rsid w:val="DBBFD02D"/>
    <w:rsid w:val="DBBFF634"/>
    <w:rsid w:val="DBC61010"/>
    <w:rsid w:val="DBCBB5BD"/>
    <w:rsid w:val="DBCBEFEB"/>
    <w:rsid w:val="DBD3534C"/>
    <w:rsid w:val="DBEF59F0"/>
    <w:rsid w:val="DBF7D8F0"/>
    <w:rsid w:val="DBFC387C"/>
    <w:rsid w:val="DBFF5D1E"/>
    <w:rsid w:val="DC787010"/>
    <w:rsid w:val="DC7A7B86"/>
    <w:rsid w:val="DCF56529"/>
    <w:rsid w:val="DCFDFE3E"/>
    <w:rsid w:val="DD5EDA63"/>
    <w:rsid w:val="DD699E66"/>
    <w:rsid w:val="DD6C2ABD"/>
    <w:rsid w:val="DD6F32E5"/>
    <w:rsid w:val="DDD7D415"/>
    <w:rsid w:val="DDEB2905"/>
    <w:rsid w:val="DDED4234"/>
    <w:rsid w:val="DDEEC73E"/>
    <w:rsid w:val="DDEF94B6"/>
    <w:rsid w:val="DDF67958"/>
    <w:rsid w:val="DDFE8E86"/>
    <w:rsid w:val="DE35A44F"/>
    <w:rsid w:val="DE7394AD"/>
    <w:rsid w:val="DEA3E266"/>
    <w:rsid w:val="DEC78B8C"/>
    <w:rsid w:val="DEDE065D"/>
    <w:rsid w:val="DEE5F8E4"/>
    <w:rsid w:val="DEEB3F4D"/>
    <w:rsid w:val="DEEBA029"/>
    <w:rsid w:val="DEF741F2"/>
    <w:rsid w:val="DEF76EFC"/>
    <w:rsid w:val="DEF96A7C"/>
    <w:rsid w:val="DEFFB091"/>
    <w:rsid w:val="DF63CA3C"/>
    <w:rsid w:val="DF6BB24D"/>
    <w:rsid w:val="DF6D4440"/>
    <w:rsid w:val="DF6E7FB3"/>
    <w:rsid w:val="DF7B1243"/>
    <w:rsid w:val="DF7DF371"/>
    <w:rsid w:val="DF7FA00D"/>
    <w:rsid w:val="DF9BFF32"/>
    <w:rsid w:val="DFA56206"/>
    <w:rsid w:val="DFAB1807"/>
    <w:rsid w:val="DFAB4ADC"/>
    <w:rsid w:val="DFAFA20D"/>
    <w:rsid w:val="DFBF226E"/>
    <w:rsid w:val="DFCED1DE"/>
    <w:rsid w:val="DFD269EE"/>
    <w:rsid w:val="DFDFD4E5"/>
    <w:rsid w:val="DFE61935"/>
    <w:rsid w:val="DFE7CD99"/>
    <w:rsid w:val="DFED2364"/>
    <w:rsid w:val="DFEECFFA"/>
    <w:rsid w:val="DFEF1935"/>
    <w:rsid w:val="DFEF884A"/>
    <w:rsid w:val="DFF17C7B"/>
    <w:rsid w:val="DFF18683"/>
    <w:rsid w:val="DFF26E10"/>
    <w:rsid w:val="DFF3A4F5"/>
    <w:rsid w:val="DFF79AF1"/>
    <w:rsid w:val="DFF97CC7"/>
    <w:rsid w:val="DFFB516A"/>
    <w:rsid w:val="DFFD5CD5"/>
    <w:rsid w:val="DFFF5845"/>
    <w:rsid w:val="DFFF65D1"/>
    <w:rsid w:val="DFFFF52C"/>
    <w:rsid w:val="E1FA208A"/>
    <w:rsid w:val="E225BE64"/>
    <w:rsid w:val="E2775BCC"/>
    <w:rsid w:val="E2BA2861"/>
    <w:rsid w:val="E2EEF709"/>
    <w:rsid w:val="E33C7952"/>
    <w:rsid w:val="E3BB77D8"/>
    <w:rsid w:val="E47F0BAC"/>
    <w:rsid w:val="E4FFA21F"/>
    <w:rsid w:val="E5769AB5"/>
    <w:rsid w:val="E5DE231C"/>
    <w:rsid w:val="E5DFCCF5"/>
    <w:rsid w:val="E5DFFB95"/>
    <w:rsid w:val="E5FDD308"/>
    <w:rsid w:val="E65FDD78"/>
    <w:rsid w:val="E6767A0F"/>
    <w:rsid w:val="E67D83A2"/>
    <w:rsid w:val="E67F6DFF"/>
    <w:rsid w:val="E67FB5E5"/>
    <w:rsid w:val="E6FAEE3F"/>
    <w:rsid w:val="E6FF836A"/>
    <w:rsid w:val="E73516CD"/>
    <w:rsid w:val="E739140F"/>
    <w:rsid w:val="E75CD042"/>
    <w:rsid w:val="E767E36C"/>
    <w:rsid w:val="E7B17E50"/>
    <w:rsid w:val="E7B722C7"/>
    <w:rsid w:val="E7CDEDBA"/>
    <w:rsid w:val="E7DD79C9"/>
    <w:rsid w:val="E7E7EB31"/>
    <w:rsid w:val="E7EA2DA0"/>
    <w:rsid w:val="E7EFE32E"/>
    <w:rsid w:val="E7F7AD7C"/>
    <w:rsid w:val="E7FAAA83"/>
    <w:rsid w:val="E7FB35DB"/>
    <w:rsid w:val="E7FC4B47"/>
    <w:rsid w:val="E7FCA3E2"/>
    <w:rsid w:val="E86B2A1E"/>
    <w:rsid w:val="E8FF316A"/>
    <w:rsid w:val="E96F4BDF"/>
    <w:rsid w:val="E9F3995B"/>
    <w:rsid w:val="E9FF56A8"/>
    <w:rsid w:val="EABE39D3"/>
    <w:rsid w:val="EADFBAE1"/>
    <w:rsid w:val="EAEE76A2"/>
    <w:rsid w:val="EAFE9B62"/>
    <w:rsid w:val="EAFFAB93"/>
    <w:rsid w:val="EB5C40A5"/>
    <w:rsid w:val="EB66F919"/>
    <w:rsid w:val="EB6CA64D"/>
    <w:rsid w:val="EB7A3871"/>
    <w:rsid w:val="EB7B703D"/>
    <w:rsid w:val="EB9582A4"/>
    <w:rsid w:val="EBAFE3B2"/>
    <w:rsid w:val="EBBDF2C7"/>
    <w:rsid w:val="EBBF7E99"/>
    <w:rsid w:val="EBC7EDD1"/>
    <w:rsid w:val="EBCBC93D"/>
    <w:rsid w:val="EBFB64FB"/>
    <w:rsid w:val="EBFEE70A"/>
    <w:rsid w:val="EBFFC3B6"/>
    <w:rsid w:val="EBFFF3F5"/>
    <w:rsid w:val="EC168D6E"/>
    <w:rsid w:val="EC3935FC"/>
    <w:rsid w:val="ECDFAA37"/>
    <w:rsid w:val="ECE3E227"/>
    <w:rsid w:val="ECF73516"/>
    <w:rsid w:val="ECF77DC0"/>
    <w:rsid w:val="ECFEB0B1"/>
    <w:rsid w:val="ED6D1BED"/>
    <w:rsid w:val="ED757253"/>
    <w:rsid w:val="ED7FE9F0"/>
    <w:rsid w:val="ED9D1D44"/>
    <w:rsid w:val="EDB7E287"/>
    <w:rsid w:val="EDBDE0EE"/>
    <w:rsid w:val="EDBE3CB4"/>
    <w:rsid w:val="EDDFA5A0"/>
    <w:rsid w:val="EDDFC6CE"/>
    <w:rsid w:val="EDF73915"/>
    <w:rsid w:val="EDF76317"/>
    <w:rsid w:val="EDF93A90"/>
    <w:rsid w:val="EDFB6275"/>
    <w:rsid w:val="EDFC1282"/>
    <w:rsid w:val="EDFF8E55"/>
    <w:rsid w:val="EE43BFF8"/>
    <w:rsid w:val="EEBF7600"/>
    <w:rsid w:val="EEDB4B65"/>
    <w:rsid w:val="EEDF080E"/>
    <w:rsid w:val="EEED1BF3"/>
    <w:rsid w:val="EEEF6726"/>
    <w:rsid w:val="EEFE6439"/>
    <w:rsid w:val="EEFF5A03"/>
    <w:rsid w:val="EF19C670"/>
    <w:rsid w:val="EF37AA08"/>
    <w:rsid w:val="EF3F7B4B"/>
    <w:rsid w:val="EF3FFC7B"/>
    <w:rsid w:val="EF4B046F"/>
    <w:rsid w:val="EF6FB5C3"/>
    <w:rsid w:val="EF741D4D"/>
    <w:rsid w:val="EF771157"/>
    <w:rsid w:val="EF7B59A0"/>
    <w:rsid w:val="EF7F8235"/>
    <w:rsid w:val="EF7FCB04"/>
    <w:rsid w:val="EF8F17CA"/>
    <w:rsid w:val="EF97DE16"/>
    <w:rsid w:val="EF9B2D51"/>
    <w:rsid w:val="EF9E3D76"/>
    <w:rsid w:val="EFBFD7CE"/>
    <w:rsid w:val="EFC7915B"/>
    <w:rsid w:val="EFD3B4EA"/>
    <w:rsid w:val="EFD71413"/>
    <w:rsid w:val="EFD78E3E"/>
    <w:rsid w:val="EFDFF188"/>
    <w:rsid w:val="EFED8220"/>
    <w:rsid w:val="EFF387E5"/>
    <w:rsid w:val="EFF39F10"/>
    <w:rsid w:val="EFF7F576"/>
    <w:rsid w:val="EFF7F799"/>
    <w:rsid w:val="EFFAE51E"/>
    <w:rsid w:val="EFFB2270"/>
    <w:rsid w:val="EFFB3B42"/>
    <w:rsid w:val="EFFB7909"/>
    <w:rsid w:val="EFFC20CC"/>
    <w:rsid w:val="EFFD9E4D"/>
    <w:rsid w:val="EFFDC3F8"/>
    <w:rsid w:val="EFFDF84B"/>
    <w:rsid w:val="EFFF51AA"/>
    <w:rsid w:val="EFFFC5E0"/>
    <w:rsid w:val="EFFFCE46"/>
    <w:rsid w:val="F1FA1F3A"/>
    <w:rsid w:val="F1FDE965"/>
    <w:rsid w:val="F24ABBAF"/>
    <w:rsid w:val="F2DF7234"/>
    <w:rsid w:val="F2EF7AEF"/>
    <w:rsid w:val="F318F21E"/>
    <w:rsid w:val="F32593A5"/>
    <w:rsid w:val="F330F320"/>
    <w:rsid w:val="F35ABBC3"/>
    <w:rsid w:val="F3791AB6"/>
    <w:rsid w:val="F37EFDAA"/>
    <w:rsid w:val="F38EEF15"/>
    <w:rsid w:val="F3AACF61"/>
    <w:rsid w:val="F3BF2DE1"/>
    <w:rsid w:val="F3BFDAC4"/>
    <w:rsid w:val="F3D76D1C"/>
    <w:rsid w:val="F3E7630E"/>
    <w:rsid w:val="F3EEDA10"/>
    <w:rsid w:val="F3FDFE9B"/>
    <w:rsid w:val="F3FE3A11"/>
    <w:rsid w:val="F3FEADC2"/>
    <w:rsid w:val="F47ECC9A"/>
    <w:rsid w:val="F4CBD9F2"/>
    <w:rsid w:val="F4FFEC9F"/>
    <w:rsid w:val="F5271A69"/>
    <w:rsid w:val="F53B2E0D"/>
    <w:rsid w:val="F55F0C03"/>
    <w:rsid w:val="F579CD88"/>
    <w:rsid w:val="F596B8DB"/>
    <w:rsid w:val="F5BF0C8B"/>
    <w:rsid w:val="F5F69DC1"/>
    <w:rsid w:val="F5FFC467"/>
    <w:rsid w:val="F63F0663"/>
    <w:rsid w:val="F6792E73"/>
    <w:rsid w:val="F6DF8492"/>
    <w:rsid w:val="F6DF91A2"/>
    <w:rsid w:val="F6E33A52"/>
    <w:rsid w:val="F6EF1100"/>
    <w:rsid w:val="F6EF45EC"/>
    <w:rsid w:val="F6EF98A2"/>
    <w:rsid w:val="F6F91670"/>
    <w:rsid w:val="F6FB21E1"/>
    <w:rsid w:val="F6FB7431"/>
    <w:rsid w:val="F6FBE8C2"/>
    <w:rsid w:val="F6FC93F2"/>
    <w:rsid w:val="F6FE605A"/>
    <w:rsid w:val="F6FEA821"/>
    <w:rsid w:val="F71CF6BC"/>
    <w:rsid w:val="F7315C30"/>
    <w:rsid w:val="F739FBE7"/>
    <w:rsid w:val="F73ABACB"/>
    <w:rsid w:val="F73DDCC4"/>
    <w:rsid w:val="F73E4F1B"/>
    <w:rsid w:val="F76E32B1"/>
    <w:rsid w:val="F77706F8"/>
    <w:rsid w:val="F779940A"/>
    <w:rsid w:val="F77BA66E"/>
    <w:rsid w:val="F77C9671"/>
    <w:rsid w:val="F77E153F"/>
    <w:rsid w:val="F77E1A37"/>
    <w:rsid w:val="F77F4583"/>
    <w:rsid w:val="F7BF49E8"/>
    <w:rsid w:val="F7BF7E8F"/>
    <w:rsid w:val="F7BF7FDF"/>
    <w:rsid w:val="F7BFD08F"/>
    <w:rsid w:val="F7BFD881"/>
    <w:rsid w:val="F7C31706"/>
    <w:rsid w:val="F7CEF90C"/>
    <w:rsid w:val="F7D33661"/>
    <w:rsid w:val="F7D9160A"/>
    <w:rsid w:val="F7DE9A1B"/>
    <w:rsid w:val="F7DF7EEF"/>
    <w:rsid w:val="F7DFD2F3"/>
    <w:rsid w:val="F7E58D71"/>
    <w:rsid w:val="F7EB5B10"/>
    <w:rsid w:val="F7EF696F"/>
    <w:rsid w:val="F7F62345"/>
    <w:rsid w:val="F7F6B08C"/>
    <w:rsid w:val="F7F785BC"/>
    <w:rsid w:val="F7FB5041"/>
    <w:rsid w:val="F7FBE0FF"/>
    <w:rsid w:val="F7FD455C"/>
    <w:rsid w:val="F7FD9DA3"/>
    <w:rsid w:val="F7FE7B0E"/>
    <w:rsid w:val="F7FED32E"/>
    <w:rsid w:val="F7FFA12A"/>
    <w:rsid w:val="F8BF2697"/>
    <w:rsid w:val="F8F666C0"/>
    <w:rsid w:val="F8FBD434"/>
    <w:rsid w:val="F9014DE7"/>
    <w:rsid w:val="F93B923E"/>
    <w:rsid w:val="F98F71A1"/>
    <w:rsid w:val="F99EED86"/>
    <w:rsid w:val="F9EF65B8"/>
    <w:rsid w:val="F9F72F56"/>
    <w:rsid w:val="F9F7CB33"/>
    <w:rsid w:val="F9FE125D"/>
    <w:rsid w:val="FA77FAFD"/>
    <w:rsid w:val="FAAF271B"/>
    <w:rsid w:val="FABFA571"/>
    <w:rsid w:val="FADFA3AE"/>
    <w:rsid w:val="FAE6EFAA"/>
    <w:rsid w:val="FAEF6582"/>
    <w:rsid w:val="FAEF8DE6"/>
    <w:rsid w:val="FAF9BD55"/>
    <w:rsid w:val="FAFDA4CC"/>
    <w:rsid w:val="FB07F4A0"/>
    <w:rsid w:val="FB2F622D"/>
    <w:rsid w:val="FB4A418F"/>
    <w:rsid w:val="FB6D6429"/>
    <w:rsid w:val="FB6ED11C"/>
    <w:rsid w:val="FB6FF5F5"/>
    <w:rsid w:val="FB7739CE"/>
    <w:rsid w:val="FB7DCC43"/>
    <w:rsid w:val="FB9BDC92"/>
    <w:rsid w:val="FBBBD5A2"/>
    <w:rsid w:val="FBBCAA05"/>
    <w:rsid w:val="FBC7C6B0"/>
    <w:rsid w:val="FBCB96AD"/>
    <w:rsid w:val="FBD3EC3C"/>
    <w:rsid w:val="FBD744DB"/>
    <w:rsid w:val="FBDB851C"/>
    <w:rsid w:val="FBDDCDD7"/>
    <w:rsid w:val="FBDE2900"/>
    <w:rsid w:val="FBDEF960"/>
    <w:rsid w:val="FBDF22B1"/>
    <w:rsid w:val="FBE77983"/>
    <w:rsid w:val="FBEB19D7"/>
    <w:rsid w:val="FBEC7CBE"/>
    <w:rsid w:val="FBF33BDF"/>
    <w:rsid w:val="FBF35552"/>
    <w:rsid w:val="FBF6C27B"/>
    <w:rsid w:val="FBFF0865"/>
    <w:rsid w:val="FBFF3823"/>
    <w:rsid w:val="FBFF8136"/>
    <w:rsid w:val="FBFF93CD"/>
    <w:rsid w:val="FBFFAC20"/>
    <w:rsid w:val="FC3ED5E0"/>
    <w:rsid w:val="FC6A9B4C"/>
    <w:rsid w:val="FC73D36F"/>
    <w:rsid w:val="FC743566"/>
    <w:rsid w:val="FC9D3681"/>
    <w:rsid w:val="FCAA077F"/>
    <w:rsid w:val="FCBF6EA2"/>
    <w:rsid w:val="FCC3FDAB"/>
    <w:rsid w:val="FCD74EB3"/>
    <w:rsid w:val="FCEB5728"/>
    <w:rsid w:val="FCEDE070"/>
    <w:rsid w:val="FCFB20FA"/>
    <w:rsid w:val="FCFFF727"/>
    <w:rsid w:val="FD37FD0A"/>
    <w:rsid w:val="FD679B39"/>
    <w:rsid w:val="FD7376F6"/>
    <w:rsid w:val="FD73846F"/>
    <w:rsid w:val="FD74A197"/>
    <w:rsid w:val="FD77CBE2"/>
    <w:rsid w:val="FD7B6E85"/>
    <w:rsid w:val="FD7B77A5"/>
    <w:rsid w:val="FD7BEBFB"/>
    <w:rsid w:val="FD7DC897"/>
    <w:rsid w:val="FD7F4C07"/>
    <w:rsid w:val="FD7FB33F"/>
    <w:rsid w:val="FD825A9B"/>
    <w:rsid w:val="FD8D1886"/>
    <w:rsid w:val="FD96C49A"/>
    <w:rsid w:val="FD9D1C6A"/>
    <w:rsid w:val="FD9F3DC1"/>
    <w:rsid w:val="FDAD3F50"/>
    <w:rsid w:val="FDB9BAC4"/>
    <w:rsid w:val="FDBDC22B"/>
    <w:rsid w:val="FDCF94F8"/>
    <w:rsid w:val="FDDBC0E7"/>
    <w:rsid w:val="FDDEDD92"/>
    <w:rsid w:val="FDDF1B06"/>
    <w:rsid w:val="FDDF86EB"/>
    <w:rsid w:val="FDE11310"/>
    <w:rsid w:val="FDE7BBC6"/>
    <w:rsid w:val="FDEB15DE"/>
    <w:rsid w:val="FDEBDC07"/>
    <w:rsid w:val="FDEC8ECD"/>
    <w:rsid w:val="FDEE64E2"/>
    <w:rsid w:val="FDF734F0"/>
    <w:rsid w:val="FDF780CB"/>
    <w:rsid w:val="FDFB381E"/>
    <w:rsid w:val="FDFB5AFF"/>
    <w:rsid w:val="FDFD3260"/>
    <w:rsid w:val="FDFD6E5A"/>
    <w:rsid w:val="FDFDFC90"/>
    <w:rsid w:val="FDFE1B3C"/>
    <w:rsid w:val="FDFEB803"/>
    <w:rsid w:val="FDFF498A"/>
    <w:rsid w:val="FDFF6891"/>
    <w:rsid w:val="FDFF84B2"/>
    <w:rsid w:val="FDFF9EC7"/>
    <w:rsid w:val="FDFFB413"/>
    <w:rsid w:val="FDFFD7E3"/>
    <w:rsid w:val="FE2C9CC2"/>
    <w:rsid w:val="FE3F9EB9"/>
    <w:rsid w:val="FE562D67"/>
    <w:rsid w:val="FE5FAFFD"/>
    <w:rsid w:val="FE611825"/>
    <w:rsid w:val="FE632E57"/>
    <w:rsid w:val="FE6D4006"/>
    <w:rsid w:val="FE7C3974"/>
    <w:rsid w:val="FE7E92EB"/>
    <w:rsid w:val="FE7F2160"/>
    <w:rsid w:val="FE96732E"/>
    <w:rsid w:val="FEAE34D1"/>
    <w:rsid w:val="FEB743CD"/>
    <w:rsid w:val="FEB7E49D"/>
    <w:rsid w:val="FEB92F13"/>
    <w:rsid w:val="FEBBD265"/>
    <w:rsid w:val="FEBC3622"/>
    <w:rsid w:val="FEBDBF76"/>
    <w:rsid w:val="FEBE7F9D"/>
    <w:rsid w:val="FEBFD7A1"/>
    <w:rsid w:val="FEC70678"/>
    <w:rsid w:val="FECA48AD"/>
    <w:rsid w:val="FED6C210"/>
    <w:rsid w:val="FEDEFB49"/>
    <w:rsid w:val="FEDF8768"/>
    <w:rsid w:val="FEEE3384"/>
    <w:rsid w:val="FEF400FF"/>
    <w:rsid w:val="FEF557C6"/>
    <w:rsid w:val="FEF6A24A"/>
    <w:rsid w:val="FEF70CB2"/>
    <w:rsid w:val="FEF9A21B"/>
    <w:rsid w:val="FEF9BF17"/>
    <w:rsid w:val="FEF9F7E8"/>
    <w:rsid w:val="FEFA8205"/>
    <w:rsid w:val="FEFB2203"/>
    <w:rsid w:val="FEFD4929"/>
    <w:rsid w:val="FEFEA65C"/>
    <w:rsid w:val="FEFF7FD4"/>
    <w:rsid w:val="FEFF872A"/>
    <w:rsid w:val="FEFFC287"/>
    <w:rsid w:val="FEFFD51B"/>
    <w:rsid w:val="FF1DC95A"/>
    <w:rsid w:val="FF1DD724"/>
    <w:rsid w:val="FF2EA0DB"/>
    <w:rsid w:val="FF32E8E0"/>
    <w:rsid w:val="FF377491"/>
    <w:rsid w:val="FF39224F"/>
    <w:rsid w:val="FF3CAF92"/>
    <w:rsid w:val="FF3E94A8"/>
    <w:rsid w:val="FF3F0D04"/>
    <w:rsid w:val="FF3FC7E1"/>
    <w:rsid w:val="FF49D82E"/>
    <w:rsid w:val="FF4DFAAC"/>
    <w:rsid w:val="FF4E345C"/>
    <w:rsid w:val="FF4FB815"/>
    <w:rsid w:val="FF4FEC5C"/>
    <w:rsid w:val="FF57EF5B"/>
    <w:rsid w:val="FF5FBCB9"/>
    <w:rsid w:val="FF5FD0E0"/>
    <w:rsid w:val="FF67B0D9"/>
    <w:rsid w:val="FF6A25D1"/>
    <w:rsid w:val="FF6F6FA9"/>
    <w:rsid w:val="FF729B3D"/>
    <w:rsid w:val="FF7B93FA"/>
    <w:rsid w:val="FF7EF4BC"/>
    <w:rsid w:val="FF7EF59B"/>
    <w:rsid w:val="FF7F51DC"/>
    <w:rsid w:val="FF7F7AB2"/>
    <w:rsid w:val="FF7FCA9D"/>
    <w:rsid w:val="FF97AAA6"/>
    <w:rsid w:val="FF97DD7D"/>
    <w:rsid w:val="FF997480"/>
    <w:rsid w:val="FF9BBBF5"/>
    <w:rsid w:val="FF9C0288"/>
    <w:rsid w:val="FF9D1B3B"/>
    <w:rsid w:val="FF9F7931"/>
    <w:rsid w:val="FF9F7AD5"/>
    <w:rsid w:val="FFAC2350"/>
    <w:rsid w:val="FFAE76BF"/>
    <w:rsid w:val="FFAF2475"/>
    <w:rsid w:val="FFAFA3BC"/>
    <w:rsid w:val="FFAFF15A"/>
    <w:rsid w:val="FFB13E66"/>
    <w:rsid w:val="FFB179DD"/>
    <w:rsid w:val="FFB1F83B"/>
    <w:rsid w:val="FFB38786"/>
    <w:rsid w:val="FFB67926"/>
    <w:rsid w:val="FFB7DB60"/>
    <w:rsid w:val="FFBB7155"/>
    <w:rsid w:val="FFBDA3E7"/>
    <w:rsid w:val="FFBEED29"/>
    <w:rsid w:val="FFBF02FB"/>
    <w:rsid w:val="FFBF3343"/>
    <w:rsid w:val="FFBF4A40"/>
    <w:rsid w:val="FFBFFD0A"/>
    <w:rsid w:val="FFC121F4"/>
    <w:rsid w:val="FFC3FDA8"/>
    <w:rsid w:val="FFC71B5C"/>
    <w:rsid w:val="FFCAC845"/>
    <w:rsid w:val="FFCC3962"/>
    <w:rsid w:val="FFCDFD35"/>
    <w:rsid w:val="FFCF1FBA"/>
    <w:rsid w:val="FFCFDA7A"/>
    <w:rsid w:val="FFD37440"/>
    <w:rsid w:val="FFD4C196"/>
    <w:rsid w:val="FFDB684C"/>
    <w:rsid w:val="FFDB960C"/>
    <w:rsid w:val="FFDBAEF2"/>
    <w:rsid w:val="FFDC5991"/>
    <w:rsid w:val="FFDD32AF"/>
    <w:rsid w:val="FFDD3854"/>
    <w:rsid w:val="FFDE007B"/>
    <w:rsid w:val="FFDFBCA8"/>
    <w:rsid w:val="FFDFE18C"/>
    <w:rsid w:val="FFE2FCB2"/>
    <w:rsid w:val="FFE5BE44"/>
    <w:rsid w:val="FFE9E8F3"/>
    <w:rsid w:val="FFEB4963"/>
    <w:rsid w:val="FFEB712F"/>
    <w:rsid w:val="FFEEDE7C"/>
    <w:rsid w:val="FFEEFBF7"/>
    <w:rsid w:val="FFEF0D9D"/>
    <w:rsid w:val="FFEF1FA0"/>
    <w:rsid w:val="FFEF5459"/>
    <w:rsid w:val="FFEF8EE7"/>
    <w:rsid w:val="FFF1DB06"/>
    <w:rsid w:val="FFF2A27B"/>
    <w:rsid w:val="FFF3BDB1"/>
    <w:rsid w:val="FFF58781"/>
    <w:rsid w:val="FFF591E3"/>
    <w:rsid w:val="FFF59D6A"/>
    <w:rsid w:val="FFF5DA8B"/>
    <w:rsid w:val="FFF64422"/>
    <w:rsid w:val="FFF7099C"/>
    <w:rsid w:val="FFF72813"/>
    <w:rsid w:val="FFF74F0D"/>
    <w:rsid w:val="FFF79E7F"/>
    <w:rsid w:val="FFF8685E"/>
    <w:rsid w:val="FFF9077A"/>
    <w:rsid w:val="FFF9A626"/>
    <w:rsid w:val="FFF9CD61"/>
    <w:rsid w:val="FFFB3813"/>
    <w:rsid w:val="FFFB51DC"/>
    <w:rsid w:val="FFFBC8CD"/>
    <w:rsid w:val="FFFC0744"/>
    <w:rsid w:val="FFFC8574"/>
    <w:rsid w:val="FFFD2285"/>
    <w:rsid w:val="FFFD5520"/>
    <w:rsid w:val="FFFDAFC4"/>
    <w:rsid w:val="FFFDC960"/>
    <w:rsid w:val="FFFDE6C0"/>
    <w:rsid w:val="FFFDF937"/>
    <w:rsid w:val="FFFE1ABF"/>
    <w:rsid w:val="FFFE3D98"/>
    <w:rsid w:val="FFFEE02E"/>
    <w:rsid w:val="FFFEF3B0"/>
    <w:rsid w:val="FFFF0AE4"/>
    <w:rsid w:val="FFFF1AE2"/>
    <w:rsid w:val="FFFF4FD4"/>
    <w:rsid w:val="FFFF5138"/>
    <w:rsid w:val="FFFF71A8"/>
    <w:rsid w:val="FFFF7F7C"/>
    <w:rsid w:val="FFFF91D9"/>
    <w:rsid w:val="FFFF91F2"/>
    <w:rsid w:val="FFFFA857"/>
    <w:rsid w:val="FFFFB1AE"/>
    <w:rsid w:val="FFFFC7E4"/>
    <w:rsid w:val="FFFFDA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9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仿宋" w:eastAsia="宋体" w:cs="Times New Roman"/>
      <w:kern w:val="0"/>
      <w:sz w:val="28"/>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1"/>
      <w:szCs w:val="31"/>
      <w:lang w:val="en-US" w:eastAsia="en-US" w:bidi="ar-SA"/>
    </w:rPr>
  </w:style>
  <w:style w:type="paragraph" w:styleId="3">
    <w:name w:val="toc 5"/>
    <w:basedOn w:val="1"/>
    <w:next w:val="1"/>
    <w:qFormat/>
    <w:uiPriority w:val="99"/>
    <w:pPr>
      <w:widowControl w:val="0"/>
      <w:ind w:left="1680" w:leftChars="800"/>
      <w:jc w:val="both"/>
    </w:pPr>
    <w:rPr>
      <w:rFonts w:ascii="Times New Roman" w:hAnsi="Times New Roman" w:eastAsia="宋体" w:cs="Times New Roman"/>
      <w:kern w:val="2"/>
      <w:sz w:val="21"/>
      <w:szCs w:val="24"/>
      <w:lang w:val="en-US" w:eastAsia="zh-CN" w:bidi="ar-SA"/>
    </w:rPr>
  </w:style>
  <w:style w:type="paragraph" w:styleId="4">
    <w:name w:val="toa heading"/>
    <w:basedOn w:val="1"/>
    <w:next w:val="1"/>
    <w:unhideWhenUsed/>
    <w:qFormat/>
    <w:uiPriority w:val="99"/>
    <w:pPr>
      <w:spacing w:before="120" w:after="200" w:line="276" w:lineRule="auto"/>
    </w:pPr>
    <w:rPr>
      <w:rFonts w:hint="default" w:ascii="Arial" w:hAnsi="Arial"/>
      <w:sz w:val="24"/>
      <w:szCs w:val="24"/>
    </w:rPr>
  </w:style>
  <w:style w:type="paragraph" w:styleId="5">
    <w:name w:val="annotation text"/>
    <w:basedOn w:val="1"/>
    <w:qFormat/>
    <w:uiPriority w:val="0"/>
    <w:pPr>
      <w:jc w:val="left"/>
    </w:pPr>
  </w:style>
  <w:style w:type="paragraph" w:styleId="6">
    <w:name w:val="Body Text Indent"/>
    <w:basedOn w:val="1"/>
    <w:semiHidden/>
    <w:unhideWhenUsed/>
    <w:qFormat/>
    <w:uiPriority w:val="99"/>
    <w:pPr>
      <w:spacing w:after="12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2"/>
    <w:basedOn w:val="6"/>
    <w:unhideWhenUsed/>
    <w:qFormat/>
    <w:uiPriority w:val="99"/>
    <w:pPr>
      <w:ind w:firstLine="420" w:firstLineChars="200"/>
    </w:pPr>
  </w:style>
  <w:style w:type="character" w:styleId="12">
    <w:name w:val="Strong"/>
    <w:basedOn w:val="11"/>
    <w:qFormat/>
    <w:uiPriority w:val="0"/>
    <w:rPr>
      <w:b/>
    </w:rPr>
  </w:style>
  <w:style w:type="paragraph" w:customStyle="1" w:styleId="13">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Lines="0" w:beforeAutospacing="1" w:after="100" w:afterLines="0" w:afterAutospacing="1"/>
      <w:jc w:val="center"/>
    </w:pPr>
    <w:rPr>
      <w:rFonts w:ascii="???-18030" w:hAnsi="???-18030" w:cs="???-18030"/>
      <w:kern w:val="0"/>
    </w:rPr>
  </w:style>
  <w:style w:type="paragraph" w:customStyle="1" w:styleId="14">
    <w:name w:val="列出段落1"/>
    <w:basedOn w:val="1"/>
    <w:qFormat/>
    <w:uiPriority w:val="34"/>
    <w:pPr>
      <w:ind w:firstLine="420" w:firstLineChars="200"/>
    </w:pPr>
  </w:style>
  <w:style w:type="paragraph" w:styleId="15">
    <w:name w:val="List Paragraph"/>
    <w:basedOn w:val="1"/>
    <w:qFormat/>
    <w:uiPriority w:val="99"/>
    <w:pPr>
      <w:ind w:firstLine="420" w:firstLineChars="200"/>
    </w:pPr>
    <w:rPr>
      <w:rFonts w:ascii="Calibri" w:hAnsi="Calibri"/>
      <w:szCs w:val="22"/>
    </w:rPr>
  </w:style>
  <w:style w:type="table" w:customStyle="1" w:styleId="1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9279</Words>
  <Characters>10209</Characters>
  <Lines>0</Lines>
  <Paragraphs>0</Paragraphs>
  <TotalTime>2</TotalTime>
  <ScaleCrop>false</ScaleCrop>
  <LinksUpToDate>false</LinksUpToDate>
  <CharactersWithSpaces>10477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2024-04-04T08:36:00Z</dcterms:created>
  <dc:creator>Administrator</dc:creator>
  <cp:lastModifiedBy>Case</cp:lastModifiedBy>
  <dcterms:modified xsi:type="dcterms:W3CDTF">2026-06-24T06:59:47Z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6182D3A10D564617983F46DEE354AEAF</vt:lpwstr>
  </property>
  <property fmtid="{D5CDD505-2E9C-101B-9397-08002B2CF9AE}" pid="4" name="KSOTemplateDocerSaveRecord">
    <vt:lpwstr>eyJoZGlkIjoiNzY3ZDcxYmUyMGUyNzJhYmVmZGFhYzEwN2Q0MDcxMTIiLCJ1c2VySWQiOiI5MjgyMDQ0MDMifQ==</vt:lpwstr>
  </property>
</Properties>
</file>