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25EE032">
      <w:pPr>
        <w:keepNext w:val="0"/>
        <w:keepLines w:val="0"/>
        <w:pageBreakBefore w:val="0"/>
        <w:widowControl w:val="0"/>
        <w:kinsoku/>
        <w:wordWrap/>
        <w:overflowPunct/>
        <w:topLinePunct w:val="0"/>
        <w:autoSpaceDE/>
        <w:autoSpaceDN/>
        <w:bidi w:val="0"/>
        <w:adjustRightInd/>
        <w:snapToGrid/>
        <w:spacing w:afterLines="0" w:line="360" w:lineRule="auto"/>
        <w:jc w:val="both"/>
        <w:textAlignment w:val="auto"/>
        <w:rPr>
          <w:rFonts w:hint="eastAsia" w:ascii="黑体" w:hAnsi="黑体" w:eastAsia="黑体" w:cs="黑体"/>
          <w:sz w:val="32"/>
          <w:szCs w:val="32"/>
          <w:highlight w:val="none"/>
          <w:lang w:val="en-US" w:eastAsia="zh-CN"/>
        </w:rPr>
      </w:pPr>
      <w:r>
        <w:rPr>
          <w:rFonts w:hint="eastAsia" w:ascii="黑体" w:hAnsi="黑体" w:eastAsia="黑体" w:cs="黑体"/>
          <w:sz w:val="32"/>
          <w:szCs w:val="32"/>
          <w:highlight w:val="none"/>
          <w:lang w:eastAsia="zh-CN"/>
        </w:rPr>
        <w:t>附件</w:t>
      </w:r>
      <w:r>
        <w:rPr>
          <w:rFonts w:hint="eastAsia" w:ascii="黑体" w:hAnsi="黑体" w:eastAsia="黑体" w:cs="黑体"/>
          <w:sz w:val="32"/>
          <w:szCs w:val="32"/>
          <w:highlight w:val="none"/>
          <w:lang w:val="en-US" w:eastAsia="zh-CN"/>
        </w:rPr>
        <w:t>1</w:t>
      </w:r>
    </w:p>
    <w:p w14:paraId="0E56E8CE">
      <w:pPr>
        <w:spacing w:after="120" w:afterLines="50" w:line="600" w:lineRule="exact"/>
        <w:jc w:val="center"/>
        <w:rPr>
          <w:rFonts w:hint="eastAsia" w:ascii="方正小标宋简体" w:hAnsi="方正小标宋简体" w:eastAsia="方正小标宋简体" w:cs="方正小标宋简体"/>
          <w:sz w:val="24"/>
          <w:highlight w:val="none"/>
        </w:rPr>
      </w:pPr>
      <w:r>
        <w:rPr>
          <w:rFonts w:hint="eastAsia" w:ascii="方正小标宋简体" w:hAnsi="方正小标宋简体" w:eastAsia="方正小标宋简体" w:cs="方正小标宋简体"/>
          <w:sz w:val="36"/>
          <w:szCs w:val="36"/>
          <w:highlight w:val="none"/>
        </w:rPr>
        <w:t>202</w:t>
      </w:r>
      <w:r>
        <w:rPr>
          <w:rFonts w:hint="eastAsia" w:ascii="方正小标宋简体" w:hAnsi="方正小标宋简体" w:eastAsia="方正小标宋简体" w:cs="方正小标宋简体"/>
          <w:sz w:val="36"/>
          <w:szCs w:val="36"/>
          <w:highlight w:val="none"/>
          <w:lang w:val="en-US" w:eastAsia="zh-CN"/>
        </w:rPr>
        <w:t>5</w:t>
      </w:r>
      <w:r>
        <w:rPr>
          <w:rFonts w:hint="eastAsia" w:ascii="方正小标宋简体" w:hAnsi="方正小标宋简体" w:eastAsia="方正小标宋简体" w:cs="方正小标宋简体"/>
          <w:sz w:val="36"/>
          <w:szCs w:val="36"/>
          <w:highlight w:val="none"/>
        </w:rPr>
        <w:t>年度部门整体支出绩效评价基础数据表</w:t>
      </w:r>
    </w:p>
    <w:tbl>
      <w:tblPr>
        <w:tblStyle w:val="8"/>
        <w:tblW w:w="9673" w:type="dxa"/>
        <w:jc w:val="center"/>
        <w:tblLayout w:type="fixed"/>
        <w:tblCellMar>
          <w:top w:w="0" w:type="dxa"/>
          <w:left w:w="108" w:type="dxa"/>
          <w:bottom w:w="0" w:type="dxa"/>
          <w:right w:w="108" w:type="dxa"/>
        </w:tblCellMar>
      </w:tblPr>
      <w:tblGrid>
        <w:gridCol w:w="3354"/>
        <w:gridCol w:w="1189"/>
        <w:gridCol w:w="849"/>
        <w:gridCol w:w="1129"/>
        <w:gridCol w:w="1111"/>
        <w:gridCol w:w="978"/>
        <w:gridCol w:w="1063"/>
      </w:tblGrid>
      <w:tr w14:paraId="3D0BD04D">
        <w:tblPrEx>
          <w:tblCellMar>
            <w:top w:w="0" w:type="dxa"/>
            <w:left w:w="108" w:type="dxa"/>
            <w:bottom w:w="0" w:type="dxa"/>
            <w:right w:w="108" w:type="dxa"/>
          </w:tblCellMar>
        </w:tblPrEx>
        <w:trPr>
          <w:trHeight w:val="0" w:hRule="atLeast"/>
          <w:jc w:val="center"/>
        </w:trPr>
        <w:tc>
          <w:tcPr>
            <w:tcW w:w="3354" w:type="dxa"/>
            <w:vMerge w:val="restart"/>
            <w:tcBorders>
              <w:top w:val="single" w:color="auto" w:sz="4" w:space="0"/>
              <w:left w:val="single" w:color="auto" w:sz="4" w:space="0"/>
              <w:bottom w:val="single" w:color="auto" w:sz="4" w:space="0"/>
              <w:right w:val="single" w:color="auto" w:sz="4" w:space="0"/>
            </w:tcBorders>
            <w:noWrap w:val="0"/>
            <w:vAlign w:val="center"/>
          </w:tcPr>
          <w:p w14:paraId="54E036F6">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财政供养人员情况（人）</w:t>
            </w:r>
          </w:p>
        </w:tc>
        <w:tc>
          <w:tcPr>
            <w:tcW w:w="2038" w:type="dxa"/>
            <w:gridSpan w:val="2"/>
            <w:tcBorders>
              <w:top w:val="single" w:color="auto" w:sz="4" w:space="0"/>
              <w:left w:val="single" w:color="auto" w:sz="4" w:space="0"/>
              <w:bottom w:val="single" w:color="auto" w:sz="4" w:space="0"/>
              <w:right w:val="single" w:color="auto" w:sz="4" w:space="0"/>
            </w:tcBorders>
            <w:noWrap w:val="0"/>
            <w:vAlign w:val="center"/>
          </w:tcPr>
          <w:p w14:paraId="1DFEF6AC">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b/>
                <w:bCs/>
                <w:sz w:val="20"/>
                <w:szCs w:val="20"/>
                <w:highlight w:val="none"/>
              </w:rPr>
            </w:pPr>
            <w:r>
              <w:rPr>
                <w:rFonts w:hint="eastAsia" w:ascii="仿宋_GB2312" w:hAnsi="仿宋_GB2312" w:eastAsia="仿宋_GB2312" w:cs="仿宋_GB2312"/>
                <w:b/>
                <w:bCs/>
                <w:sz w:val="20"/>
                <w:szCs w:val="20"/>
                <w:highlight w:val="none"/>
              </w:rPr>
              <w:t>编制数</w:t>
            </w:r>
          </w:p>
        </w:tc>
        <w:tc>
          <w:tcPr>
            <w:tcW w:w="2240" w:type="dxa"/>
            <w:gridSpan w:val="2"/>
            <w:tcBorders>
              <w:top w:val="single" w:color="auto" w:sz="4" w:space="0"/>
              <w:left w:val="single" w:color="auto" w:sz="4" w:space="0"/>
              <w:bottom w:val="single" w:color="auto" w:sz="4" w:space="0"/>
              <w:right w:val="single" w:color="auto" w:sz="4" w:space="0"/>
            </w:tcBorders>
            <w:noWrap w:val="0"/>
            <w:vAlign w:val="center"/>
          </w:tcPr>
          <w:p w14:paraId="5DCF5C2D">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b/>
                <w:bCs/>
                <w:sz w:val="20"/>
                <w:szCs w:val="20"/>
                <w:highlight w:val="none"/>
              </w:rPr>
            </w:pPr>
            <w:r>
              <w:rPr>
                <w:rFonts w:hint="eastAsia" w:ascii="仿宋_GB2312" w:hAnsi="仿宋_GB2312" w:eastAsia="仿宋_GB2312" w:cs="仿宋_GB2312"/>
                <w:b/>
                <w:bCs/>
                <w:sz w:val="20"/>
                <w:szCs w:val="20"/>
                <w:highlight w:val="none"/>
              </w:rPr>
              <w:t>202</w:t>
            </w:r>
            <w:r>
              <w:rPr>
                <w:rFonts w:hint="eastAsia" w:ascii="仿宋_GB2312" w:hAnsi="仿宋_GB2312" w:eastAsia="仿宋_GB2312" w:cs="仿宋_GB2312"/>
                <w:b/>
                <w:bCs/>
                <w:sz w:val="20"/>
                <w:szCs w:val="20"/>
                <w:highlight w:val="none"/>
                <w:lang w:val="en-US" w:eastAsia="zh-CN"/>
              </w:rPr>
              <w:t>5</w:t>
            </w:r>
            <w:r>
              <w:rPr>
                <w:rFonts w:hint="eastAsia" w:ascii="仿宋_GB2312" w:hAnsi="仿宋_GB2312" w:eastAsia="仿宋_GB2312" w:cs="仿宋_GB2312"/>
                <w:b/>
                <w:bCs/>
                <w:sz w:val="20"/>
                <w:szCs w:val="20"/>
                <w:highlight w:val="none"/>
              </w:rPr>
              <w:t>年实际在职人数</w:t>
            </w:r>
          </w:p>
        </w:tc>
        <w:tc>
          <w:tcPr>
            <w:tcW w:w="2041" w:type="dxa"/>
            <w:gridSpan w:val="2"/>
            <w:tcBorders>
              <w:top w:val="single" w:color="auto" w:sz="4" w:space="0"/>
              <w:left w:val="single" w:color="auto" w:sz="4" w:space="0"/>
              <w:bottom w:val="single" w:color="auto" w:sz="4" w:space="0"/>
              <w:right w:val="single" w:color="auto" w:sz="4" w:space="0"/>
            </w:tcBorders>
            <w:noWrap w:val="0"/>
            <w:vAlign w:val="center"/>
          </w:tcPr>
          <w:p w14:paraId="2A775EC3">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b/>
                <w:bCs/>
                <w:sz w:val="20"/>
                <w:szCs w:val="20"/>
                <w:highlight w:val="none"/>
              </w:rPr>
            </w:pPr>
            <w:r>
              <w:rPr>
                <w:rFonts w:hint="eastAsia" w:ascii="仿宋_GB2312" w:hAnsi="仿宋_GB2312" w:eastAsia="仿宋_GB2312" w:cs="仿宋_GB2312"/>
                <w:b/>
                <w:bCs/>
                <w:sz w:val="20"/>
                <w:szCs w:val="20"/>
                <w:highlight w:val="none"/>
              </w:rPr>
              <w:t>控制率</w:t>
            </w:r>
          </w:p>
        </w:tc>
      </w:tr>
      <w:tr w14:paraId="1BB2EB0E">
        <w:tblPrEx>
          <w:tblCellMar>
            <w:top w:w="0" w:type="dxa"/>
            <w:left w:w="108" w:type="dxa"/>
            <w:bottom w:w="0" w:type="dxa"/>
            <w:right w:w="108" w:type="dxa"/>
          </w:tblCellMar>
        </w:tblPrEx>
        <w:trPr>
          <w:trHeight w:val="0" w:hRule="atLeast"/>
          <w:jc w:val="center"/>
        </w:trPr>
        <w:tc>
          <w:tcPr>
            <w:tcW w:w="3354" w:type="dxa"/>
            <w:vMerge w:val="continue"/>
            <w:tcBorders>
              <w:top w:val="single" w:color="auto" w:sz="4" w:space="0"/>
              <w:left w:val="single" w:color="auto" w:sz="4" w:space="0"/>
              <w:bottom w:val="single" w:color="auto" w:sz="4" w:space="0"/>
              <w:right w:val="single" w:color="auto" w:sz="4" w:space="0"/>
            </w:tcBorders>
            <w:noWrap w:val="0"/>
            <w:vAlign w:val="center"/>
          </w:tcPr>
          <w:p w14:paraId="7E3A131B">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eastAsia" w:ascii="仿宋_GB2312" w:hAnsi="仿宋_GB2312" w:eastAsia="仿宋_GB2312" w:cs="仿宋_GB2312"/>
                <w:sz w:val="20"/>
                <w:szCs w:val="20"/>
                <w:highlight w:val="none"/>
              </w:rPr>
            </w:pPr>
          </w:p>
        </w:tc>
        <w:tc>
          <w:tcPr>
            <w:tcW w:w="2038" w:type="dxa"/>
            <w:gridSpan w:val="2"/>
            <w:tcBorders>
              <w:top w:val="single" w:color="auto" w:sz="4" w:space="0"/>
              <w:left w:val="single" w:color="auto" w:sz="4" w:space="0"/>
              <w:bottom w:val="single" w:color="auto" w:sz="4" w:space="0"/>
              <w:right w:val="single" w:color="auto" w:sz="4" w:space="0"/>
            </w:tcBorders>
            <w:noWrap w:val="0"/>
            <w:vAlign w:val="center"/>
          </w:tcPr>
          <w:p w14:paraId="2B036F5F">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default" w:ascii="仿宋_GB2312" w:hAnsi="仿宋_GB2312" w:eastAsia="仿宋_GB2312" w:cs="仿宋_GB2312"/>
                <w:color w:val="auto"/>
                <w:sz w:val="20"/>
                <w:szCs w:val="20"/>
                <w:highlight w:val="none"/>
                <w:lang w:val="en-US" w:eastAsia="zh-CN"/>
              </w:rPr>
            </w:pPr>
            <w:r>
              <w:rPr>
                <w:rFonts w:hint="eastAsia" w:ascii="仿宋_GB2312" w:hAnsi="仿宋_GB2312" w:eastAsia="仿宋_GB2312" w:cs="仿宋_GB2312"/>
                <w:color w:val="auto"/>
                <w:sz w:val="20"/>
                <w:szCs w:val="20"/>
                <w:highlight w:val="none"/>
                <w:lang w:val="en-US" w:eastAsia="zh-CN"/>
              </w:rPr>
              <w:t>316</w:t>
            </w:r>
          </w:p>
        </w:tc>
        <w:tc>
          <w:tcPr>
            <w:tcW w:w="2240" w:type="dxa"/>
            <w:gridSpan w:val="2"/>
            <w:tcBorders>
              <w:top w:val="single" w:color="auto" w:sz="4" w:space="0"/>
              <w:left w:val="single" w:color="auto" w:sz="4" w:space="0"/>
              <w:bottom w:val="single" w:color="auto" w:sz="4" w:space="0"/>
              <w:right w:val="single" w:color="auto" w:sz="4" w:space="0"/>
            </w:tcBorders>
            <w:noWrap w:val="0"/>
            <w:vAlign w:val="center"/>
          </w:tcPr>
          <w:p w14:paraId="24286CC4">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default" w:ascii="仿宋_GB2312" w:hAnsi="仿宋_GB2312" w:eastAsia="仿宋_GB2312" w:cs="仿宋_GB2312"/>
                <w:color w:val="auto"/>
                <w:sz w:val="20"/>
                <w:szCs w:val="20"/>
                <w:highlight w:val="none"/>
                <w:lang w:val="en-US"/>
              </w:rPr>
            </w:pPr>
            <w:r>
              <w:rPr>
                <w:rFonts w:hint="eastAsia" w:ascii="仿宋_GB2312" w:hAnsi="仿宋_GB2312" w:eastAsia="仿宋_GB2312" w:cs="仿宋_GB2312"/>
                <w:color w:val="auto"/>
                <w:sz w:val="20"/>
                <w:szCs w:val="20"/>
                <w:highlight w:val="none"/>
                <w:lang w:val="en-US" w:eastAsia="zh-CN"/>
              </w:rPr>
              <w:t>484</w:t>
            </w:r>
          </w:p>
        </w:tc>
        <w:tc>
          <w:tcPr>
            <w:tcW w:w="2041" w:type="dxa"/>
            <w:gridSpan w:val="2"/>
            <w:tcBorders>
              <w:top w:val="single" w:color="auto" w:sz="4" w:space="0"/>
              <w:left w:val="single" w:color="auto" w:sz="4" w:space="0"/>
              <w:bottom w:val="single" w:color="auto" w:sz="4" w:space="0"/>
              <w:right w:val="single" w:color="auto" w:sz="4" w:space="0"/>
            </w:tcBorders>
            <w:noWrap w:val="0"/>
            <w:vAlign w:val="center"/>
          </w:tcPr>
          <w:p w14:paraId="6BD2B734">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default" w:ascii="仿宋_GB2312" w:hAnsi="仿宋_GB2312" w:eastAsia="仿宋_GB2312" w:cs="仿宋_GB2312"/>
                <w:color w:val="auto"/>
                <w:sz w:val="20"/>
                <w:szCs w:val="20"/>
                <w:highlight w:val="none"/>
                <w:lang w:val="en-US" w:eastAsia="zh-CN"/>
              </w:rPr>
            </w:pPr>
            <w:r>
              <w:rPr>
                <w:rFonts w:hint="eastAsia" w:ascii="仿宋_GB2312" w:hAnsi="仿宋_GB2312" w:eastAsia="仿宋_GB2312" w:cs="仿宋_GB2312"/>
                <w:color w:val="auto"/>
                <w:sz w:val="20"/>
                <w:szCs w:val="20"/>
                <w:highlight w:val="none"/>
                <w:lang w:val="en-US" w:eastAsia="zh-CN"/>
              </w:rPr>
              <w:t>153.16%</w:t>
            </w:r>
          </w:p>
        </w:tc>
      </w:tr>
      <w:tr w14:paraId="694B52A6">
        <w:tblPrEx>
          <w:tblCellMar>
            <w:top w:w="0" w:type="dxa"/>
            <w:left w:w="108" w:type="dxa"/>
            <w:bottom w:w="0" w:type="dxa"/>
            <w:right w:w="108" w:type="dxa"/>
          </w:tblCellMar>
        </w:tblPrEx>
        <w:trPr>
          <w:trHeight w:val="0" w:hRule="atLeast"/>
          <w:jc w:val="center"/>
        </w:trPr>
        <w:tc>
          <w:tcPr>
            <w:tcW w:w="3354" w:type="dxa"/>
            <w:tcBorders>
              <w:top w:val="single" w:color="auto" w:sz="4" w:space="0"/>
              <w:left w:val="single" w:color="auto" w:sz="4" w:space="0"/>
              <w:bottom w:val="single" w:color="auto" w:sz="4" w:space="0"/>
              <w:right w:val="single" w:color="auto" w:sz="4" w:space="0"/>
            </w:tcBorders>
            <w:noWrap w:val="0"/>
            <w:vAlign w:val="center"/>
          </w:tcPr>
          <w:p w14:paraId="5508978D">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经费控制情况（万元）</w:t>
            </w:r>
          </w:p>
        </w:tc>
        <w:tc>
          <w:tcPr>
            <w:tcW w:w="2038" w:type="dxa"/>
            <w:gridSpan w:val="2"/>
            <w:tcBorders>
              <w:top w:val="single" w:color="auto" w:sz="4" w:space="0"/>
              <w:left w:val="single" w:color="auto" w:sz="4" w:space="0"/>
              <w:bottom w:val="single" w:color="auto" w:sz="4" w:space="0"/>
              <w:right w:val="single" w:color="auto" w:sz="4" w:space="0"/>
            </w:tcBorders>
            <w:noWrap w:val="0"/>
            <w:vAlign w:val="center"/>
          </w:tcPr>
          <w:p w14:paraId="5E866C32">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b/>
                <w:bCs/>
                <w:sz w:val="20"/>
                <w:szCs w:val="20"/>
                <w:highlight w:val="none"/>
              </w:rPr>
            </w:pPr>
            <w:r>
              <w:rPr>
                <w:rFonts w:hint="eastAsia" w:ascii="仿宋_GB2312" w:hAnsi="仿宋_GB2312" w:eastAsia="仿宋_GB2312" w:cs="仿宋_GB2312"/>
                <w:b/>
                <w:bCs/>
                <w:sz w:val="20"/>
                <w:szCs w:val="20"/>
                <w:highlight w:val="none"/>
              </w:rPr>
              <w:t>202</w:t>
            </w:r>
            <w:r>
              <w:rPr>
                <w:rFonts w:hint="eastAsia" w:ascii="仿宋_GB2312" w:hAnsi="仿宋_GB2312" w:eastAsia="仿宋_GB2312" w:cs="仿宋_GB2312"/>
                <w:b/>
                <w:bCs/>
                <w:sz w:val="20"/>
                <w:szCs w:val="20"/>
                <w:highlight w:val="none"/>
                <w:lang w:val="en-US" w:eastAsia="zh-CN"/>
              </w:rPr>
              <w:t>4</w:t>
            </w:r>
            <w:r>
              <w:rPr>
                <w:rFonts w:hint="eastAsia" w:ascii="仿宋_GB2312" w:hAnsi="仿宋_GB2312" w:eastAsia="仿宋_GB2312" w:cs="仿宋_GB2312"/>
                <w:b/>
                <w:bCs/>
                <w:sz w:val="20"/>
                <w:szCs w:val="20"/>
                <w:highlight w:val="none"/>
              </w:rPr>
              <w:t>年决算数</w:t>
            </w:r>
          </w:p>
        </w:tc>
        <w:tc>
          <w:tcPr>
            <w:tcW w:w="2240" w:type="dxa"/>
            <w:gridSpan w:val="2"/>
            <w:tcBorders>
              <w:top w:val="single" w:color="auto" w:sz="4" w:space="0"/>
              <w:left w:val="single" w:color="auto" w:sz="4" w:space="0"/>
              <w:bottom w:val="single" w:color="auto" w:sz="4" w:space="0"/>
              <w:right w:val="single" w:color="auto" w:sz="4" w:space="0"/>
            </w:tcBorders>
            <w:noWrap w:val="0"/>
            <w:vAlign w:val="center"/>
          </w:tcPr>
          <w:p w14:paraId="1E947FA9">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b/>
                <w:bCs/>
                <w:sz w:val="20"/>
                <w:szCs w:val="20"/>
                <w:highlight w:val="none"/>
              </w:rPr>
            </w:pPr>
            <w:r>
              <w:rPr>
                <w:rFonts w:hint="eastAsia" w:ascii="仿宋_GB2312" w:hAnsi="仿宋_GB2312" w:eastAsia="仿宋_GB2312" w:cs="仿宋_GB2312"/>
                <w:b/>
                <w:bCs/>
                <w:sz w:val="20"/>
                <w:szCs w:val="20"/>
                <w:highlight w:val="none"/>
              </w:rPr>
              <w:t>202</w:t>
            </w:r>
            <w:r>
              <w:rPr>
                <w:rFonts w:hint="eastAsia" w:ascii="仿宋_GB2312" w:hAnsi="仿宋_GB2312" w:eastAsia="仿宋_GB2312" w:cs="仿宋_GB2312"/>
                <w:b/>
                <w:bCs/>
                <w:sz w:val="20"/>
                <w:szCs w:val="20"/>
                <w:highlight w:val="none"/>
                <w:lang w:val="en-US" w:eastAsia="zh-CN"/>
              </w:rPr>
              <w:t>5</w:t>
            </w:r>
            <w:r>
              <w:rPr>
                <w:rFonts w:hint="eastAsia" w:ascii="仿宋_GB2312" w:hAnsi="仿宋_GB2312" w:eastAsia="仿宋_GB2312" w:cs="仿宋_GB2312"/>
                <w:b/>
                <w:bCs/>
                <w:sz w:val="20"/>
                <w:szCs w:val="20"/>
                <w:highlight w:val="none"/>
              </w:rPr>
              <w:t>年预算数</w:t>
            </w:r>
          </w:p>
        </w:tc>
        <w:tc>
          <w:tcPr>
            <w:tcW w:w="2041" w:type="dxa"/>
            <w:gridSpan w:val="2"/>
            <w:tcBorders>
              <w:top w:val="single" w:color="auto" w:sz="4" w:space="0"/>
              <w:left w:val="single" w:color="auto" w:sz="4" w:space="0"/>
              <w:bottom w:val="single" w:color="auto" w:sz="4" w:space="0"/>
              <w:right w:val="single" w:color="auto" w:sz="4" w:space="0"/>
            </w:tcBorders>
            <w:noWrap w:val="0"/>
            <w:vAlign w:val="center"/>
          </w:tcPr>
          <w:p w14:paraId="3AF6AB4A">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b/>
                <w:bCs/>
                <w:sz w:val="20"/>
                <w:szCs w:val="20"/>
                <w:highlight w:val="none"/>
              </w:rPr>
            </w:pPr>
            <w:r>
              <w:rPr>
                <w:rFonts w:hint="eastAsia" w:ascii="仿宋_GB2312" w:hAnsi="仿宋_GB2312" w:eastAsia="仿宋_GB2312" w:cs="仿宋_GB2312"/>
                <w:b/>
                <w:bCs/>
                <w:sz w:val="20"/>
                <w:szCs w:val="20"/>
                <w:highlight w:val="none"/>
              </w:rPr>
              <w:t>202</w:t>
            </w:r>
            <w:r>
              <w:rPr>
                <w:rFonts w:hint="eastAsia" w:ascii="仿宋_GB2312" w:hAnsi="仿宋_GB2312" w:eastAsia="仿宋_GB2312" w:cs="仿宋_GB2312"/>
                <w:b/>
                <w:bCs/>
                <w:sz w:val="20"/>
                <w:szCs w:val="20"/>
                <w:highlight w:val="none"/>
                <w:lang w:val="en-US" w:eastAsia="zh-CN"/>
              </w:rPr>
              <w:t>5</w:t>
            </w:r>
            <w:r>
              <w:rPr>
                <w:rFonts w:hint="eastAsia" w:ascii="仿宋_GB2312" w:hAnsi="仿宋_GB2312" w:eastAsia="仿宋_GB2312" w:cs="仿宋_GB2312"/>
                <w:b/>
                <w:bCs/>
                <w:sz w:val="20"/>
                <w:szCs w:val="20"/>
                <w:highlight w:val="none"/>
              </w:rPr>
              <w:t>年决算数</w:t>
            </w:r>
          </w:p>
        </w:tc>
      </w:tr>
      <w:tr w14:paraId="51E4C374">
        <w:tblPrEx>
          <w:tblCellMar>
            <w:top w:w="0" w:type="dxa"/>
            <w:left w:w="108" w:type="dxa"/>
            <w:bottom w:w="0" w:type="dxa"/>
            <w:right w:w="108" w:type="dxa"/>
          </w:tblCellMar>
        </w:tblPrEx>
        <w:trPr>
          <w:trHeight w:val="0" w:hRule="atLeast"/>
          <w:jc w:val="center"/>
        </w:trPr>
        <w:tc>
          <w:tcPr>
            <w:tcW w:w="3354" w:type="dxa"/>
            <w:tcBorders>
              <w:top w:val="single" w:color="auto" w:sz="4" w:space="0"/>
              <w:left w:val="single" w:color="auto" w:sz="4" w:space="0"/>
              <w:bottom w:val="single" w:color="auto" w:sz="4" w:space="0"/>
              <w:right w:val="single" w:color="auto" w:sz="4" w:space="0"/>
            </w:tcBorders>
            <w:noWrap w:val="0"/>
            <w:vAlign w:val="center"/>
          </w:tcPr>
          <w:p w14:paraId="11E1BC4E">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三公经费</w:t>
            </w:r>
          </w:p>
        </w:tc>
        <w:tc>
          <w:tcPr>
            <w:tcW w:w="2038" w:type="dxa"/>
            <w:gridSpan w:val="2"/>
            <w:tcBorders>
              <w:top w:val="single" w:color="auto" w:sz="4" w:space="0"/>
              <w:left w:val="single" w:color="auto" w:sz="4" w:space="0"/>
              <w:bottom w:val="single" w:color="auto" w:sz="4" w:space="0"/>
              <w:right w:val="single" w:color="auto" w:sz="4" w:space="0"/>
            </w:tcBorders>
            <w:noWrap w:val="0"/>
            <w:vAlign w:val="center"/>
          </w:tcPr>
          <w:p w14:paraId="15922507">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lang w:val="en-US" w:eastAsia="zh-CN"/>
              </w:rPr>
              <w:t>25.34</w:t>
            </w:r>
          </w:p>
        </w:tc>
        <w:tc>
          <w:tcPr>
            <w:tcW w:w="2240" w:type="dxa"/>
            <w:gridSpan w:val="2"/>
            <w:tcBorders>
              <w:top w:val="single" w:color="auto" w:sz="4" w:space="0"/>
              <w:left w:val="single" w:color="auto" w:sz="4" w:space="0"/>
              <w:bottom w:val="single" w:color="auto" w:sz="4" w:space="0"/>
              <w:right w:val="single" w:color="auto" w:sz="4" w:space="0"/>
            </w:tcBorders>
            <w:noWrap w:val="0"/>
            <w:vAlign w:val="center"/>
          </w:tcPr>
          <w:p w14:paraId="51EDD583">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default"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lang w:val="en-US" w:eastAsia="zh-CN"/>
              </w:rPr>
              <w:t>30.00</w:t>
            </w:r>
          </w:p>
        </w:tc>
        <w:tc>
          <w:tcPr>
            <w:tcW w:w="2041" w:type="dxa"/>
            <w:gridSpan w:val="2"/>
            <w:tcBorders>
              <w:top w:val="single" w:color="auto" w:sz="4" w:space="0"/>
              <w:left w:val="single" w:color="auto" w:sz="4" w:space="0"/>
              <w:bottom w:val="single" w:color="auto" w:sz="4" w:space="0"/>
              <w:right w:val="single" w:color="auto" w:sz="4" w:space="0"/>
            </w:tcBorders>
            <w:noWrap w:val="0"/>
            <w:vAlign w:val="center"/>
          </w:tcPr>
          <w:p w14:paraId="49B99A52">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default"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lang w:val="en-US" w:eastAsia="zh-CN"/>
              </w:rPr>
              <w:t>23.07</w:t>
            </w:r>
          </w:p>
        </w:tc>
      </w:tr>
      <w:tr w14:paraId="5B0436DF">
        <w:tblPrEx>
          <w:tblCellMar>
            <w:top w:w="0" w:type="dxa"/>
            <w:left w:w="108" w:type="dxa"/>
            <w:bottom w:w="0" w:type="dxa"/>
            <w:right w:w="108" w:type="dxa"/>
          </w:tblCellMar>
        </w:tblPrEx>
        <w:trPr>
          <w:trHeight w:val="0" w:hRule="atLeast"/>
          <w:jc w:val="center"/>
        </w:trPr>
        <w:tc>
          <w:tcPr>
            <w:tcW w:w="3354" w:type="dxa"/>
            <w:tcBorders>
              <w:top w:val="single" w:color="auto" w:sz="4" w:space="0"/>
              <w:left w:val="single" w:color="auto" w:sz="4" w:space="0"/>
              <w:bottom w:val="single" w:color="auto" w:sz="4" w:space="0"/>
              <w:right w:val="single" w:color="auto" w:sz="4" w:space="0"/>
            </w:tcBorders>
            <w:noWrap w:val="0"/>
            <w:vAlign w:val="center"/>
          </w:tcPr>
          <w:p w14:paraId="42321967">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 xml:space="preserve">   1、公务用车购置和维护经费</w:t>
            </w:r>
          </w:p>
        </w:tc>
        <w:tc>
          <w:tcPr>
            <w:tcW w:w="2038" w:type="dxa"/>
            <w:gridSpan w:val="2"/>
            <w:tcBorders>
              <w:top w:val="single" w:color="auto" w:sz="4" w:space="0"/>
              <w:left w:val="single" w:color="auto" w:sz="4" w:space="0"/>
              <w:bottom w:val="single" w:color="auto" w:sz="4" w:space="0"/>
              <w:right w:val="single" w:color="auto" w:sz="4" w:space="0"/>
            </w:tcBorders>
            <w:noWrap w:val="0"/>
            <w:vAlign w:val="center"/>
          </w:tcPr>
          <w:p w14:paraId="2DB3FECF">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lang w:val="en-US" w:eastAsia="zh-CN"/>
              </w:rPr>
              <w:t>25.34</w:t>
            </w:r>
          </w:p>
        </w:tc>
        <w:tc>
          <w:tcPr>
            <w:tcW w:w="2240" w:type="dxa"/>
            <w:gridSpan w:val="2"/>
            <w:tcBorders>
              <w:top w:val="single" w:color="auto" w:sz="4" w:space="0"/>
              <w:left w:val="single" w:color="auto" w:sz="4" w:space="0"/>
              <w:bottom w:val="single" w:color="auto" w:sz="4" w:space="0"/>
              <w:right w:val="single" w:color="auto" w:sz="4" w:space="0"/>
            </w:tcBorders>
            <w:noWrap w:val="0"/>
            <w:vAlign w:val="center"/>
          </w:tcPr>
          <w:p w14:paraId="0ECA43E1">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default"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lang w:val="en-US" w:eastAsia="zh-CN"/>
              </w:rPr>
              <w:t>30.00</w:t>
            </w:r>
          </w:p>
        </w:tc>
        <w:tc>
          <w:tcPr>
            <w:tcW w:w="2041" w:type="dxa"/>
            <w:gridSpan w:val="2"/>
            <w:tcBorders>
              <w:top w:val="single" w:color="auto" w:sz="4" w:space="0"/>
              <w:left w:val="single" w:color="auto" w:sz="4" w:space="0"/>
              <w:bottom w:val="single" w:color="auto" w:sz="4" w:space="0"/>
              <w:right w:val="single" w:color="auto" w:sz="4" w:space="0"/>
            </w:tcBorders>
            <w:noWrap w:val="0"/>
            <w:vAlign w:val="center"/>
          </w:tcPr>
          <w:p w14:paraId="5A5F0B18">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default"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lang w:val="en-US" w:eastAsia="zh-CN"/>
              </w:rPr>
              <w:t>23.07</w:t>
            </w:r>
          </w:p>
        </w:tc>
      </w:tr>
      <w:tr w14:paraId="04965048">
        <w:tblPrEx>
          <w:tblCellMar>
            <w:top w:w="0" w:type="dxa"/>
            <w:left w:w="108" w:type="dxa"/>
            <w:bottom w:w="0" w:type="dxa"/>
            <w:right w:w="108" w:type="dxa"/>
          </w:tblCellMar>
        </w:tblPrEx>
        <w:trPr>
          <w:trHeight w:val="0" w:hRule="atLeast"/>
          <w:jc w:val="center"/>
        </w:trPr>
        <w:tc>
          <w:tcPr>
            <w:tcW w:w="3354" w:type="dxa"/>
            <w:tcBorders>
              <w:top w:val="single" w:color="auto" w:sz="4" w:space="0"/>
              <w:left w:val="single" w:color="auto" w:sz="4" w:space="0"/>
              <w:bottom w:val="single" w:color="auto" w:sz="4" w:space="0"/>
              <w:right w:val="single" w:color="auto" w:sz="4" w:space="0"/>
            </w:tcBorders>
            <w:noWrap w:val="0"/>
            <w:vAlign w:val="center"/>
          </w:tcPr>
          <w:p w14:paraId="1897D9A0">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 xml:space="preserve">       其中：公车购置</w:t>
            </w:r>
          </w:p>
        </w:tc>
        <w:tc>
          <w:tcPr>
            <w:tcW w:w="2038" w:type="dxa"/>
            <w:gridSpan w:val="2"/>
            <w:tcBorders>
              <w:top w:val="single" w:color="auto" w:sz="4" w:space="0"/>
              <w:left w:val="single" w:color="auto" w:sz="4" w:space="0"/>
              <w:bottom w:val="single" w:color="auto" w:sz="4" w:space="0"/>
              <w:right w:val="single" w:color="auto" w:sz="4" w:space="0"/>
            </w:tcBorders>
            <w:noWrap w:val="0"/>
            <w:vAlign w:val="center"/>
          </w:tcPr>
          <w:p w14:paraId="7514518A">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lang w:val="en-US" w:eastAsia="zh-CN"/>
              </w:rPr>
              <w:t>0</w:t>
            </w:r>
          </w:p>
        </w:tc>
        <w:tc>
          <w:tcPr>
            <w:tcW w:w="2240" w:type="dxa"/>
            <w:gridSpan w:val="2"/>
            <w:tcBorders>
              <w:top w:val="single" w:color="auto" w:sz="4" w:space="0"/>
              <w:left w:val="single" w:color="auto" w:sz="4" w:space="0"/>
              <w:bottom w:val="single" w:color="auto" w:sz="4" w:space="0"/>
              <w:right w:val="single" w:color="auto" w:sz="4" w:space="0"/>
            </w:tcBorders>
            <w:noWrap w:val="0"/>
            <w:vAlign w:val="center"/>
          </w:tcPr>
          <w:p w14:paraId="7B2BA862">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default"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lang w:val="en-US" w:eastAsia="zh-CN"/>
              </w:rPr>
              <w:t>0</w:t>
            </w:r>
          </w:p>
        </w:tc>
        <w:tc>
          <w:tcPr>
            <w:tcW w:w="2041" w:type="dxa"/>
            <w:gridSpan w:val="2"/>
            <w:tcBorders>
              <w:top w:val="single" w:color="auto" w:sz="4" w:space="0"/>
              <w:left w:val="single" w:color="auto" w:sz="4" w:space="0"/>
              <w:bottom w:val="single" w:color="auto" w:sz="4" w:space="0"/>
              <w:right w:val="single" w:color="auto" w:sz="4" w:space="0"/>
            </w:tcBorders>
            <w:noWrap w:val="0"/>
            <w:vAlign w:val="center"/>
          </w:tcPr>
          <w:p w14:paraId="3FD84F27">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lang w:val="en-US" w:eastAsia="zh-CN"/>
              </w:rPr>
              <w:t>0</w:t>
            </w:r>
          </w:p>
        </w:tc>
      </w:tr>
      <w:tr w14:paraId="26AB0A25">
        <w:tblPrEx>
          <w:tblCellMar>
            <w:top w:w="0" w:type="dxa"/>
            <w:left w:w="108" w:type="dxa"/>
            <w:bottom w:w="0" w:type="dxa"/>
            <w:right w:w="108" w:type="dxa"/>
          </w:tblCellMar>
        </w:tblPrEx>
        <w:trPr>
          <w:trHeight w:val="0" w:hRule="atLeast"/>
          <w:jc w:val="center"/>
        </w:trPr>
        <w:tc>
          <w:tcPr>
            <w:tcW w:w="3354" w:type="dxa"/>
            <w:tcBorders>
              <w:top w:val="single" w:color="auto" w:sz="4" w:space="0"/>
              <w:left w:val="single" w:color="auto" w:sz="4" w:space="0"/>
              <w:bottom w:val="single" w:color="auto" w:sz="4" w:space="0"/>
              <w:right w:val="single" w:color="auto" w:sz="4" w:space="0"/>
            </w:tcBorders>
            <w:noWrap w:val="0"/>
            <w:vAlign w:val="center"/>
          </w:tcPr>
          <w:p w14:paraId="10E7587A">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 xml:space="preserve">             公车运行维护</w:t>
            </w:r>
          </w:p>
        </w:tc>
        <w:tc>
          <w:tcPr>
            <w:tcW w:w="2038" w:type="dxa"/>
            <w:gridSpan w:val="2"/>
            <w:tcBorders>
              <w:top w:val="single" w:color="auto" w:sz="4" w:space="0"/>
              <w:left w:val="single" w:color="auto" w:sz="4" w:space="0"/>
              <w:bottom w:val="single" w:color="auto" w:sz="4" w:space="0"/>
              <w:right w:val="single" w:color="auto" w:sz="4" w:space="0"/>
            </w:tcBorders>
            <w:noWrap w:val="0"/>
            <w:vAlign w:val="center"/>
          </w:tcPr>
          <w:p w14:paraId="01CE1D06">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default"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lang w:val="en-US" w:eastAsia="zh-CN"/>
              </w:rPr>
              <w:t>25.34</w:t>
            </w:r>
          </w:p>
        </w:tc>
        <w:tc>
          <w:tcPr>
            <w:tcW w:w="2240" w:type="dxa"/>
            <w:gridSpan w:val="2"/>
            <w:tcBorders>
              <w:top w:val="single" w:color="auto" w:sz="4" w:space="0"/>
              <w:left w:val="single" w:color="auto" w:sz="4" w:space="0"/>
              <w:bottom w:val="single" w:color="auto" w:sz="4" w:space="0"/>
              <w:right w:val="single" w:color="auto" w:sz="4" w:space="0"/>
            </w:tcBorders>
            <w:noWrap w:val="0"/>
            <w:vAlign w:val="center"/>
          </w:tcPr>
          <w:p w14:paraId="1FCCCABF">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default"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lang w:val="en-US" w:eastAsia="zh-CN"/>
              </w:rPr>
              <w:t>30.00</w:t>
            </w:r>
          </w:p>
        </w:tc>
        <w:tc>
          <w:tcPr>
            <w:tcW w:w="2041" w:type="dxa"/>
            <w:gridSpan w:val="2"/>
            <w:tcBorders>
              <w:top w:val="single" w:color="auto" w:sz="4" w:space="0"/>
              <w:left w:val="single" w:color="auto" w:sz="4" w:space="0"/>
              <w:bottom w:val="single" w:color="auto" w:sz="4" w:space="0"/>
              <w:right w:val="single" w:color="auto" w:sz="4" w:space="0"/>
            </w:tcBorders>
            <w:noWrap w:val="0"/>
            <w:vAlign w:val="center"/>
          </w:tcPr>
          <w:p w14:paraId="7D113C10">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default"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lang w:val="en-US" w:eastAsia="zh-CN"/>
              </w:rPr>
              <w:t>23.07</w:t>
            </w:r>
          </w:p>
        </w:tc>
      </w:tr>
      <w:tr w14:paraId="0D427946">
        <w:tblPrEx>
          <w:tblCellMar>
            <w:top w:w="0" w:type="dxa"/>
            <w:left w:w="108" w:type="dxa"/>
            <w:bottom w:w="0" w:type="dxa"/>
            <w:right w:w="108" w:type="dxa"/>
          </w:tblCellMar>
        </w:tblPrEx>
        <w:trPr>
          <w:trHeight w:val="0" w:hRule="atLeast"/>
          <w:jc w:val="center"/>
        </w:trPr>
        <w:tc>
          <w:tcPr>
            <w:tcW w:w="3354" w:type="dxa"/>
            <w:tcBorders>
              <w:top w:val="single" w:color="auto" w:sz="4" w:space="0"/>
              <w:left w:val="single" w:color="auto" w:sz="4" w:space="0"/>
              <w:bottom w:val="single" w:color="auto" w:sz="4" w:space="0"/>
              <w:right w:val="single" w:color="auto" w:sz="4" w:space="0"/>
            </w:tcBorders>
            <w:noWrap w:val="0"/>
            <w:vAlign w:val="center"/>
          </w:tcPr>
          <w:p w14:paraId="36FBDE2C">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 xml:space="preserve">   2、出国经费</w:t>
            </w:r>
          </w:p>
        </w:tc>
        <w:tc>
          <w:tcPr>
            <w:tcW w:w="2038" w:type="dxa"/>
            <w:gridSpan w:val="2"/>
            <w:tcBorders>
              <w:top w:val="single" w:color="auto" w:sz="4" w:space="0"/>
              <w:left w:val="single" w:color="auto" w:sz="4" w:space="0"/>
              <w:bottom w:val="single" w:color="auto" w:sz="4" w:space="0"/>
              <w:right w:val="single" w:color="auto" w:sz="4" w:space="0"/>
            </w:tcBorders>
            <w:noWrap w:val="0"/>
            <w:vAlign w:val="center"/>
          </w:tcPr>
          <w:p w14:paraId="5748D735">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lang w:val="en-US" w:eastAsia="zh-CN"/>
              </w:rPr>
              <w:t>0</w:t>
            </w:r>
          </w:p>
        </w:tc>
        <w:tc>
          <w:tcPr>
            <w:tcW w:w="2240" w:type="dxa"/>
            <w:gridSpan w:val="2"/>
            <w:tcBorders>
              <w:top w:val="single" w:color="auto" w:sz="4" w:space="0"/>
              <w:left w:val="single" w:color="auto" w:sz="4" w:space="0"/>
              <w:bottom w:val="single" w:color="auto" w:sz="4" w:space="0"/>
              <w:right w:val="single" w:color="auto" w:sz="4" w:space="0"/>
            </w:tcBorders>
            <w:noWrap w:val="0"/>
            <w:vAlign w:val="center"/>
          </w:tcPr>
          <w:p w14:paraId="670119AA">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default"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lang w:val="en-US" w:eastAsia="zh-CN"/>
              </w:rPr>
              <w:t>0</w:t>
            </w:r>
          </w:p>
        </w:tc>
        <w:tc>
          <w:tcPr>
            <w:tcW w:w="2041" w:type="dxa"/>
            <w:gridSpan w:val="2"/>
            <w:tcBorders>
              <w:top w:val="single" w:color="auto" w:sz="4" w:space="0"/>
              <w:left w:val="single" w:color="auto" w:sz="4" w:space="0"/>
              <w:bottom w:val="single" w:color="auto" w:sz="4" w:space="0"/>
              <w:right w:val="single" w:color="auto" w:sz="4" w:space="0"/>
            </w:tcBorders>
            <w:noWrap w:val="0"/>
            <w:vAlign w:val="center"/>
          </w:tcPr>
          <w:p w14:paraId="55D30295">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lang w:val="en-US" w:eastAsia="zh-CN"/>
              </w:rPr>
              <w:t>0</w:t>
            </w:r>
          </w:p>
        </w:tc>
      </w:tr>
      <w:tr w14:paraId="39714C15">
        <w:tblPrEx>
          <w:tblCellMar>
            <w:top w:w="0" w:type="dxa"/>
            <w:left w:w="108" w:type="dxa"/>
            <w:bottom w:w="0" w:type="dxa"/>
            <w:right w:w="108" w:type="dxa"/>
          </w:tblCellMar>
        </w:tblPrEx>
        <w:trPr>
          <w:trHeight w:val="0" w:hRule="atLeast"/>
          <w:jc w:val="center"/>
        </w:trPr>
        <w:tc>
          <w:tcPr>
            <w:tcW w:w="3354" w:type="dxa"/>
            <w:tcBorders>
              <w:top w:val="single" w:color="auto" w:sz="4" w:space="0"/>
              <w:left w:val="single" w:color="auto" w:sz="4" w:space="0"/>
              <w:bottom w:val="single" w:color="auto" w:sz="4" w:space="0"/>
              <w:right w:val="single" w:color="auto" w:sz="4" w:space="0"/>
            </w:tcBorders>
            <w:noWrap w:val="0"/>
            <w:vAlign w:val="center"/>
          </w:tcPr>
          <w:p w14:paraId="4F9DB535">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 xml:space="preserve">   3、公务接待</w:t>
            </w:r>
          </w:p>
        </w:tc>
        <w:tc>
          <w:tcPr>
            <w:tcW w:w="2038" w:type="dxa"/>
            <w:gridSpan w:val="2"/>
            <w:tcBorders>
              <w:top w:val="single" w:color="auto" w:sz="4" w:space="0"/>
              <w:left w:val="single" w:color="auto" w:sz="4" w:space="0"/>
              <w:bottom w:val="single" w:color="auto" w:sz="4" w:space="0"/>
              <w:right w:val="single" w:color="auto" w:sz="4" w:space="0"/>
            </w:tcBorders>
            <w:noWrap w:val="0"/>
            <w:vAlign w:val="center"/>
          </w:tcPr>
          <w:p w14:paraId="2C8E4D20">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lang w:val="en-US" w:eastAsia="zh-CN"/>
              </w:rPr>
              <w:t>0</w:t>
            </w:r>
          </w:p>
        </w:tc>
        <w:tc>
          <w:tcPr>
            <w:tcW w:w="2240" w:type="dxa"/>
            <w:gridSpan w:val="2"/>
            <w:tcBorders>
              <w:top w:val="single" w:color="auto" w:sz="4" w:space="0"/>
              <w:left w:val="single" w:color="auto" w:sz="4" w:space="0"/>
              <w:bottom w:val="single" w:color="auto" w:sz="4" w:space="0"/>
              <w:right w:val="single" w:color="auto" w:sz="4" w:space="0"/>
            </w:tcBorders>
            <w:noWrap w:val="0"/>
            <w:vAlign w:val="center"/>
          </w:tcPr>
          <w:p w14:paraId="54C088D4">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lang w:val="en-US" w:eastAsia="zh-CN"/>
              </w:rPr>
              <w:t>0</w:t>
            </w:r>
          </w:p>
        </w:tc>
        <w:tc>
          <w:tcPr>
            <w:tcW w:w="2041" w:type="dxa"/>
            <w:gridSpan w:val="2"/>
            <w:tcBorders>
              <w:top w:val="single" w:color="auto" w:sz="4" w:space="0"/>
              <w:left w:val="single" w:color="auto" w:sz="4" w:space="0"/>
              <w:bottom w:val="single" w:color="auto" w:sz="4" w:space="0"/>
              <w:right w:val="single" w:color="auto" w:sz="4" w:space="0"/>
            </w:tcBorders>
            <w:noWrap w:val="0"/>
            <w:vAlign w:val="center"/>
          </w:tcPr>
          <w:p w14:paraId="14128323">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lang w:val="en-US" w:eastAsia="zh-CN"/>
              </w:rPr>
              <w:t>0</w:t>
            </w:r>
          </w:p>
        </w:tc>
      </w:tr>
      <w:tr w14:paraId="0809DC01">
        <w:tblPrEx>
          <w:tblCellMar>
            <w:top w:w="0" w:type="dxa"/>
            <w:left w:w="108" w:type="dxa"/>
            <w:bottom w:w="0" w:type="dxa"/>
            <w:right w:w="108" w:type="dxa"/>
          </w:tblCellMar>
        </w:tblPrEx>
        <w:trPr>
          <w:trHeight w:val="0" w:hRule="atLeast"/>
          <w:jc w:val="center"/>
        </w:trPr>
        <w:tc>
          <w:tcPr>
            <w:tcW w:w="3354" w:type="dxa"/>
            <w:tcBorders>
              <w:top w:val="single" w:color="auto" w:sz="4" w:space="0"/>
              <w:left w:val="single" w:color="auto" w:sz="4" w:space="0"/>
              <w:bottom w:val="single" w:color="auto" w:sz="4" w:space="0"/>
              <w:right w:val="single" w:color="auto" w:sz="4" w:space="0"/>
            </w:tcBorders>
            <w:noWrap w:val="0"/>
            <w:vAlign w:val="center"/>
          </w:tcPr>
          <w:p w14:paraId="39FC79B2">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项目支出：</w:t>
            </w:r>
          </w:p>
        </w:tc>
        <w:tc>
          <w:tcPr>
            <w:tcW w:w="2038" w:type="dxa"/>
            <w:gridSpan w:val="2"/>
            <w:tcBorders>
              <w:top w:val="single" w:color="auto" w:sz="4" w:space="0"/>
              <w:left w:val="single" w:color="auto" w:sz="4" w:space="0"/>
              <w:bottom w:val="single" w:color="auto" w:sz="4" w:space="0"/>
              <w:right w:val="single" w:color="auto" w:sz="4" w:space="0"/>
            </w:tcBorders>
            <w:noWrap w:val="0"/>
            <w:vAlign w:val="center"/>
          </w:tcPr>
          <w:p w14:paraId="0DE95FD0">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default"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lang w:val="en-US" w:eastAsia="zh-CN"/>
              </w:rPr>
              <w:t>272.32</w:t>
            </w:r>
          </w:p>
        </w:tc>
        <w:tc>
          <w:tcPr>
            <w:tcW w:w="2240" w:type="dxa"/>
            <w:gridSpan w:val="2"/>
            <w:tcBorders>
              <w:top w:val="single" w:color="auto" w:sz="4" w:space="0"/>
              <w:left w:val="single" w:color="auto" w:sz="4" w:space="0"/>
              <w:bottom w:val="single" w:color="auto" w:sz="4" w:space="0"/>
              <w:right w:val="single" w:color="auto" w:sz="4" w:space="0"/>
            </w:tcBorders>
            <w:noWrap w:val="0"/>
            <w:vAlign w:val="center"/>
          </w:tcPr>
          <w:p w14:paraId="2862460F">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default"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lang w:val="en-US" w:eastAsia="zh-CN"/>
              </w:rPr>
              <w:t>390.30</w:t>
            </w:r>
          </w:p>
        </w:tc>
        <w:tc>
          <w:tcPr>
            <w:tcW w:w="2041" w:type="dxa"/>
            <w:gridSpan w:val="2"/>
            <w:tcBorders>
              <w:top w:val="single" w:color="auto" w:sz="4" w:space="0"/>
              <w:left w:val="single" w:color="auto" w:sz="4" w:space="0"/>
              <w:bottom w:val="single" w:color="auto" w:sz="4" w:space="0"/>
              <w:right w:val="single" w:color="auto" w:sz="4" w:space="0"/>
            </w:tcBorders>
            <w:noWrap w:val="0"/>
            <w:vAlign w:val="center"/>
          </w:tcPr>
          <w:p w14:paraId="1B8106C3">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default"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lang w:val="en-US" w:eastAsia="zh-CN"/>
              </w:rPr>
              <w:t>358.41</w:t>
            </w:r>
          </w:p>
        </w:tc>
      </w:tr>
      <w:tr w14:paraId="69BAF82D">
        <w:tblPrEx>
          <w:tblCellMar>
            <w:top w:w="0" w:type="dxa"/>
            <w:left w:w="108" w:type="dxa"/>
            <w:bottom w:w="0" w:type="dxa"/>
            <w:right w:w="108" w:type="dxa"/>
          </w:tblCellMar>
        </w:tblPrEx>
        <w:trPr>
          <w:trHeight w:val="0" w:hRule="atLeast"/>
          <w:jc w:val="center"/>
        </w:trPr>
        <w:tc>
          <w:tcPr>
            <w:tcW w:w="3354" w:type="dxa"/>
            <w:tcBorders>
              <w:top w:val="single" w:color="auto" w:sz="4" w:space="0"/>
              <w:left w:val="single" w:color="auto" w:sz="4" w:space="0"/>
              <w:bottom w:val="single" w:color="auto" w:sz="4" w:space="0"/>
              <w:right w:val="single" w:color="auto" w:sz="4" w:space="0"/>
            </w:tcBorders>
            <w:noWrap w:val="0"/>
            <w:vAlign w:val="center"/>
          </w:tcPr>
          <w:p w14:paraId="04B78D04">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 xml:space="preserve">    1、业务工作经费</w:t>
            </w:r>
          </w:p>
        </w:tc>
        <w:tc>
          <w:tcPr>
            <w:tcW w:w="2038" w:type="dxa"/>
            <w:gridSpan w:val="2"/>
            <w:tcBorders>
              <w:top w:val="single" w:color="auto" w:sz="4" w:space="0"/>
              <w:left w:val="single" w:color="auto" w:sz="4" w:space="0"/>
              <w:bottom w:val="single" w:color="auto" w:sz="4" w:space="0"/>
              <w:right w:val="single" w:color="auto" w:sz="4" w:space="0"/>
            </w:tcBorders>
            <w:noWrap w:val="0"/>
            <w:vAlign w:val="center"/>
          </w:tcPr>
          <w:p w14:paraId="4FB67393">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lang w:val="en-US" w:eastAsia="zh-CN"/>
              </w:rPr>
              <w:t>0</w:t>
            </w:r>
          </w:p>
        </w:tc>
        <w:tc>
          <w:tcPr>
            <w:tcW w:w="2240" w:type="dxa"/>
            <w:gridSpan w:val="2"/>
            <w:tcBorders>
              <w:top w:val="single" w:color="auto" w:sz="4" w:space="0"/>
              <w:left w:val="single" w:color="auto" w:sz="4" w:space="0"/>
              <w:bottom w:val="single" w:color="auto" w:sz="4" w:space="0"/>
              <w:right w:val="single" w:color="auto" w:sz="4" w:space="0"/>
            </w:tcBorders>
            <w:noWrap w:val="0"/>
            <w:vAlign w:val="center"/>
          </w:tcPr>
          <w:p w14:paraId="4828D69E">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lang w:val="en-US" w:eastAsia="zh-CN"/>
              </w:rPr>
              <w:t>0</w:t>
            </w:r>
          </w:p>
        </w:tc>
        <w:tc>
          <w:tcPr>
            <w:tcW w:w="2041" w:type="dxa"/>
            <w:gridSpan w:val="2"/>
            <w:tcBorders>
              <w:top w:val="single" w:color="auto" w:sz="4" w:space="0"/>
              <w:left w:val="single" w:color="auto" w:sz="4" w:space="0"/>
              <w:bottom w:val="single" w:color="auto" w:sz="4" w:space="0"/>
              <w:right w:val="single" w:color="auto" w:sz="4" w:space="0"/>
            </w:tcBorders>
            <w:noWrap w:val="0"/>
            <w:vAlign w:val="center"/>
          </w:tcPr>
          <w:p w14:paraId="6B9701E8">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lang w:val="en-US" w:eastAsia="zh-CN"/>
              </w:rPr>
              <w:t>0</w:t>
            </w:r>
          </w:p>
        </w:tc>
      </w:tr>
      <w:tr w14:paraId="58E58ECA">
        <w:tblPrEx>
          <w:tblCellMar>
            <w:top w:w="0" w:type="dxa"/>
            <w:left w:w="108" w:type="dxa"/>
            <w:bottom w:w="0" w:type="dxa"/>
            <w:right w:w="108" w:type="dxa"/>
          </w:tblCellMar>
        </w:tblPrEx>
        <w:trPr>
          <w:trHeight w:val="0" w:hRule="atLeast"/>
          <w:jc w:val="center"/>
        </w:trPr>
        <w:tc>
          <w:tcPr>
            <w:tcW w:w="3354" w:type="dxa"/>
            <w:tcBorders>
              <w:top w:val="single" w:color="auto" w:sz="4" w:space="0"/>
              <w:left w:val="single" w:color="auto" w:sz="4" w:space="0"/>
              <w:bottom w:val="single" w:color="auto" w:sz="4" w:space="0"/>
              <w:right w:val="single" w:color="auto" w:sz="4" w:space="0"/>
            </w:tcBorders>
            <w:noWrap w:val="0"/>
            <w:vAlign w:val="center"/>
          </w:tcPr>
          <w:p w14:paraId="7114DE82">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 xml:space="preserve">    2、运行维护经费</w:t>
            </w:r>
          </w:p>
        </w:tc>
        <w:tc>
          <w:tcPr>
            <w:tcW w:w="2038" w:type="dxa"/>
            <w:gridSpan w:val="2"/>
            <w:tcBorders>
              <w:top w:val="single" w:color="auto" w:sz="4" w:space="0"/>
              <w:left w:val="single" w:color="auto" w:sz="4" w:space="0"/>
              <w:bottom w:val="single" w:color="auto" w:sz="4" w:space="0"/>
              <w:right w:val="single" w:color="auto" w:sz="4" w:space="0"/>
            </w:tcBorders>
            <w:noWrap w:val="0"/>
            <w:vAlign w:val="center"/>
          </w:tcPr>
          <w:p w14:paraId="2EA00ED3">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lang w:val="en-US" w:eastAsia="zh-CN"/>
              </w:rPr>
              <w:t>0</w:t>
            </w:r>
          </w:p>
        </w:tc>
        <w:tc>
          <w:tcPr>
            <w:tcW w:w="2240" w:type="dxa"/>
            <w:gridSpan w:val="2"/>
            <w:tcBorders>
              <w:top w:val="single" w:color="auto" w:sz="4" w:space="0"/>
              <w:left w:val="single" w:color="auto" w:sz="4" w:space="0"/>
              <w:bottom w:val="single" w:color="auto" w:sz="4" w:space="0"/>
              <w:right w:val="single" w:color="auto" w:sz="4" w:space="0"/>
            </w:tcBorders>
            <w:noWrap w:val="0"/>
            <w:vAlign w:val="center"/>
          </w:tcPr>
          <w:p w14:paraId="0B580FFB">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default"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lang w:val="en-US" w:eastAsia="zh-CN"/>
              </w:rPr>
              <w:t>0</w:t>
            </w:r>
          </w:p>
        </w:tc>
        <w:tc>
          <w:tcPr>
            <w:tcW w:w="2041" w:type="dxa"/>
            <w:gridSpan w:val="2"/>
            <w:tcBorders>
              <w:top w:val="single" w:color="auto" w:sz="4" w:space="0"/>
              <w:left w:val="single" w:color="auto" w:sz="4" w:space="0"/>
              <w:bottom w:val="single" w:color="auto" w:sz="4" w:space="0"/>
              <w:right w:val="single" w:color="auto" w:sz="4" w:space="0"/>
            </w:tcBorders>
            <w:noWrap w:val="0"/>
            <w:vAlign w:val="center"/>
          </w:tcPr>
          <w:p w14:paraId="6D4D2326">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default"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lang w:val="en-US" w:eastAsia="zh-CN"/>
              </w:rPr>
              <w:t>0</w:t>
            </w:r>
          </w:p>
        </w:tc>
      </w:tr>
      <w:tr w14:paraId="71AD1D7A">
        <w:tblPrEx>
          <w:tblCellMar>
            <w:top w:w="0" w:type="dxa"/>
            <w:left w:w="108" w:type="dxa"/>
            <w:bottom w:w="0" w:type="dxa"/>
            <w:right w:w="108" w:type="dxa"/>
          </w:tblCellMar>
        </w:tblPrEx>
        <w:trPr>
          <w:trHeight w:val="0" w:hRule="atLeast"/>
          <w:jc w:val="center"/>
        </w:trPr>
        <w:tc>
          <w:tcPr>
            <w:tcW w:w="3354" w:type="dxa"/>
            <w:tcBorders>
              <w:top w:val="single" w:color="auto" w:sz="4" w:space="0"/>
              <w:left w:val="single" w:color="auto" w:sz="4" w:space="0"/>
              <w:bottom w:val="single" w:color="auto" w:sz="4" w:space="0"/>
              <w:right w:val="single" w:color="auto" w:sz="4" w:space="0"/>
            </w:tcBorders>
            <w:noWrap w:val="0"/>
            <w:vAlign w:val="center"/>
          </w:tcPr>
          <w:p w14:paraId="06C7CF4A">
            <w:pPr>
              <w:keepNext w:val="0"/>
              <w:keepLines w:val="0"/>
              <w:pageBreakBefore w:val="0"/>
              <w:widowControl/>
              <w:kinsoku/>
              <w:wordWrap/>
              <w:overflowPunct/>
              <w:topLinePunct w:val="0"/>
              <w:autoSpaceDE/>
              <w:autoSpaceDN/>
              <w:bidi w:val="0"/>
              <w:adjustRightInd/>
              <w:snapToGrid/>
              <w:spacing w:line="340" w:lineRule="exact"/>
              <w:ind w:firstLine="400" w:firstLineChars="200"/>
              <w:jc w:val="left"/>
              <w:textAlignment w:val="auto"/>
              <w:rPr>
                <w:rFonts w:hint="eastAsia" w:ascii="仿宋_GB2312" w:hAnsi="仿宋_GB2312" w:eastAsia="仿宋_GB2312" w:cs="仿宋_GB2312"/>
                <w:sz w:val="20"/>
                <w:szCs w:val="20"/>
                <w:highlight w:val="none"/>
                <w:lang w:eastAsia="zh-CN"/>
              </w:rPr>
            </w:pPr>
            <w:r>
              <w:rPr>
                <w:rFonts w:hint="eastAsia" w:ascii="仿宋_GB2312" w:hAnsi="仿宋_GB2312" w:eastAsia="仿宋_GB2312" w:cs="仿宋_GB2312"/>
                <w:sz w:val="20"/>
                <w:szCs w:val="20"/>
                <w:highlight w:val="none"/>
              </w:rPr>
              <w:t>3、</w:t>
            </w:r>
            <w:r>
              <w:rPr>
                <w:rFonts w:hint="eastAsia" w:ascii="仿宋_GB2312" w:hAnsi="仿宋_GB2312" w:eastAsia="仿宋_GB2312" w:cs="仿宋_GB2312"/>
                <w:sz w:val="20"/>
                <w:szCs w:val="20"/>
                <w:highlight w:val="none"/>
                <w:lang w:eastAsia="zh-CN"/>
              </w:rPr>
              <w:t>市级</w:t>
            </w:r>
            <w:r>
              <w:rPr>
                <w:rFonts w:hint="eastAsia" w:ascii="仿宋_GB2312" w:hAnsi="仿宋_GB2312" w:eastAsia="仿宋_GB2312" w:cs="仿宋_GB2312"/>
                <w:sz w:val="20"/>
                <w:szCs w:val="20"/>
                <w:highlight w:val="none"/>
              </w:rPr>
              <w:t>专项资</w:t>
            </w:r>
            <w:r>
              <w:rPr>
                <w:rFonts w:hint="eastAsia" w:ascii="仿宋_GB2312" w:hAnsi="仿宋_GB2312" w:eastAsia="仿宋_GB2312" w:cs="仿宋_GB2312"/>
                <w:sz w:val="20"/>
                <w:szCs w:val="20"/>
                <w:highlight w:val="none"/>
                <w:lang w:eastAsia="zh-CN"/>
              </w:rPr>
              <w:t>金</w:t>
            </w:r>
          </w:p>
        </w:tc>
        <w:tc>
          <w:tcPr>
            <w:tcW w:w="2038" w:type="dxa"/>
            <w:gridSpan w:val="2"/>
            <w:tcBorders>
              <w:top w:val="single" w:color="auto" w:sz="4" w:space="0"/>
              <w:left w:val="single" w:color="auto" w:sz="4" w:space="0"/>
              <w:bottom w:val="single" w:color="auto" w:sz="4" w:space="0"/>
              <w:right w:val="single" w:color="auto" w:sz="4" w:space="0"/>
            </w:tcBorders>
            <w:noWrap w:val="0"/>
            <w:vAlign w:val="center"/>
          </w:tcPr>
          <w:p w14:paraId="33D25045">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lang w:val="en-US" w:eastAsia="zh-CN"/>
              </w:rPr>
              <w:t>272.32</w:t>
            </w:r>
          </w:p>
        </w:tc>
        <w:tc>
          <w:tcPr>
            <w:tcW w:w="2240" w:type="dxa"/>
            <w:gridSpan w:val="2"/>
            <w:tcBorders>
              <w:top w:val="single" w:color="auto" w:sz="4" w:space="0"/>
              <w:left w:val="single" w:color="auto" w:sz="4" w:space="0"/>
              <w:bottom w:val="single" w:color="auto" w:sz="4" w:space="0"/>
              <w:right w:val="single" w:color="auto" w:sz="4" w:space="0"/>
            </w:tcBorders>
            <w:noWrap w:val="0"/>
            <w:vAlign w:val="center"/>
          </w:tcPr>
          <w:p w14:paraId="6885A514">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default"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lang w:val="en-US" w:eastAsia="zh-CN"/>
              </w:rPr>
              <w:t>390.30</w:t>
            </w:r>
          </w:p>
        </w:tc>
        <w:tc>
          <w:tcPr>
            <w:tcW w:w="2041" w:type="dxa"/>
            <w:gridSpan w:val="2"/>
            <w:tcBorders>
              <w:top w:val="single" w:color="auto" w:sz="4" w:space="0"/>
              <w:left w:val="single" w:color="auto" w:sz="4" w:space="0"/>
              <w:bottom w:val="single" w:color="auto" w:sz="4" w:space="0"/>
              <w:right w:val="single" w:color="auto" w:sz="4" w:space="0"/>
            </w:tcBorders>
            <w:noWrap w:val="0"/>
            <w:vAlign w:val="center"/>
          </w:tcPr>
          <w:p w14:paraId="77753625">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default"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lang w:val="en-US" w:eastAsia="zh-CN"/>
              </w:rPr>
              <w:t>358.41</w:t>
            </w:r>
          </w:p>
        </w:tc>
      </w:tr>
      <w:tr w14:paraId="50BA9543">
        <w:tblPrEx>
          <w:tblCellMar>
            <w:top w:w="0" w:type="dxa"/>
            <w:left w:w="108" w:type="dxa"/>
            <w:bottom w:w="0" w:type="dxa"/>
            <w:right w:w="108" w:type="dxa"/>
          </w:tblCellMar>
        </w:tblPrEx>
        <w:trPr>
          <w:trHeight w:val="0" w:hRule="atLeast"/>
          <w:jc w:val="center"/>
        </w:trPr>
        <w:tc>
          <w:tcPr>
            <w:tcW w:w="3354" w:type="dxa"/>
            <w:tcBorders>
              <w:top w:val="single" w:color="auto" w:sz="4" w:space="0"/>
              <w:left w:val="single" w:color="auto" w:sz="4" w:space="0"/>
              <w:bottom w:val="single" w:color="auto" w:sz="4" w:space="0"/>
              <w:right w:val="single" w:color="auto" w:sz="4" w:space="0"/>
            </w:tcBorders>
            <w:noWrap w:val="0"/>
            <w:vAlign w:val="center"/>
          </w:tcPr>
          <w:p w14:paraId="7706D588">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rPr>
              <w:t xml:space="preserve">   </w:t>
            </w:r>
            <w:r>
              <w:rPr>
                <w:rFonts w:hint="eastAsia" w:ascii="仿宋_GB2312" w:hAnsi="仿宋_GB2312" w:eastAsia="仿宋_GB2312" w:cs="仿宋_GB2312"/>
                <w:sz w:val="20"/>
                <w:szCs w:val="20"/>
                <w:lang w:eastAsia="zh-CN"/>
              </w:rPr>
              <w:t>（</w:t>
            </w:r>
            <w:r>
              <w:rPr>
                <w:rFonts w:hint="eastAsia" w:ascii="仿宋_GB2312" w:hAnsi="仿宋_GB2312" w:eastAsia="仿宋_GB2312" w:cs="仿宋_GB2312"/>
                <w:sz w:val="20"/>
                <w:szCs w:val="20"/>
                <w:lang w:val="en-US" w:eastAsia="zh-CN"/>
              </w:rPr>
              <w:t>1）</w:t>
            </w:r>
            <w:r>
              <w:rPr>
                <w:rFonts w:hint="eastAsia" w:ascii="仿宋_GB2312" w:hAnsi="仿宋_GB2312" w:eastAsia="仿宋_GB2312" w:cs="仿宋_GB2312"/>
                <w:sz w:val="20"/>
                <w:szCs w:val="20"/>
              </w:rPr>
              <w:t>城管事务管理经费</w:t>
            </w:r>
          </w:p>
        </w:tc>
        <w:tc>
          <w:tcPr>
            <w:tcW w:w="2038" w:type="dxa"/>
            <w:gridSpan w:val="2"/>
            <w:tcBorders>
              <w:top w:val="single" w:color="auto" w:sz="4" w:space="0"/>
              <w:left w:val="single" w:color="auto" w:sz="4" w:space="0"/>
              <w:bottom w:val="single" w:color="auto" w:sz="4" w:space="0"/>
              <w:right w:val="single" w:color="auto" w:sz="4" w:space="0"/>
            </w:tcBorders>
            <w:noWrap w:val="0"/>
            <w:vAlign w:val="center"/>
          </w:tcPr>
          <w:p w14:paraId="32F4C10F">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lang w:val="en-US" w:eastAsia="zh-CN"/>
              </w:rPr>
              <w:t>92.32</w:t>
            </w:r>
          </w:p>
        </w:tc>
        <w:tc>
          <w:tcPr>
            <w:tcW w:w="2240" w:type="dxa"/>
            <w:gridSpan w:val="2"/>
            <w:tcBorders>
              <w:top w:val="single" w:color="auto" w:sz="4" w:space="0"/>
              <w:left w:val="single" w:color="auto" w:sz="4" w:space="0"/>
              <w:bottom w:val="single" w:color="auto" w:sz="4" w:space="0"/>
              <w:right w:val="single" w:color="auto" w:sz="4" w:space="0"/>
            </w:tcBorders>
            <w:noWrap w:val="0"/>
            <w:vAlign w:val="center"/>
          </w:tcPr>
          <w:p w14:paraId="30480CAE">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default"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lang w:val="en-US" w:eastAsia="zh-CN"/>
              </w:rPr>
              <w:t>197.50</w:t>
            </w:r>
          </w:p>
        </w:tc>
        <w:tc>
          <w:tcPr>
            <w:tcW w:w="2041" w:type="dxa"/>
            <w:gridSpan w:val="2"/>
            <w:tcBorders>
              <w:top w:val="single" w:color="auto" w:sz="4" w:space="0"/>
              <w:left w:val="single" w:color="auto" w:sz="4" w:space="0"/>
              <w:bottom w:val="single" w:color="auto" w:sz="4" w:space="0"/>
              <w:right w:val="single" w:color="auto" w:sz="4" w:space="0"/>
            </w:tcBorders>
            <w:noWrap w:val="0"/>
            <w:vAlign w:val="center"/>
          </w:tcPr>
          <w:p w14:paraId="308BBBD9">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default"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lang w:val="en-US" w:eastAsia="zh-CN"/>
              </w:rPr>
              <w:t>170.82</w:t>
            </w:r>
          </w:p>
        </w:tc>
      </w:tr>
      <w:tr w14:paraId="78B0B9DC">
        <w:tblPrEx>
          <w:tblCellMar>
            <w:top w:w="0" w:type="dxa"/>
            <w:left w:w="108" w:type="dxa"/>
            <w:bottom w:w="0" w:type="dxa"/>
            <w:right w:w="108" w:type="dxa"/>
          </w:tblCellMar>
        </w:tblPrEx>
        <w:trPr>
          <w:trHeight w:val="0" w:hRule="atLeast"/>
          <w:jc w:val="center"/>
        </w:trPr>
        <w:tc>
          <w:tcPr>
            <w:tcW w:w="3354" w:type="dxa"/>
            <w:tcBorders>
              <w:top w:val="single" w:color="auto" w:sz="4" w:space="0"/>
              <w:left w:val="single" w:color="auto" w:sz="4" w:space="0"/>
              <w:bottom w:val="single" w:color="auto" w:sz="4" w:space="0"/>
              <w:right w:val="single" w:color="auto" w:sz="4" w:space="0"/>
            </w:tcBorders>
            <w:noWrap w:val="0"/>
            <w:vAlign w:val="center"/>
          </w:tcPr>
          <w:p w14:paraId="6A9644F7">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rPr>
              <w:t xml:space="preserve">   </w:t>
            </w:r>
            <w:r>
              <w:rPr>
                <w:rFonts w:hint="eastAsia" w:ascii="仿宋_GB2312" w:hAnsi="仿宋_GB2312" w:eastAsia="仿宋_GB2312" w:cs="仿宋_GB2312"/>
                <w:sz w:val="20"/>
                <w:szCs w:val="20"/>
                <w:lang w:eastAsia="zh-CN"/>
              </w:rPr>
              <w:t>（</w:t>
            </w:r>
            <w:r>
              <w:rPr>
                <w:rFonts w:hint="eastAsia" w:ascii="仿宋_GB2312" w:hAnsi="仿宋_GB2312" w:eastAsia="仿宋_GB2312" w:cs="仿宋_GB2312"/>
                <w:sz w:val="20"/>
                <w:szCs w:val="20"/>
                <w:lang w:val="en-US" w:eastAsia="zh-CN"/>
              </w:rPr>
              <w:t>2）</w:t>
            </w:r>
            <w:r>
              <w:rPr>
                <w:rFonts w:hint="default" w:ascii="仿宋_GB2312" w:hAnsi="仿宋_GB2312" w:eastAsia="仿宋_GB2312" w:cs="仿宋_GB2312"/>
                <w:sz w:val="20"/>
                <w:szCs w:val="20"/>
                <w:lang w:val="en-US" w:eastAsia="zh-CN"/>
              </w:rPr>
              <w:t>协管员经费</w:t>
            </w:r>
          </w:p>
        </w:tc>
        <w:tc>
          <w:tcPr>
            <w:tcW w:w="2038" w:type="dxa"/>
            <w:gridSpan w:val="2"/>
            <w:tcBorders>
              <w:top w:val="single" w:color="auto" w:sz="4" w:space="0"/>
              <w:left w:val="single" w:color="auto" w:sz="4" w:space="0"/>
              <w:bottom w:val="single" w:color="auto" w:sz="4" w:space="0"/>
              <w:right w:val="single" w:color="auto" w:sz="4" w:space="0"/>
            </w:tcBorders>
            <w:noWrap w:val="0"/>
            <w:vAlign w:val="center"/>
          </w:tcPr>
          <w:p w14:paraId="67EA1838">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lang w:val="en-US" w:eastAsia="zh-CN"/>
              </w:rPr>
              <w:t>180.00</w:t>
            </w:r>
          </w:p>
        </w:tc>
        <w:tc>
          <w:tcPr>
            <w:tcW w:w="2240" w:type="dxa"/>
            <w:gridSpan w:val="2"/>
            <w:tcBorders>
              <w:top w:val="single" w:color="auto" w:sz="4" w:space="0"/>
              <w:left w:val="single" w:color="auto" w:sz="4" w:space="0"/>
              <w:bottom w:val="single" w:color="auto" w:sz="4" w:space="0"/>
              <w:right w:val="single" w:color="auto" w:sz="4" w:space="0"/>
            </w:tcBorders>
            <w:noWrap w:val="0"/>
            <w:vAlign w:val="center"/>
          </w:tcPr>
          <w:p w14:paraId="17ABBD7D">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default"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lang w:val="en-US" w:eastAsia="zh-CN"/>
              </w:rPr>
              <w:t>180.00</w:t>
            </w:r>
          </w:p>
        </w:tc>
        <w:tc>
          <w:tcPr>
            <w:tcW w:w="2041" w:type="dxa"/>
            <w:gridSpan w:val="2"/>
            <w:tcBorders>
              <w:top w:val="single" w:color="auto" w:sz="4" w:space="0"/>
              <w:left w:val="single" w:color="auto" w:sz="4" w:space="0"/>
              <w:bottom w:val="single" w:color="auto" w:sz="4" w:space="0"/>
              <w:right w:val="single" w:color="auto" w:sz="4" w:space="0"/>
            </w:tcBorders>
            <w:noWrap w:val="0"/>
            <w:vAlign w:val="center"/>
          </w:tcPr>
          <w:p w14:paraId="375FBDC6">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default"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lang w:val="en-US" w:eastAsia="zh-CN"/>
              </w:rPr>
              <w:t>187.59</w:t>
            </w:r>
          </w:p>
        </w:tc>
      </w:tr>
      <w:tr w14:paraId="009B1522">
        <w:tblPrEx>
          <w:tblCellMar>
            <w:top w:w="0" w:type="dxa"/>
            <w:left w:w="108" w:type="dxa"/>
            <w:bottom w:w="0" w:type="dxa"/>
            <w:right w:w="108" w:type="dxa"/>
          </w:tblCellMar>
        </w:tblPrEx>
        <w:trPr>
          <w:trHeight w:val="0" w:hRule="atLeast"/>
          <w:jc w:val="center"/>
        </w:trPr>
        <w:tc>
          <w:tcPr>
            <w:tcW w:w="3354" w:type="dxa"/>
            <w:tcBorders>
              <w:top w:val="single" w:color="auto" w:sz="4" w:space="0"/>
              <w:left w:val="single" w:color="auto" w:sz="4" w:space="0"/>
              <w:bottom w:val="single" w:color="auto" w:sz="4" w:space="0"/>
              <w:right w:val="single" w:color="auto" w:sz="4" w:space="0"/>
            </w:tcBorders>
            <w:noWrap w:val="0"/>
            <w:vAlign w:val="center"/>
          </w:tcPr>
          <w:p w14:paraId="24F58603">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default"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lang w:val="en-US" w:eastAsia="zh-CN"/>
              </w:rPr>
              <w:t xml:space="preserve">   （3）办案费</w:t>
            </w:r>
          </w:p>
        </w:tc>
        <w:tc>
          <w:tcPr>
            <w:tcW w:w="2038" w:type="dxa"/>
            <w:gridSpan w:val="2"/>
            <w:tcBorders>
              <w:top w:val="single" w:color="auto" w:sz="4" w:space="0"/>
              <w:left w:val="single" w:color="auto" w:sz="4" w:space="0"/>
              <w:bottom w:val="single" w:color="auto" w:sz="4" w:space="0"/>
              <w:right w:val="single" w:color="auto" w:sz="4" w:space="0"/>
            </w:tcBorders>
            <w:noWrap w:val="0"/>
            <w:vAlign w:val="center"/>
          </w:tcPr>
          <w:p w14:paraId="2171567E">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default" w:ascii="仿宋_GB2312" w:hAnsi="仿宋_GB2312" w:eastAsia="仿宋_GB2312" w:cs="仿宋_GB2312"/>
                <w:color w:val="auto"/>
                <w:sz w:val="20"/>
                <w:szCs w:val="20"/>
                <w:lang w:val="en-US" w:eastAsia="zh-CN"/>
              </w:rPr>
            </w:pPr>
            <w:r>
              <w:rPr>
                <w:rFonts w:hint="eastAsia" w:ascii="仿宋_GB2312" w:hAnsi="仿宋_GB2312" w:eastAsia="仿宋_GB2312" w:cs="仿宋_GB2312"/>
                <w:sz w:val="20"/>
                <w:szCs w:val="20"/>
                <w:highlight w:val="none"/>
                <w:lang w:val="en-US" w:eastAsia="zh-CN"/>
              </w:rPr>
              <w:t>0</w:t>
            </w:r>
          </w:p>
        </w:tc>
        <w:tc>
          <w:tcPr>
            <w:tcW w:w="2240" w:type="dxa"/>
            <w:gridSpan w:val="2"/>
            <w:tcBorders>
              <w:top w:val="single" w:color="auto" w:sz="4" w:space="0"/>
              <w:left w:val="single" w:color="auto" w:sz="4" w:space="0"/>
              <w:bottom w:val="single" w:color="auto" w:sz="4" w:space="0"/>
              <w:right w:val="single" w:color="auto" w:sz="4" w:space="0"/>
            </w:tcBorders>
            <w:noWrap w:val="0"/>
            <w:vAlign w:val="center"/>
          </w:tcPr>
          <w:p w14:paraId="3170BB27">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default"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lang w:val="en-US" w:eastAsia="zh-CN"/>
              </w:rPr>
              <w:t>12.80</w:t>
            </w:r>
          </w:p>
        </w:tc>
        <w:tc>
          <w:tcPr>
            <w:tcW w:w="2041" w:type="dxa"/>
            <w:gridSpan w:val="2"/>
            <w:tcBorders>
              <w:top w:val="single" w:color="auto" w:sz="4" w:space="0"/>
              <w:left w:val="single" w:color="auto" w:sz="4" w:space="0"/>
              <w:bottom w:val="single" w:color="auto" w:sz="4" w:space="0"/>
              <w:right w:val="single" w:color="auto" w:sz="4" w:space="0"/>
            </w:tcBorders>
            <w:noWrap w:val="0"/>
            <w:vAlign w:val="center"/>
          </w:tcPr>
          <w:p w14:paraId="0E182C68">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default"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lang w:val="en-US" w:eastAsia="zh-CN"/>
              </w:rPr>
              <w:t>0</w:t>
            </w:r>
          </w:p>
        </w:tc>
      </w:tr>
      <w:tr w14:paraId="58A58AE5">
        <w:tblPrEx>
          <w:tblCellMar>
            <w:top w:w="0" w:type="dxa"/>
            <w:left w:w="108" w:type="dxa"/>
            <w:bottom w:w="0" w:type="dxa"/>
            <w:right w:w="108" w:type="dxa"/>
          </w:tblCellMar>
        </w:tblPrEx>
        <w:trPr>
          <w:trHeight w:val="0" w:hRule="atLeast"/>
          <w:jc w:val="center"/>
        </w:trPr>
        <w:tc>
          <w:tcPr>
            <w:tcW w:w="3354" w:type="dxa"/>
            <w:tcBorders>
              <w:top w:val="single" w:color="auto" w:sz="4" w:space="0"/>
              <w:left w:val="single" w:color="auto" w:sz="4" w:space="0"/>
              <w:bottom w:val="single" w:color="auto" w:sz="4" w:space="0"/>
              <w:right w:val="single" w:color="auto" w:sz="4" w:space="0"/>
            </w:tcBorders>
            <w:noWrap w:val="0"/>
            <w:vAlign w:val="center"/>
          </w:tcPr>
          <w:p w14:paraId="26335994">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公用经费</w:t>
            </w:r>
          </w:p>
        </w:tc>
        <w:tc>
          <w:tcPr>
            <w:tcW w:w="2038" w:type="dxa"/>
            <w:gridSpan w:val="2"/>
            <w:tcBorders>
              <w:top w:val="single" w:color="auto" w:sz="4" w:space="0"/>
              <w:left w:val="single" w:color="auto" w:sz="4" w:space="0"/>
              <w:bottom w:val="single" w:color="auto" w:sz="4" w:space="0"/>
              <w:right w:val="single" w:color="auto" w:sz="4" w:space="0"/>
            </w:tcBorders>
            <w:noWrap w:val="0"/>
            <w:vAlign w:val="center"/>
          </w:tcPr>
          <w:p w14:paraId="577CAE93">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lang w:val="en-US" w:eastAsia="zh-CN"/>
              </w:rPr>
              <w:t>216.70</w:t>
            </w:r>
          </w:p>
        </w:tc>
        <w:tc>
          <w:tcPr>
            <w:tcW w:w="2240" w:type="dxa"/>
            <w:gridSpan w:val="2"/>
            <w:tcBorders>
              <w:top w:val="single" w:color="auto" w:sz="4" w:space="0"/>
              <w:left w:val="single" w:color="auto" w:sz="4" w:space="0"/>
              <w:bottom w:val="single" w:color="auto" w:sz="4" w:space="0"/>
              <w:right w:val="single" w:color="auto" w:sz="4" w:space="0"/>
            </w:tcBorders>
            <w:noWrap w:val="0"/>
            <w:vAlign w:val="center"/>
          </w:tcPr>
          <w:p w14:paraId="39A40995">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default"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lang w:val="en-US" w:eastAsia="zh-CN"/>
              </w:rPr>
              <w:t>1130.10</w:t>
            </w:r>
          </w:p>
        </w:tc>
        <w:tc>
          <w:tcPr>
            <w:tcW w:w="2041" w:type="dxa"/>
            <w:gridSpan w:val="2"/>
            <w:tcBorders>
              <w:top w:val="single" w:color="auto" w:sz="4" w:space="0"/>
              <w:left w:val="single" w:color="auto" w:sz="4" w:space="0"/>
              <w:bottom w:val="single" w:color="auto" w:sz="4" w:space="0"/>
              <w:right w:val="single" w:color="auto" w:sz="4" w:space="0"/>
            </w:tcBorders>
            <w:noWrap w:val="0"/>
            <w:vAlign w:val="center"/>
          </w:tcPr>
          <w:p w14:paraId="5FA0F4FF">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default"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lang w:val="en-US" w:eastAsia="zh-CN"/>
              </w:rPr>
              <w:t>546.42</w:t>
            </w:r>
          </w:p>
        </w:tc>
      </w:tr>
      <w:tr w14:paraId="479869E0">
        <w:tblPrEx>
          <w:tblCellMar>
            <w:top w:w="0" w:type="dxa"/>
            <w:left w:w="108" w:type="dxa"/>
            <w:bottom w:w="0" w:type="dxa"/>
            <w:right w:w="108" w:type="dxa"/>
          </w:tblCellMar>
        </w:tblPrEx>
        <w:trPr>
          <w:trHeight w:val="0" w:hRule="atLeast"/>
          <w:jc w:val="center"/>
        </w:trPr>
        <w:tc>
          <w:tcPr>
            <w:tcW w:w="3354" w:type="dxa"/>
            <w:tcBorders>
              <w:top w:val="single" w:color="auto" w:sz="4" w:space="0"/>
              <w:left w:val="single" w:color="auto" w:sz="4" w:space="0"/>
              <w:bottom w:val="single" w:color="auto" w:sz="4" w:space="0"/>
              <w:right w:val="single" w:color="auto" w:sz="4" w:space="0"/>
            </w:tcBorders>
            <w:noWrap w:val="0"/>
            <w:vAlign w:val="center"/>
          </w:tcPr>
          <w:p w14:paraId="276CF2D0">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 xml:space="preserve">    其中：办公经费</w:t>
            </w:r>
          </w:p>
        </w:tc>
        <w:tc>
          <w:tcPr>
            <w:tcW w:w="2038" w:type="dxa"/>
            <w:gridSpan w:val="2"/>
            <w:tcBorders>
              <w:top w:val="single" w:color="auto" w:sz="4" w:space="0"/>
              <w:left w:val="single" w:color="auto" w:sz="4" w:space="0"/>
              <w:bottom w:val="single" w:color="auto" w:sz="4" w:space="0"/>
              <w:right w:val="single" w:color="auto" w:sz="4" w:space="0"/>
            </w:tcBorders>
            <w:noWrap w:val="0"/>
            <w:vAlign w:val="center"/>
          </w:tcPr>
          <w:p w14:paraId="35725958">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color w:val="FF0000"/>
                <w:sz w:val="20"/>
                <w:szCs w:val="20"/>
                <w:highlight w:val="none"/>
              </w:rPr>
            </w:pPr>
            <w:r>
              <w:rPr>
                <w:rFonts w:hint="eastAsia" w:ascii="仿宋_GB2312" w:hAnsi="仿宋_GB2312" w:eastAsia="仿宋_GB2312" w:cs="仿宋_GB2312"/>
                <w:color w:val="auto"/>
                <w:sz w:val="20"/>
                <w:szCs w:val="20"/>
                <w:highlight w:val="none"/>
                <w:lang w:val="en-US" w:eastAsia="zh-CN"/>
              </w:rPr>
              <w:t>22.29</w:t>
            </w:r>
          </w:p>
        </w:tc>
        <w:tc>
          <w:tcPr>
            <w:tcW w:w="2240" w:type="dxa"/>
            <w:gridSpan w:val="2"/>
            <w:tcBorders>
              <w:top w:val="single" w:color="auto" w:sz="4" w:space="0"/>
              <w:left w:val="single" w:color="auto" w:sz="4" w:space="0"/>
              <w:bottom w:val="single" w:color="auto" w:sz="4" w:space="0"/>
              <w:right w:val="single" w:color="auto" w:sz="4" w:space="0"/>
            </w:tcBorders>
            <w:noWrap w:val="0"/>
            <w:vAlign w:val="center"/>
          </w:tcPr>
          <w:p w14:paraId="672B9D11">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default" w:ascii="仿宋_GB2312" w:hAnsi="仿宋_GB2312" w:eastAsia="仿宋_GB2312" w:cs="仿宋_GB2312"/>
                <w:color w:val="auto"/>
                <w:sz w:val="20"/>
                <w:szCs w:val="20"/>
                <w:highlight w:val="none"/>
                <w:lang w:val="en-US" w:eastAsia="zh-CN"/>
              </w:rPr>
            </w:pPr>
            <w:r>
              <w:rPr>
                <w:rFonts w:hint="eastAsia" w:ascii="仿宋_GB2312" w:hAnsi="仿宋_GB2312" w:eastAsia="仿宋_GB2312" w:cs="仿宋_GB2312"/>
                <w:color w:val="auto"/>
                <w:sz w:val="20"/>
                <w:szCs w:val="20"/>
                <w:highlight w:val="none"/>
                <w:lang w:val="en-US" w:eastAsia="zh-CN"/>
              </w:rPr>
              <w:t>166.40</w:t>
            </w:r>
          </w:p>
        </w:tc>
        <w:tc>
          <w:tcPr>
            <w:tcW w:w="2041" w:type="dxa"/>
            <w:gridSpan w:val="2"/>
            <w:tcBorders>
              <w:top w:val="single" w:color="auto" w:sz="4" w:space="0"/>
              <w:left w:val="single" w:color="auto" w:sz="4" w:space="0"/>
              <w:bottom w:val="single" w:color="auto" w:sz="4" w:space="0"/>
              <w:right w:val="single" w:color="auto" w:sz="4" w:space="0"/>
            </w:tcBorders>
            <w:noWrap w:val="0"/>
            <w:vAlign w:val="center"/>
          </w:tcPr>
          <w:p w14:paraId="76940505">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default" w:ascii="仿宋_GB2312" w:hAnsi="仿宋_GB2312" w:eastAsia="仿宋_GB2312" w:cs="仿宋_GB2312"/>
                <w:color w:val="auto"/>
                <w:sz w:val="20"/>
                <w:szCs w:val="20"/>
                <w:highlight w:val="none"/>
                <w:lang w:val="en-US" w:eastAsia="zh-CN"/>
              </w:rPr>
            </w:pPr>
            <w:r>
              <w:rPr>
                <w:rFonts w:hint="eastAsia" w:ascii="仿宋_GB2312" w:hAnsi="仿宋_GB2312" w:eastAsia="仿宋_GB2312" w:cs="仿宋_GB2312"/>
                <w:color w:val="auto"/>
                <w:sz w:val="20"/>
                <w:szCs w:val="20"/>
                <w:highlight w:val="none"/>
                <w:lang w:val="en-US" w:eastAsia="zh-CN"/>
              </w:rPr>
              <w:t>24.89</w:t>
            </w:r>
          </w:p>
        </w:tc>
      </w:tr>
      <w:tr w14:paraId="1B188825">
        <w:tblPrEx>
          <w:tblCellMar>
            <w:top w:w="0" w:type="dxa"/>
            <w:left w:w="108" w:type="dxa"/>
            <w:bottom w:w="0" w:type="dxa"/>
            <w:right w:w="108" w:type="dxa"/>
          </w:tblCellMar>
        </w:tblPrEx>
        <w:trPr>
          <w:trHeight w:val="0" w:hRule="atLeast"/>
          <w:jc w:val="center"/>
        </w:trPr>
        <w:tc>
          <w:tcPr>
            <w:tcW w:w="3354" w:type="dxa"/>
            <w:tcBorders>
              <w:top w:val="single" w:color="auto" w:sz="4" w:space="0"/>
              <w:left w:val="single" w:color="auto" w:sz="4" w:space="0"/>
              <w:bottom w:val="single" w:color="auto" w:sz="4" w:space="0"/>
              <w:right w:val="single" w:color="auto" w:sz="4" w:space="0"/>
            </w:tcBorders>
            <w:noWrap w:val="0"/>
            <w:vAlign w:val="center"/>
          </w:tcPr>
          <w:p w14:paraId="69C6C710">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 xml:space="preserve">          水费、电费、差旅费</w:t>
            </w:r>
          </w:p>
        </w:tc>
        <w:tc>
          <w:tcPr>
            <w:tcW w:w="2038" w:type="dxa"/>
            <w:gridSpan w:val="2"/>
            <w:tcBorders>
              <w:top w:val="single" w:color="auto" w:sz="4" w:space="0"/>
              <w:left w:val="single" w:color="auto" w:sz="4" w:space="0"/>
              <w:bottom w:val="single" w:color="auto" w:sz="4" w:space="0"/>
              <w:right w:val="single" w:color="auto" w:sz="4" w:space="0"/>
            </w:tcBorders>
            <w:noWrap w:val="0"/>
            <w:vAlign w:val="center"/>
          </w:tcPr>
          <w:p w14:paraId="3601C8DD">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color w:val="FF0000"/>
                <w:sz w:val="20"/>
                <w:szCs w:val="20"/>
                <w:highlight w:val="none"/>
              </w:rPr>
            </w:pPr>
            <w:r>
              <w:rPr>
                <w:rFonts w:hint="eastAsia" w:ascii="仿宋_GB2312" w:hAnsi="仿宋_GB2312" w:eastAsia="仿宋_GB2312" w:cs="仿宋_GB2312"/>
                <w:color w:val="auto"/>
                <w:sz w:val="20"/>
                <w:szCs w:val="20"/>
                <w:highlight w:val="none"/>
                <w:lang w:val="en-US" w:eastAsia="zh-CN"/>
              </w:rPr>
              <w:t>14.01</w:t>
            </w:r>
          </w:p>
        </w:tc>
        <w:tc>
          <w:tcPr>
            <w:tcW w:w="2240" w:type="dxa"/>
            <w:gridSpan w:val="2"/>
            <w:tcBorders>
              <w:top w:val="single" w:color="auto" w:sz="4" w:space="0"/>
              <w:left w:val="single" w:color="auto" w:sz="4" w:space="0"/>
              <w:bottom w:val="single" w:color="auto" w:sz="4" w:space="0"/>
              <w:right w:val="single" w:color="auto" w:sz="4" w:space="0"/>
            </w:tcBorders>
            <w:noWrap w:val="0"/>
            <w:vAlign w:val="center"/>
          </w:tcPr>
          <w:p w14:paraId="59EEEE38">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default" w:ascii="仿宋_GB2312" w:hAnsi="仿宋_GB2312" w:eastAsia="仿宋_GB2312" w:cs="仿宋_GB2312"/>
                <w:color w:val="auto"/>
                <w:sz w:val="20"/>
                <w:szCs w:val="20"/>
                <w:highlight w:val="none"/>
                <w:lang w:val="en-US" w:eastAsia="zh-CN"/>
              </w:rPr>
            </w:pPr>
            <w:r>
              <w:rPr>
                <w:rFonts w:hint="eastAsia" w:ascii="仿宋_GB2312" w:hAnsi="仿宋_GB2312" w:eastAsia="仿宋_GB2312" w:cs="仿宋_GB2312"/>
                <w:color w:val="auto"/>
                <w:sz w:val="20"/>
                <w:szCs w:val="20"/>
                <w:highlight w:val="none"/>
                <w:lang w:val="en-US" w:eastAsia="zh-CN"/>
              </w:rPr>
              <w:t>38.05</w:t>
            </w:r>
          </w:p>
        </w:tc>
        <w:tc>
          <w:tcPr>
            <w:tcW w:w="2041" w:type="dxa"/>
            <w:gridSpan w:val="2"/>
            <w:tcBorders>
              <w:top w:val="single" w:color="auto" w:sz="4" w:space="0"/>
              <w:left w:val="single" w:color="auto" w:sz="4" w:space="0"/>
              <w:bottom w:val="single" w:color="auto" w:sz="4" w:space="0"/>
              <w:right w:val="single" w:color="auto" w:sz="4" w:space="0"/>
            </w:tcBorders>
            <w:noWrap w:val="0"/>
            <w:vAlign w:val="center"/>
          </w:tcPr>
          <w:p w14:paraId="40039F19">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default" w:ascii="仿宋_GB2312" w:hAnsi="仿宋_GB2312" w:eastAsia="仿宋_GB2312" w:cs="仿宋_GB2312"/>
                <w:color w:val="auto"/>
                <w:sz w:val="20"/>
                <w:szCs w:val="20"/>
                <w:highlight w:val="none"/>
                <w:lang w:val="en-US" w:eastAsia="zh-CN"/>
              </w:rPr>
            </w:pPr>
            <w:r>
              <w:rPr>
                <w:rFonts w:hint="eastAsia" w:ascii="仿宋_GB2312" w:hAnsi="仿宋_GB2312" w:eastAsia="仿宋_GB2312" w:cs="仿宋_GB2312"/>
                <w:color w:val="auto"/>
                <w:sz w:val="20"/>
                <w:szCs w:val="20"/>
                <w:highlight w:val="none"/>
                <w:lang w:val="en-US" w:eastAsia="zh-CN"/>
              </w:rPr>
              <w:t>13.11</w:t>
            </w:r>
          </w:p>
        </w:tc>
      </w:tr>
      <w:tr w14:paraId="44B92760">
        <w:tblPrEx>
          <w:tblCellMar>
            <w:top w:w="0" w:type="dxa"/>
            <w:left w:w="108" w:type="dxa"/>
            <w:bottom w:w="0" w:type="dxa"/>
            <w:right w:w="108" w:type="dxa"/>
          </w:tblCellMar>
        </w:tblPrEx>
        <w:trPr>
          <w:trHeight w:val="0" w:hRule="atLeast"/>
          <w:jc w:val="center"/>
        </w:trPr>
        <w:tc>
          <w:tcPr>
            <w:tcW w:w="3354" w:type="dxa"/>
            <w:tcBorders>
              <w:top w:val="single" w:color="auto" w:sz="4" w:space="0"/>
              <w:left w:val="single" w:color="auto" w:sz="4" w:space="0"/>
              <w:bottom w:val="single" w:color="auto" w:sz="4" w:space="0"/>
              <w:right w:val="single" w:color="auto" w:sz="4" w:space="0"/>
            </w:tcBorders>
            <w:noWrap w:val="0"/>
            <w:vAlign w:val="center"/>
          </w:tcPr>
          <w:p w14:paraId="488960D0">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 xml:space="preserve">          会议费、培训费</w:t>
            </w:r>
          </w:p>
        </w:tc>
        <w:tc>
          <w:tcPr>
            <w:tcW w:w="2038" w:type="dxa"/>
            <w:gridSpan w:val="2"/>
            <w:tcBorders>
              <w:top w:val="single" w:color="auto" w:sz="4" w:space="0"/>
              <w:left w:val="single" w:color="auto" w:sz="4" w:space="0"/>
              <w:bottom w:val="single" w:color="auto" w:sz="4" w:space="0"/>
              <w:right w:val="single" w:color="auto" w:sz="4" w:space="0"/>
            </w:tcBorders>
            <w:noWrap w:val="0"/>
            <w:vAlign w:val="center"/>
          </w:tcPr>
          <w:p w14:paraId="49BB74D2">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color w:val="FF0000"/>
                <w:sz w:val="20"/>
                <w:szCs w:val="20"/>
                <w:highlight w:val="none"/>
              </w:rPr>
            </w:pPr>
            <w:r>
              <w:rPr>
                <w:rFonts w:hint="eastAsia" w:ascii="仿宋_GB2312" w:hAnsi="仿宋_GB2312" w:eastAsia="仿宋_GB2312" w:cs="仿宋_GB2312"/>
                <w:color w:val="auto"/>
                <w:sz w:val="20"/>
                <w:szCs w:val="20"/>
                <w:highlight w:val="none"/>
                <w:lang w:val="en-US" w:eastAsia="zh-CN"/>
              </w:rPr>
              <w:t>2.51</w:t>
            </w:r>
          </w:p>
        </w:tc>
        <w:tc>
          <w:tcPr>
            <w:tcW w:w="2240" w:type="dxa"/>
            <w:gridSpan w:val="2"/>
            <w:tcBorders>
              <w:top w:val="single" w:color="auto" w:sz="4" w:space="0"/>
              <w:left w:val="single" w:color="auto" w:sz="4" w:space="0"/>
              <w:bottom w:val="single" w:color="auto" w:sz="4" w:space="0"/>
              <w:right w:val="single" w:color="auto" w:sz="4" w:space="0"/>
            </w:tcBorders>
            <w:noWrap w:val="0"/>
            <w:vAlign w:val="center"/>
          </w:tcPr>
          <w:p w14:paraId="76040F4F">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default" w:ascii="仿宋_GB2312" w:hAnsi="仿宋_GB2312" w:eastAsia="仿宋_GB2312" w:cs="仿宋_GB2312"/>
                <w:color w:val="auto"/>
                <w:sz w:val="20"/>
                <w:szCs w:val="20"/>
                <w:highlight w:val="none"/>
                <w:lang w:val="en-US" w:eastAsia="zh-CN"/>
              </w:rPr>
            </w:pPr>
            <w:r>
              <w:rPr>
                <w:rFonts w:hint="eastAsia" w:ascii="仿宋_GB2312" w:hAnsi="仿宋_GB2312" w:eastAsia="仿宋_GB2312" w:cs="仿宋_GB2312"/>
                <w:color w:val="auto"/>
                <w:sz w:val="20"/>
                <w:szCs w:val="20"/>
                <w:highlight w:val="none"/>
                <w:lang w:val="en-US" w:eastAsia="zh-CN"/>
              </w:rPr>
              <w:t>11.7</w:t>
            </w:r>
          </w:p>
        </w:tc>
        <w:tc>
          <w:tcPr>
            <w:tcW w:w="2041" w:type="dxa"/>
            <w:gridSpan w:val="2"/>
            <w:tcBorders>
              <w:top w:val="single" w:color="auto" w:sz="4" w:space="0"/>
              <w:left w:val="single" w:color="auto" w:sz="4" w:space="0"/>
              <w:bottom w:val="single" w:color="auto" w:sz="4" w:space="0"/>
              <w:right w:val="single" w:color="auto" w:sz="4" w:space="0"/>
            </w:tcBorders>
            <w:noWrap w:val="0"/>
            <w:vAlign w:val="center"/>
          </w:tcPr>
          <w:p w14:paraId="4AF8F04B">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default" w:ascii="仿宋_GB2312" w:hAnsi="仿宋_GB2312" w:eastAsia="仿宋_GB2312" w:cs="仿宋_GB2312"/>
                <w:color w:val="auto"/>
                <w:sz w:val="20"/>
                <w:szCs w:val="20"/>
                <w:highlight w:val="none"/>
                <w:lang w:val="en-US" w:eastAsia="zh-CN"/>
              </w:rPr>
            </w:pPr>
            <w:r>
              <w:rPr>
                <w:rFonts w:hint="eastAsia" w:ascii="仿宋_GB2312" w:hAnsi="仿宋_GB2312" w:eastAsia="仿宋_GB2312" w:cs="仿宋_GB2312"/>
                <w:color w:val="auto"/>
                <w:sz w:val="20"/>
                <w:szCs w:val="20"/>
                <w:highlight w:val="none"/>
                <w:lang w:val="en-US" w:eastAsia="zh-CN"/>
              </w:rPr>
              <w:t>17.55</w:t>
            </w:r>
          </w:p>
        </w:tc>
      </w:tr>
      <w:tr w14:paraId="071BA727">
        <w:tblPrEx>
          <w:tblCellMar>
            <w:top w:w="0" w:type="dxa"/>
            <w:left w:w="108" w:type="dxa"/>
            <w:bottom w:w="0" w:type="dxa"/>
            <w:right w:w="108" w:type="dxa"/>
          </w:tblCellMar>
        </w:tblPrEx>
        <w:trPr>
          <w:trHeight w:val="0" w:hRule="atLeast"/>
          <w:jc w:val="center"/>
        </w:trPr>
        <w:tc>
          <w:tcPr>
            <w:tcW w:w="3354" w:type="dxa"/>
            <w:tcBorders>
              <w:top w:val="single" w:color="auto" w:sz="4" w:space="0"/>
              <w:left w:val="single" w:color="auto" w:sz="4" w:space="0"/>
              <w:bottom w:val="single" w:color="auto" w:sz="4" w:space="0"/>
              <w:right w:val="single" w:color="auto" w:sz="4" w:space="0"/>
            </w:tcBorders>
            <w:noWrap w:val="0"/>
            <w:vAlign w:val="center"/>
          </w:tcPr>
          <w:p w14:paraId="61F360C0">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政府采购金额</w:t>
            </w:r>
          </w:p>
        </w:tc>
        <w:tc>
          <w:tcPr>
            <w:tcW w:w="2038" w:type="dxa"/>
            <w:gridSpan w:val="2"/>
            <w:tcBorders>
              <w:top w:val="single" w:color="auto" w:sz="4" w:space="0"/>
              <w:left w:val="single" w:color="auto" w:sz="4" w:space="0"/>
              <w:bottom w:val="single" w:color="auto" w:sz="4" w:space="0"/>
              <w:right w:val="single" w:color="auto" w:sz="4" w:space="0"/>
            </w:tcBorders>
            <w:noWrap w:val="0"/>
            <w:vAlign w:val="center"/>
          </w:tcPr>
          <w:p w14:paraId="2C8EFA39">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lang w:val="en-US" w:eastAsia="zh-CN"/>
              </w:rPr>
              <w:t>415.00</w:t>
            </w:r>
          </w:p>
        </w:tc>
        <w:tc>
          <w:tcPr>
            <w:tcW w:w="2240" w:type="dxa"/>
            <w:gridSpan w:val="2"/>
            <w:tcBorders>
              <w:top w:val="single" w:color="auto" w:sz="4" w:space="0"/>
              <w:left w:val="single" w:color="auto" w:sz="4" w:space="0"/>
              <w:bottom w:val="single" w:color="auto" w:sz="4" w:space="0"/>
              <w:right w:val="single" w:color="auto" w:sz="4" w:space="0"/>
            </w:tcBorders>
            <w:noWrap w:val="0"/>
            <w:vAlign w:val="center"/>
          </w:tcPr>
          <w:p w14:paraId="1E3DF718">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default"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lang w:val="en-US" w:eastAsia="zh-CN"/>
              </w:rPr>
              <w:t>937.43</w:t>
            </w:r>
          </w:p>
        </w:tc>
        <w:tc>
          <w:tcPr>
            <w:tcW w:w="2041" w:type="dxa"/>
            <w:gridSpan w:val="2"/>
            <w:tcBorders>
              <w:top w:val="single" w:color="auto" w:sz="4" w:space="0"/>
              <w:left w:val="single" w:color="auto" w:sz="4" w:space="0"/>
              <w:bottom w:val="single" w:color="auto" w:sz="4" w:space="0"/>
              <w:right w:val="single" w:color="auto" w:sz="4" w:space="0"/>
            </w:tcBorders>
            <w:noWrap w:val="0"/>
            <w:vAlign w:val="center"/>
          </w:tcPr>
          <w:p w14:paraId="1AA58B5F">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default"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lang w:val="en-US" w:eastAsia="zh-CN"/>
              </w:rPr>
              <w:t>359.01</w:t>
            </w:r>
          </w:p>
        </w:tc>
      </w:tr>
      <w:tr w14:paraId="51BB352E">
        <w:tblPrEx>
          <w:tblCellMar>
            <w:top w:w="0" w:type="dxa"/>
            <w:left w:w="108" w:type="dxa"/>
            <w:bottom w:w="0" w:type="dxa"/>
            <w:right w:w="108" w:type="dxa"/>
          </w:tblCellMar>
        </w:tblPrEx>
        <w:trPr>
          <w:trHeight w:val="0" w:hRule="atLeast"/>
          <w:jc w:val="center"/>
        </w:trPr>
        <w:tc>
          <w:tcPr>
            <w:tcW w:w="3354" w:type="dxa"/>
            <w:tcBorders>
              <w:top w:val="single" w:color="auto" w:sz="4" w:space="0"/>
              <w:left w:val="single" w:color="auto" w:sz="4" w:space="0"/>
              <w:bottom w:val="single" w:color="auto" w:sz="4" w:space="0"/>
              <w:right w:val="single" w:color="auto" w:sz="4" w:space="0"/>
            </w:tcBorders>
            <w:noWrap w:val="0"/>
            <w:vAlign w:val="center"/>
          </w:tcPr>
          <w:p w14:paraId="43AB877A">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 xml:space="preserve">部门基本支出预算调整 </w:t>
            </w:r>
          </w:p>
        </w:tc>
        <w:tc>
          <w:tcPr>
            <w:tcW w:w="2038" w:type="dxa"/>
            <w:gridSpan w:val="2"/>
            <w:tcBorders>
              <w:top w:val="single" w:color="auto" w:sz="4" w:space="0"/>
              <w:left w:val="single" w:color="auto" w:sz="4" w:space="0"/>
              <w:bottom w:val="single" w:color="auto" w:sz="4" w:space="0"/>
              <w:right w:val="single" w:color="auto" w:sz="4" w:space="0"/>
            </w:tcBorders>
            <w:noWrap w:val="0"/>
            <w:vAlign w:val="center"/>
          </w:tcPr>
          <w:p w14:paraId="433DDC41">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lang w:val="en-US" w:eastAsia="zh-CN"/>
              </w:rPr>
              <w:t>1674.32</w:t>
            </w:r>
          </w:p>
        </w:tc>
        <w:tc>
          <w:tcPr>
            <w:tcW w:w="2240" w:type="dxa"/>
            <w:gridSpan w:val="2"/>
            <w:tcBorders>
              <w:top w:val="single" w:color="auto" w:sz="4" w:space="0"/>
              <w:left w:val="single" w:color="auto" w:sz="4" w:space="0"/>
              <w:bottom w:val="single" w:color="auto" w:sz="4" w:space="0"/>
              <w:right w:val="single" w:color="auto" w:sz="4" w:space="0"/>
            </w:tcBorders>
            <w:noWrap w:val="0"/>
            <w:vAlign w:val="center"/>
          </w:tcPr>
          <w:p w14:paraId="6ADEC741">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default"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lang w:val="en-US" w:eastAsia="zh-CN"/>
              </w:rPr>
              <w:t>7945.27</w:t>
            </w:r>
          </w:p>
        </w:tc>
        <w:tc>
          <w:tcPr>
            <w:tcW w:w="2041" w:type="dxa"/>
            <w:gridSpan w:val="2"/>
            <w:tcBorders>
              <w:top w:val="single" w:color="auto" w:sz="4" w:space="0"/>
              <w:left w:val="single" w:color="auto" w:sz="4" w:space="0"/>
              <w:bottom w:val="single" w:color="auto" w:sz="4" w:space="0"/>
              <w:right w:val="single" w:color="auto" w:sz="4" w:space="0"/>
            </w:tcBorders>
            <w:noWrap w:val="0"/>
            <w:vAlign w:val="center"/>
          </w:tcPr>
          <w:p w14:paraId="4B091BFE">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default"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lang w:val="en-US" w:eastAsia="zh-CN"/>
              </w:rPr>
              <w:t>7574.22</w:t>
            </w:r>
          </w:p>
        </w:tc>
      </w:tr>
      <w:tr w14:paraId="498BEDDD">
        <w:tblPrEx>
          <w:tblCellMar>
            <w:top w:w="0" w:type="dxa"/>
            <w:left w:w="108" w:type="dxa"/>
            <w:bottom w:w="0" w:type="dxa"/>
            <w:right w:w="108" w:type="dxa"/>
          </w:tblCellMar>
        </w:tblPrEx>
        <w:trPr>
          <w:trHeight w:val="0" w:hRule="atLeast"/>
          <w:jc w:val="center"/>
        </w:trPr>
        <w:tc>
          <w:tcPr>
            <w:tcW w:w="3354" w:type="dxa"/>
            <w:vMerge w:val="restart"/>
            <w:tcBorders>
              <w:top w:val="single" w:color="auto" w:sz="4" w:space="0"/>
              <w:left w:val="single" w:color="auto" w:sz="4" w:space="0"/>
              <w:bottom w:val="single" w:color="auto" w:sz="4" w:space="0"/>
              <w:right w:val="single" w:color="auto" w:sz="4" w:space="0"/>
            </w:tcBorders>
            <w:noWrap w:val="0"/>
            <w:vAlign w:val="center"/>
          </w:tcPr>
          <w:p w14:paraId="3F4D418A">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楼堂馆所控制情况</w:t>
            </w:r>
            <w:r>
              <w:rPr>
                <w:rFonts w:hint="eastAsia" w:ascii="仿宋_GB2312" w:hAnsi="仿宋_GB2312" w:eastAsia="仿宋_GB2312" w:cs="仿宋_GB2312"/>
                <w:sz w:val="20"/>
                <w:szCs w:val="20"/>
                <w:highlight w:val="none"/>
              </w:rPr>
              <w:br w:type="textWrapping"/>
            </w:r>
            <w:r>
              <w:rPr>
                <w:rFonts w:hint="eastAsia" w:ascii="仿宋_GB2312" w:hAnsi="仿宋_GB2312" w:eastAsia="仿宋_GB2312" w:cs="仿宋_GB2312"/>
                <w:sz w:val="20"/>
                <w:szCs w:val="20"/>
                <w:highlight w:val="none"/>
              </w:rPr>
              <w:t>（202</w:t>
            </w:r>
            <w:r>
              <w:rPr>
                <w:rFonts w:hint="eastAsia" w:ascii="仿宋_GB2312" w:hAnsi="仿宋_GB2312" w:eastAsia="仿宋_GB2312" w:cs="仿宋_GB2312"/>
                <w:sz w:val="20"/>
                <w:szCs w:val="20"/>
                <w:highlight w:val="none"/>
                <w:lang w:val="en-US" w:eastAsia="zh-CN"/>
              </w:rPr>
              <w:t>5</w:t>
            </w:r>
            <w:r>
              <w:rPr>
                <w:rFonts w:hint="eastAsia" w:ascii="仿宋_GB2312" w:hAnsi="仿宋_GB2312" w:eastAsia="仿宋_GB2312" w:cs="仿宋_GB2312"/>
                <w:sz w:val="20"/>
                <w:szCs w:val="20"/>
                <w:highlight w:val="none"/>
              </w:rPr>
              <w:t>年完工项目）</w:t>
            </w:r>
          </w:p>
        </w:tc>
        <w:tc>
          <w:tcPr>
            <w:tcW w:w="1189" w:type="dxa"/>
            <w:tcBorders>
              <w:top w:val="single" w:color="auto" w:sz="4" w:space="0"/>
              <w:left w:val="single" w:color="auto" w:sz="4" w:space="0"/>
              <w:bottom w:val="single" w:color="auto" w:sz="4" w:space="0"/>
              <w:right w:val="single" w:color="auto" w:sz="4" w:space="0"/>
            </w:tcBorders>
            <w:noWrap w:val="0"/>
            <w:vAlign w:val="center"/>
          </w:tcPr>
          <w:p w14:paraId="02174FBC">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bCs/>
                <w:sz w:val="20"/>
                <w:szCs w:val="20"/>
                <w:highlight w:val="none"/>
              </w:rPr>
            </w:pPr>
            <w:r>
              <w:rPr>
                <w:rFonts w:hint="eastAsia" w:ascii="仿宋_GB2312" w:hAnsi="仿宋_GB2312" w:eastAsia="仿宋_GB2312" w:cs="仿宋_GB2312"/>
                <w:bCs/>
                <w:sz w:val="20"/>
                <w:szCs w:val="20"/>
                <w:highlight w:val="none"/>
              </w:rPr>
              <w:t>批复规模</w:t>
            </w:r>
            <w:r>
              <w:rPr>
                <w:rFonts w:hint="eastAsia" w:ascii="仿宋_GB2312" w:hAnsi="仿宋_GB2312" w:eastAsia="仿宋_GB2312" w:cs="仿宋_GB2312"/>
                <w:bCs/>
                <w:sz w:val="20"/>
                <w:szCs w:val="20"/>
                <w:highlight w:val="none"/>
              </w:rPr>
              <w:br w:type="textWrapping"/>
            </w:r>
            <w:r>
              <w:rPr>
                <w:rFonts w:hint="eastAsia" w:ascii="仿宋_GB2312" w:hAnsi="仿宋_GB2312" w:eastAsia="仿宋_GB2312" w:cs="仿宋_GB2312"/>
                <w:bCs/>
                <w:sz w:val="20"/>
                <w:szCs w:val="20"/>
                <w:highlight w:val="none"/>
              </w:rPr>
              <w:t>（㎡）</w:t>
            </w:r>
          </w:p>
        </w:tc>
        <w:tc>
          <w:tcPr>
            <w:tcW w:w="849" w:type="dxa"/>
            <w:tcBorders>
              <w:top w:val="single" w:color="auto" w:sz="4" w:space="0"/>
              <w:left w:val="single" w:color="auto" w:sz="4" w:space="0"/>
              <w:bottom w:val="single" w:color="auto" w:sz="4" w:space="0"/>
              <w:right w:val="single" w:color="auto" w:sz="4" w:space="0"/>
            </w:tcBorders>
            <w:noWrap w:val="0"/>
            <w:vAlign w:val="center"/>
          </w:tcPr>
          <w:p w14:paraId="6ABA16F9">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bCs/>
                <w:sz w:val="20"/>
                <w:szCs w:val="20"/>
                <w:highlight w:val="none"/>
              </w:rPr>
            </w:pPr>
            <w:r>
              <w:rPr>
                <w:rFonts w:hint="eastAsia" w:ascii="仿宋_GB2312" w:hAnsi="仿宋_GB2312" w:eastAsia="仿宋_GB2312" w:cs="仿宋_GB2312"/>
                <w:bCs/>
                <w:sz w:val="20"/>
                <w:szCs w:val="20"/>
                <w:highlight w:val="none"/>
              </w:rPr>
              <w:t>实际规模（㎡）</w:t>
            </w:r>
          </w:p>
        </w:tc>
        <w:tc>
          <w:tcPr>
            <w:tcW w:w="1129" w:type="dxa"/>
            <w:tcBorders>
              <w:top w:val="single" w:color="auto" w:sz="4" w:space="0"/>
              <w:left w:val="single" w:color="auto" w:sz="4" w:space="0"/>
              <w:bottom w:val="single" w:color="auto" w:sz="4" w:space="0"/>
              <w:right w:val="single" w:color="auto" w:sz="4" w:space="0"/>
            </w:tcBorders>
            <w:noWrap w:val="0"/>
            <w:vAlign w:val="center"/>
          </w:tcPr>
          <w:p w14:paraId="482D08D8">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bCs/>
                <w:sz w:val="20"/>
                <w:szCs w:val="20"/>
                <w:highlight w:val="none"/>
              </w:rPr>
            </w:pPr>
            <w:r>
              <w:rPr>
                <w:rFonts w:hint="eastAsia" w:ascii="仿宋_GB2312" w:hAnsi="仿宋_GB2312" w:eastAsia="仿宋_GB2312" w:cs="仿宋_GB2312"/>
                <w:bCs/>
                <w:sz w:val="20"/>
                <w:szCs w:val="20"/>
                <w:highlight w:val="none"/>
              </w:rPr>
              <w:t>规模控制率</w:t>
            </w:r>
          </w:p>
        </w:tc>
        <w:tc>
          <w:tcPr>
            <w:tcW w:w="1111" w:type="dxa"/>
            <w:tcBorders>
              <w:top w:val="single" w:color="auto" w:sz="4" w:space="0"/>
              <w:left w:val="single" w:color="auto" w:sz="4" w:space="0"/>
              <w:bottom w:val="single" w:color="auto" w:sz="4" w:space="0"/>
              <w:right w:val="single" w:color="auto" w:sz="4" w:space="0"/>
            </w:tcBorders>
            <w:noWrap w:val="0"/>
            <w:vAlign w:val="center"/>
          </w:tcPr>
          <w:p w14:paraId="5DF38452">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bCs/>
                <w:sz w:val="20"/>
                <w:szCs w:val="20"/>
                <w:highlight w:val="none"/>
              </w:rPr>
            </w:pPr>
            <w:r>
              <w:rPr>
                <w:rFonts w:hint="eastAsia" w:ascii="仿宋_GB2312" w:hAnsi="仿宋_GB2312" w:eastAsia="仿宋_GB2312" w:cs="仿宋_GB2312"/>
                <w:bCs/>
                <w:sz w:val="20"/>
                <w:szCs w:val="20"/>
                <w:highlight w:val="none"/>
              </w:rPr>
              <w:t>预算投资（万元）</w:t>
            </w:r>
          </w:p>
        </w:tc>
        <w:tc>
          <w:tcPr>
            <w:tcW w:w="978" w:type="dxa"/>
            <w:tcBorders>
              <w:top w:val="single" w:color="auto" w:sz="4" w:space="0"/>
              <w:left w:val="single" w:color="auto" w:sz="4" w:space="0"/>
              <w:bottom w:val="single" w:color="auto" w:sz="4" w:space="0"/>
              <w:right w:val="single" w:color="auto" w:sz="4" w:space="0"/>
            </w:tcBorders>
            <w:noWrap w:val="0"/>
            <w:vAlign w:val="center"/>
          </w:tcPr>
          <w:p w14:paraId="0F78131D">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bCs/>
                <w:sz w:val="20"/>
                <w:szCs w:val="20"/>
                <w:highlight w:val="none"/>
              </w:rPr>
            </w:pPr>
            <w:r>
              <w:rPr>
                <w:rFonts w:hint="eastAsia" w:ascii="仿宋_GB2312" w:hAnsi="仿宋_GB2312" w:eastAsia="仿宋_GB2312" w:cs="仿宋_GB2312"/>
                <w:bCs/>
                <w:sz w:val="20"/>
                <w:szCs w:val="20"/>
                <w:highlight w:val="none"/>
              </w:rPr>
              <w:t>实际投资（万元）</w:t>
            </w:r>
          </w:p>
        </w:tc>
        <w:tc>
          <w:tcPr>
            <w:tcW w:w="1063" w:type="dxa"/>
            <w:tcBorders>
              <w:top w:val="single" w:color="auto" w:sz="4" w:space="0"/>
              <w:left w:val="single" w:color="auto" w:sz="4" w:space="0"/>
              <w:bottom w:val="single" w:color="auto" w:sz="4" w:space="0"/>
              <w:right w:val="single" w:color="auto" w:sz="4" w:space="0"/>
            </w:tcBorders>
            <w:noWrap w:val="0"/>
            <w:vAlign w:val="center"/>
          </w:tcPr>
          <w:p w14:paraId="211EF9AC">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bCs/>
                <w:sz w:val="20"/>
                <w:szCs w:val="20"/>
                <w:highlight w:val="none"/>
              </w:rPr>
            </w:pPr>
            <w:r>
              <w:rPr>
                <w:rFonts w:hint="eastAsia" w:ascii="仿宋_GB2312" w:hAnsi="仿宋_GB2312" w:eastAsia="仿宋_GB2312" w:cs="仿宋_GB2312"/>
                <w:bCs/>
                <w:sz w:val="20"/>
                <w:szCs w:val="20"/>
                <w:highlight w:val="none"/>
              </w:rPr>
              <w:t>投资概算控制率</w:t>
            </w:r>
          </w:p>
        </w:tc>
      </w:tr>
      <w:tr w14:paraId="5D6BD1A6">
        <w:tblPrEx>
          <w:tblCellMar>
            <w:top w:w="0" w:type="dxa"/>
            <w:left w:w="108" w:type="dxa"/>
            <w:bottom w:w="0" w:type="dxa"/>
            <w:right w:w="108" w:type="dxa"/>
          </w:tblCellMar>
        </w:tblPrEx>
        <w:trPr>
          <w:trHeight w:val="0" w:hRule="atLeast"/>
          <w:jc w:val="center"/>
        </w:trPr>
        <w:tc>
          <w:tcPr>
            <w:tcW w:w="3354" w:type="dxa"/>
            <w:vMerge w:val="continue"/>
            <w:tcBorders>
              <w:top w:val="single" w:color="auto" w:sz="4" w:space="0"/>
              <w:left w:val="single" w:color="auto" w:sz="4" w:space="0"/>
              <w:bottom w:val="single" w:color="auto" w:sz="4" w:space="0"/>
              <w:right w:val="single" w:color="auto" w:sz="4" w:space="0"/>
            </w:tcBorders>
            <w:noWrap w:val="0"/>
            <w:vAlign w:val="center"/>
          </w:tcPr>
          <w:p w14:paraId="6B98C954">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eastAsia" w:ascii="仿宋_GB2312" w:hAnsi="仿宋_GB2312" w:eastAsia="仿宋_GB2312" w:cs="仿宋_GB2312"/>
                <w:sz w:val="20"/>
                <w:szCs w:val="20"/>
                <w:highlight w:val="none"/>
              </w:rPr>
            </w:pPr>
          </w:p>
        </w:tc>
        <w:tc>
          <w:tcPr>
            <w:tcW w:w="1189" w:type="dxa"/>
            <w:tcBorders>
              <w:top w:val="single" w:color="auto" w:sz="4" w:space="0"/>
              <w:left w:val="single" w:color="auto" w:sz="4" w:space="0"/>
              <w:bottom w:val="single" w:color="auto" w:sz="4" w:space="0"/>
              <w:right w:val="single" w:color="auto" w:sz="4" w:space="0"/>
            </w:tcBorders>
            <w:noWrap w:val="0"/>
            <w:vAlign w:val="center"/>
          </w:tcPr>
          <w:p w14:paraId="22836D33">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rPr>
              <w:t>　</w:t>
            </w:r>
            <w:r>
              <w:rPr>
                <w:rFonts w:hint="eastAsia" w:ascii="仿宋_GB2312" w:hAnsi="仿宋_GB2312" w:eastAsia="仿宋_GB2312" w:cs="仿宋_GB2312"/>
                <w:sz w:val="20"/>
                <w:szCs w:val="20"/>
                <w:highlight w:val="none"/>
                <w:lang w:val="en-US" w:eastAsia="zh-CN"/>
              </w:rPr>
              <w:t>0</w:t>
            </w:r>
          </w:p>
        </w:tc>
        <w:tc>
          <w:tcPr>
            <w:tcW w:w="849" w:type="dxa"/>
            <w:tcBorders>
              <w:top w:val="single" w:color="auto" w:sz="4" w:space="0"/>
              <w:left w:val="single" w:color="auto" w:sz="4" w:space="0"/>
              <w:bottom w:val="single" w:color="auto" w:sz="4" w:space="0"/>
              <w:right w:val="single" w:color="auto" w:sz="4" w:space="0"/>
            </w:tcBorders>
            <w:noWrap w:val="0"/>
            <w:vAlign w:val="center"/>
          </w:tcPr>
          <w:p w14:paraId="3DF3292E">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eastAsia"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rPr>
              <w:t>　</w:t>
            </w:r>
            <w:r>
              <w:rPr>
                <w:rFonts w:hint="eastAsia" w:ascii="仿宋_GB2312" w:hAnsi="仿宋_GB2312" w:eastAsia="仿宋_GB2312" w:cs="仿宋_GB2312"/>
                <w:sz w:val="20"/>
                <w:szCs w:val="20"/>
                <w:highlight w:val="none"/>
                <w:lang w:val="en-US" w:eastAsia="zh-CN"/>
              </w:rPr>
              <w:t>0</w:t>
            </w:r>
          </w:p>
        </w:tc>
        <w:tc>
          <w:tcPr>
            <w:tcW w:w="1129" w:type="dxa"/>
            <w:tcBorders>
              <w:top w:val="single" w:color="auto" w:sz="4" w:space="0"/>
              <w:left w:val="single" w:color="auto" w:sz="4" w:space="0"/>
              <w:bottom w:val="single" w:color="auto" w:sz="4" w:space="0"/>
              <w:right w:val="single" w:color="auto" w:sz="4" w:space="0"/>
            </w:tcBorders>
            <w:noWrap w:val="0"/>
            <w:vAlign w:val="center"/>
          </w:tcPr>
          <w:p w14:paraId="662894E1">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eastAsia"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rPr>
              <w:t>　</w:t>
            </w:r>
            <w:r>
              <w:rPr>
                <w:rFonts w:hint="eastAsia" w:ascii="仿宋_GB2312" w:hAnsi="仿宋_GB2312" w:eastAsia="仿宋_GB2312" w:cs="仿宋_GB2312"/>
                <w:sz w:val="20"/>
                <w:szCs w:val="20"/>
                <w:highlight w:val="none"/>
                <w:lang w:val="en-US" w:eastAsia="zh-CN"/>
              </w:rPr>
              <w:t>0</w:t>
            </w:r>
          </w:p>
        </w:tc>
        <w:tc>
          <w:tcPr>
            <w:tcW w:w="1111" w:type="dxa"/>
            <w:tcBorders>
              <w:top w:val="single" w:color="auto" w:sz="4" w:space="0"/>
              <w:left w:val="single" w:color="auto" w:sz="4" w:space="0"/>
              <w:bottom w:val="single" w:color="auto" w:sz="4" w:space="0"/>
              <w:right w:val="single" w:color="auto" w:sz="4" w:space="0"/>
            </w:tcBorders>
            <w:noWrap w:val="0"/>
            <w:vAlign w:val="center"/>
          </w:tcPr>
          <w:p w14:paraId="69A2ADB3">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eastAsia"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rPr>
              <w:t>　</w:t>
            </w:r>
            <w:r>
              <w:rPr>
                <w:rFonts w:hint="eastAsia" w:ascii="仿宋_GB2312" w:hAnsi="仿宋_GB2312" w:eastAsia="仿宋_GB2312" w:cs="仿宋_GB2312"/>
                <w:sz w:val="20"/>
                <w:szCs w:val="20"/>
                <w:highlight w:val="none"/>
                <w:lang w:val="en-US" w:eastAsia="zh-CN"/>
              </w:rPr>
              <w:t>0</w:t>
            </w:r>
          </w:p>
        </w:tc>
        <w:tc>
          <w:tcPr>
            <w:tcW w:w="978" w:type="dxa"/>
            <w:tcBorders>
              <w:top w:val="single" w:color="auto" w:sz="4" w:space="0"/>
              <w:left w:val="single" w:color="auto" w:sz="4" w:space="0"/>
              <w:bottom w:val="single" w:color="auto" w:sz="4" w:space="0"/>
              <w:right w:val="single" w:color="auto" w:sz="4" w:space="0"/>
            </w:tcBorders>
            <w:noWrap w:val="0"/>
            <w:vAlign w:val="center"/>
          </w:tcPr>
          <w:p w14:paraId="21DA99AC">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eastAsia"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rPr>
              <w:t>　</w:t>
            </w:r>
            <w:r>
              <w:rPr>
                <w:rFonts w:hint="eastAsia" w:ascii="仿宋_GB2312" w:hAnsi="仿宋_GB2312" w:eastAsia="仿宋_GB2312" w:cs="仿宋_GB2312"/>
                <w:sz w:val="20"/>
                <w:szCs w:val="20"/>
                <w:highlight w:val="none"/>
                <w:lang w:val="en-US" w:eastAsia="zh-CN"/>
              </w:rPr>
              <w:t>0</w:t>
            </w:r>
          </w:p>
        </w:tc>
        <w:tc>
          <w:tcPr>
            <w:tcW w:w="1063" w:type="dxa"/>
            <w:tcBorders>
              <w:top w:val="single" w:color="auto" w:sz="4" w:space="0"/>
              <w:left w:val="single" w:color="auto" w:sz="4" w:space="0"/>
              <w:bottom w:val="single" w:color="auto" w:sz="4" w:space="0"/>
              <w:right w:val="single" w:color="auto" w:sz="4" w:space="0"/>
            </w:tcBorders>
            <w:noWrap w:val="0"/>
            <w:vAlign w:val="center"/>
          </w:tcPr>
          <w:p w14:paraId="7E78AE5D">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default"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rPr>
              <w:t>　</w:t>
            </w:r>
            <w:r>
              <w:rPr>
                <w:rFonts w:hint="eastAsia" w:ascii="仿宋_GB2312" w:hAnsi="仿宋_GB2312" w:eastAsia="仿宋_GB2312" w:cs="仿宋_GB2312"/>
                <w:sz w:val="20"/>
                <w:szCs w:val="20"/>
                <w:highlight w:val="none"/>
                <w:lang w:val="en-US" w:eastAsia="zh-CN"/>
              </w:rPr>
              <w:t>----</w:t>
            </w:r>
          </w:p>
        </w:tc>
      </w:tr>
      <w:tr w14:paraId="5579A892">
        <w:tblPrEx>
          <w:tblCellMar>
            <w:top w:w="0" w:type="dxa"/>
            <w:left w:w="108" w:type="dxa"/>
            <w:bottom w:w="0" w:type="dxa"/>
            <w:right w:w="108" w:type="dxa"/>
          </w:tblCellMar>
        </w:tblPrEx>
        <w:trPr>
          <w:trHeight w:val="0" w:hRule="atLeast"/>
          <w:jc w:val="center"/>
        </w:trPr>
        <w:tc>
          <w:tcPr>
            <w:tcW w:w="3354" w:type="dxa"/>
            <w:tcBorders>
              <w:top w:val="single" w:color="auto" w:sz="4" w:space="0"/>
              <w:left w:val="single" w:color="auto" w:sz="4" w:space="0"/>
              <w:bottom w:val="single" w:color="auto" w:sz="4" w:space="0"/>
              <w:right w:val="single" w:color="auto" w:sz="4" w:space="0"/>
            </w:tcBorders>
            <w:noWrap w:val="0"/>
            <w:vAlign w:val="center"/>
          </w:tcPr>
          <w:p w14:paraId="51ABABE7">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厉行节约保障措施</w:t>
            </w:r>
          </w:p>
        </w:tc>
        <w:tc>
          <w:tcPr>
            <w:tcW w:w="6319" w:type="dxa"/>
            <w:gridSpan w:val="6"/>
            <w:tcBorders>
              <w:top w:val="single" w:color="auto" w:sz="4" w:space="0"/>
              <w:left w:val="single" w:color="auto" w:sz="4" w:space="0"/>
              <w:bottom w:val="single" w:color="auto" w:sz="4" w:space="0"/>
              <w:right w:val="single" w:color="auto" w:sz="4" w:space="0"/>
            </w:tcBorders>
            <w:noWrap w:val="0"/>
            <w:vAlign w:val="center"/>
          </w:tcPr>
          <w:p w14:paraId="0F56C8DD">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lang w:val="en-US" w:eastAsia="zh-CN"/>
              </w:rPr>
              <w:t xml:space="preserve">    进一步完善了单位财务管理制度和内控管理制度，</w:t>
            </w:r>
            <w:r>
              <w:rPr>
                <w:rFonts w:hint="eastAsia" w:ascii="仿宋_GB2312" w:hAnsi="仿宋_GB2312" w:eastAsia="仿宋_GB2312" w:cs="仿宋_GB2312"/>
                <w:bCs/>
                <w:sz w:val="20"/>
                <w:szCs w:val="20"/>
                <w:lang w:val="en-US" w:eastAsia="zh-CN"/>
              </w:rPr>
              <w:t>各部门严格遵守制订的《财务管理制度》、《内控管理制度》等规章制度，</w:t>
            </w:r>
            <w:r>
              <w:rPr>
                <w:rFonts w:hint="eastAsia" w:ascii="仿宋_GB2312" w:hAnsi="仿宋_GB2312" w:eastAsia="仿宋_GB2312" w:cs="仿宋_GB2312"/>
                <w:bCs/>
                <w:sz w:val="20"/>
                <w:szCs w:val="20"/>
                <w:highlight w:val="none"/>
                <w:lang w:val="en-US" w:eastAsia="zh-CN"/>
              </w:rPr>
              <w:t>加强事前绩效评估管理，坚持先定事，再确定资金支出规模，压减一般性支出，进一步提升了财政资金支出效益。定期开展资产清查盘点工作，按照厉行节约、物尽其用的原则，资产管理采取统一建账、统一核算管理，每件固定资产使用明确保管职责，闲置的资产，由办公室统筹调配，合理流动，发挥其使用效益，提升资产资源利用效率。</w:t>
            </w:r>
            <w:r>
              <w:rPr>
                <w:rFonts w:hint="eastAsia" w:ascii="仿宋_GB2312" w:hAnsi="仿宋_GB2312" w:eastAsia="仿宋_GB2312" w:cs="仿宋_GB2312"/>
                <w:sz w:val="20"/>
                <w:szCs w:val="20"/>
                <w:highlight w:val="none"/>
              </w:rPr>
              <w:t>　</w:t>
            </w:r>
          </w:p>
        </w:tc>
      </w:tr>
    </w:tbl>
    <w:p w14:paraId="44013652">
      <w:pPr>
        <w:keepNext w:val="0"/>
        <w:keepLines w:val="0"/>
        <w:pageBreakBefore w:val="0"/>
        <w:widowControl/>
        <w:kinsoku/>
        <w:wordWrap/>
        <w:overflowPunct/>
        <w:topLinePunct w:val="0"/>
        <w:autoSpaceDE/>
        <w:autoSpaceDN/>
        <w:bidi w:val="0"/>
        <w:adjustRightInd/>
        <w:snapToGrid/>
        <w:spacing w:after="0" w:afterLines="0" w:line="340" w:lineRule="exact"/>
        <w:jc w:val="left"/>
        <w:textAlignment w:val="auto"/>
        <w:rPr>
          <w:rFonts w:hint="eastAsia" w:ascii="CESI仿宋-GB2312" w:hAnsi="CESI仿宋-GB2312" w:eastAsia="CESI仿宋-GB2312" w:cs="CESI仿宋-GB2312"/>
          <w:color w:val="auto"/>
          <w:sz w:val="22"/>
          <w:szCs w:val="22"/>
        </w:rPr>
      </w:pPr>
    </w:p>
    <w:p w14:paraId="62B2B0CE">
      <w:pPr>
        <w:keepNext w:val="0"/>
        <w:keepLines w:val="0"/>
        <w:pageBreakBefore w:val="0"/>
        <w:widowControl/>
        <w:kinsoku/>
        <w:wordWrap/>
        <w:overflowPunct/>
        <w:topLinePunct w:val="0"/>
        <w:autoSpaceDE/>
        <w:autoSpaceDN/>
        <w:bidi w:val="0"/>
        <w:adjustRightInd/>
        <w:snapToGrid/>
        <w:spacing w:after="0" w:afterLines="0" w:line="340" w:lineRule="exact"/>
        <w:jc w:val="left"/>
        <w:textAlignment w:val="auto"/>
        <w:rPr>
          <w:rFonts w:hint="eastAsia" w:ascii="CESI仿宋-GB2312" w:hAnsi="CESI仿宋-GB2312" w:eastAsia="CESI仿宋-GB2312" w:cs="CESI仿宋-GB2312"/>
          <w:color w:val="auto"/>
          <w:sz w:val="22"/>
          <w:szCs w:val="22"/>
          <w:lang w:eastAsia="zh-CN"/>
        </w:rPr>
      </w:pPr>
      <w:r>
        <w:rPr>
          <w:rFonts w:hint="eastAsia" w:ascii="CESI仿宋-GB2312" w:hAnsi="CESI仿宋-GB2312" w:eastAsia="CESI仿宋-GB2312" w:cs="CESI仿宋-GB2312"/>
          <w:color w:val="auto"/>
          <w:sz w:val="22"/>
          <w:szCs w:val="22"/>
        </w:rPr>
        <w:t>填表人</w:t>
      </w:r>
      <w:r>
        <w:rPr>
          <w:rFonts w:hint="eastAsia" w:ascii="CESI仿宋-GB2312" w:hAnsi="CESI仿宋-GB2312" w:eastAsia="CESI仿宋-GB2312" w:cs="CESI仿宋-GB2312"/>
          <w:color w:val="auto"/>
          <w:sz w:val="22"/>
          <w:szCs w:val="22"/>
          <w:lang w:eastAsia="zh-CN"/>
        </w:rPr>
        <w:t>：徐建</w:t>
      </w:r>
      <w:r>
        <w:rPr>
          <w:rFonts w:hint="eastAsia" w:ascii="CESI仿宋-GB2312" w:hAnsi="CESI仿宋-GB2312" w:eastAsia="CESI仿宋-GB2312" w:cs="CESI仿宋-GB2312"/>
          <w:color w:val="auto"/>
          <w:sz w:val="22"/>
          <w:szCs w:val="22"/>
          <w:lang w:val="en-US" w:eastAsia="zh-CN"/>
        </w:rPr>
        <w:t xml:space="preserve">  </w:t>
      </w:r>
      <w:r>
        <w:rPr>
          <w:rFonts w:hint="eastAsia" w:ascii="CESI仿宋-GB2312" w:hAnsi="CESI仿宋-GB2312" w:eastAsia="CESI仿宋-GB2312" w:cs="CESI仿宋-GB2312"/>
          <w:color w:val="auto"/>
          <w:sz w:val="22"/>
          <w:szCs w:val="22"/>
        </w:rPr>
        <w:t>填报日期：</w:t>
      </w:r>
      <w:r>
        <w:rPr>
          <w:rFonts w:hint="eastAsia" w:ascii="CESI仿宋-GB2312" w:hAnsi="CESI仿宋-GB2312" w:eastAsia="CESI仿宋-GB2312" w:cs="CESI仿宋-GB2312"/>
          <w:color w:val="auto"/>
          <w:sz w:val="22"/>
          <w:szCs w:val="22"/>
          <w:lang w:val="en-US" w:eastAsia="zh-CN"/>
        </w:rPr>
        <w:t>2026.6.15</w:t>
      </w:r>
      <w:r>
        <w:rPr>
          <w:rFonts w:hint="eastAsia" w:ascii="CESI仿宋-GB2312" w:hAnsi="CESI仿宋-GB2312" w:eastAsia="CESI仿宋-GB2312" w:cs="CESI仿宋-GB2312"/>
          <w:color w:val="auto"/>
          <w:sz w:val="22"/>
          <w:szCs w:val="22"/>
        </w:rPr>
        <w:t xml:space="preserve"> 联系电话：</w:t>
      </w:r>
      <w:r>
        <w:rPr>
          <w:rFonts w:hint="eastAsia" w:ascii="CESI仿宋-GB2312" w:hAnsi="CESI仿宋-GB2312" w:eastAsia="CESI仿宋-GB2312" w:cs="CESI仿宋-GB2312"/>
          <w:color w:val="auto"/>
          <w:sz w:val="22"/>
          <w:szCs w:val="22"/>
          <w:lang w:val="en-US" w:eastAsia="zh-CN"/>
        </w:rPr>
        <w:t>0730-8227298</w:t>
      </w:r>
      <w:r>
        <w:rPr>
          <w:rFonts w:hint="eastAsia" w:ascii="CESI仿宋-GB2312" w:hAnsi="CESI仿宋-GB2312" w:eastAsia="CESI仿宋-GB2312" w:cs="CESI仿宋-GB2312"/>
          <w:color w:val="auto"/>
          <w:sz w:val="22"/>
          <w:szCs w:val="22"/>
        </w:rPr>
        <w:t xml:space="preserve"> </w:t>
      </w:r>
      <w:r>
        <w:rPr>
          <w:rFonts w:hint="eastAsia" w:ascii="CESI仿宋-GB2312" w:hAnsi="CESI仿宋-GB2312" w:eastAsia="CESI仿宋-GB2312" w:cs="CESI仿宋-GB2312"/>
          <w:color w:val="auto"/>
          <w:sz w:val="22"/>
          <w:szCs w:val="22"/>
          <w:lang w:val="en-US" w:eastAsia="zh-CN"/>
        </w:rPr>
        <w:t xml:space="preserve"> </w:t>
      </w:r>
      <w:r>
        <w:rPr>
          <w:rFonts w:hint="eastAsia" w:ascii="CESI仿宋-GB2312" w:hAnsi="CESI仿宋-GB2312" w:eastAsia="CESI仿宋-GB2312" w:cs="CESI仿宋-GB2312"/>
          <w:color w:val="auto"/>
          <w:sz w:val="22"/>
          <w:szCs w:val="22"/>
        </w:rPr>
        <w:t>单位负责人：</w:t>
      </w:r>
      <w:r>
        <w:rPr>
          <w:rFonts w:hint="eastAsia" w:ascii="CESI仿宋-GB2312" w:hAnsi="CESI仿宋-GB2312" w:eastAsia="CESI仿宋-GB2312" w:cs="CESI仿宋-GB2312"/>
          <w:color w:val="auto"/>
          <w:sz w:val="22"/>
          <w:szCs w:val="22"/>
          <w:lang w:eastAsia="zh-CN"/>
        </w:rPr>
        <w:t>郭沫农</w:t>
      </w:r>
    </w:p>
    <w:p w14:paraId="7D28ADA6">
      <w:pPr>
        <w:widowControl/>
        <w:spacing w:after="0" w:afterLines="0" w:line="400" w:lineRule="exact"/>
        <w:jc w:val="left"/>
        <w:rPr>
          <w:rFonts w:hint="eastAsia" w:ascii="CESI仿宋-GB2312" w:hAnsi="CESI仿宋-GB2312" w:eastAsia="CESI仿宋-GB2312" w:cs="CESI仿宋-GB2312"/>
          <w:color w:val="auto"/>
          <w:sz w:val="32"/>
          <w:szCs w:val="32"/>
          <w:highlight w:val="none"/>
        </w:rPr>
      </w:pPr>
    </w:p>
    <w:p w14:paraId="261E3421">
      <w:pPr>
        <w:widowControl/>
        <w:spacing w:after="0" w:afterLines="0" w:line="400" w:lineRule="exact"/>
        <w:jc w:val="left"/>
        <w:rPr>
          <w:rFonts w:hint="eastAsia" w:ascii="CESI仿宋-GB2312" w:hAnsi="CESI仿宋-GB2312" w:eastAsia="CESI仿宋-GB2312" w:cs="CESI仿宋-GB2312"/>
          <w:b/>
          <w:bCs/>
          <w:color w:val="auto"/>
          <w:sz w:val="32"/>
          <w:szCs w:val="32"/>
          <w:highlight w:val="none"/>
        </w:rPr>
      </w:pPr>
    </w:p>
    <w:p w14:paraId="0312F22F">
      <w:pPr>
        <w:widowControl/>
        <w:spacing w:after="0" w:afterLines="0" w:line="400" w:lineRule="exact"/>
        <w:jc w:val="left"/>
        <w:rPr>
          <w:rFonts w:hint="eastAsia" w:ascii="CESI仿宋-GB2312" w:hAnsi="CESI仿宋-GB2312" w:eastAsia="CESI仿宋-GB2312" w:cs="CESI仿宋-GB2312"/>
          <w:b/>
          <w:bCs/>
          <w:color w:val="auto"/>
          <w:sz w:val="32"/>
          <w:szCs w:val="32"/>
          <w:highlight w:val="none"/>
          <w:lang w:eastAsia="zh-CN"/>
        </w:rPr>
      </w:pPr>
      <w:bookmarkStart w:id="1" w:name="_GoBack"/>
      <w:bookmarkEnd w:id="1"/>
      <w:r>
        <w:rPr>
          <w:rFonts w:hint="eastAsia" w:ascii="CESI仿宋-GB2312" w:hAnsi="CESI仿宋-GB2312" w:eastAsia="CESI仿宋-GB2312" w:cs="CESI仿宋-GB2312"/>
          <w:b/>
          <w:bCs/>
          <w:color w:val="auto"/>
          <w:sz w:val="32"/>
          <w:szCs w:val="32"/>
          <w:highlight w:val="none"/>
        </w:rPr>
        <w:t>附件</w:t>
      </w:r>
      <w:r>
        <w:rPr>
          <w:rFonts w:hint="eastAsia" w:ascii="CESI仿宋-GB2312" w:hAnsi="CESI仿宋-GB2312" w:eastAsia="CESI仿宋-GB2312" w:cs="CESI仿宋-GB2312"/>
          <w:b/>
          <w:bCs/>
          <w:color w:val="auto"/>
          <w:sz w:val="32"/>
          <w:szCs w:val="32"/>
          <w:highlight w:val="none"/>
          <w:lang w:val="en-US" w:eastAsia="zh-CN"/>
        </w:rPr>
        <w:t>2</w:t>
      </w:r>
    </w:p>
    <w:p w14:paraId="4C8008F7">
      <w:pPr>
        <w:widowControl/>
        <w:spacing w:after="120" w:afterLines="50"/>
        <w:jc w:val="center"/>
        <w:rPr>
          <w:rFonts w:hint="eastAsia" w:ascii="方正小标宋简体" w:hAnsi="方正小标宋简体" w:eastAsia="方正小标宋简体" w:cs="方正小标宋简体"/>
          <w:color w:val="000000"/>
          <w:sz w:val="36"/>
          <w:szCs w:val="36"/>
          <w:highlight w:val="none"/>
        </w:rPr>
      </w:pPr>
      <w:r>
        <w:rPr>
          <w:rFonts w:hint="eastAsia" w:ascii="方正小标宋简体" w:hAnsi="方正小标宋简体" w:eastAsia="方正小标宋简体" w:cs="方正小标宋简体"/>
          <w:color w:val="000000"/>
          <w:sz w:val="36"/>
          <w:szCs w:val="36"/>
          <w:highlight w:val="none"/>
        </w:rPr>
        <w:t>202</w:t>
      </w:r>
      <w:r>
        <w:rPr>
          <w:rFonts w:hint="eastAsia" w:ascii="方正小标宋简体" w:hAnsi="方正小标宋简体" w:eastAsia="方正小标宋简体" w:cs="方正小标宋简体"/>
          <w:color w:val="000000"/>
          <w:sz w:val="36"/>
          <w:szCs w:val="36"/>
          <w:highlight w:val="none"/>
          <w:lang w:val="en-US" w:eastAsia="zh-CN"/>
        </w:rPr>
        <w:t>5</w:t>
      </w:r>
      <w:r>
        <w:rPr>
          <w:rFonts w:hint="eastAsia" w:ascii="方正小标宋简体" w:hAnsi="方正小标宋简体" w:eastAsia="方正小标宋简体" w:cs="方正小标宋简体"/>
          <w:color w:val="000000"/>
          <w:sz w:val="36"/>
          <w:szCs w:val="36"/>
          <w:highlight w:val="none"/>
        </w:rPr>
        <w:t>年度部门整体支出绩效自评表</w:t>
      </w:r>
    </w:p>
    <w:tbl>
      <w:tblPr>
        <w:tblStyle w:val="8"/>
        <w:tblW w:w="1007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60"/>
        <w:gridCol w:w="1062"/>
        <w:gridCol w:w="1010"/>
        <w:gridCol w:w="1346"/>
        <w:gridCol w:w="1290"/>
        <w:gridCol w:w="1275"/>
        <w:gridCol w:w="780"/>
        <w:gridCol w:w="825"/>
        <w:gridCol w:w="1431"/>
      </w:tblGrid>
      <w:tr w14:paraId="01FC3D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60" w:type="dxa"/>
            <w:noWrap w:val="0"/>
            <w:vAlign w:val="center"/>
          </w:tcPr>
          <w:p w14:paraId="546B51EA">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eastAsia="zh-CN"/>
              </w:rPr>
              <w:t>市</w:t>
            </w:r>
            <w:r>
              <w:rPr>
                <w:rFonts w:hint="eastAsia" w:ascii="仿宋_GB2312" w:hAnsi="仿宋_GB2312" w:eastAsia="仿宋_GB2312" w:cs="仿宋_GB2312"/>
                <w:color w:val="000000"/>
                <w:sz w:val="20"/>
                <w:szCs w:val="20"/>
                <w:highlight w:val="none"/>
              </w:rPr>
              <w:t>级预算部门名称</w:t>
            </w:r>
          </w:p>
        </w:tc>
        <w:tc>
          <w:tcPr>
            <w:tcW w:w="9019" w:type="dxa"/>
            <w:gridSpan w:val="8"/>
            <w:noWrap w:val="0"/>
            <w:vAlign w:val="center"/>
          </w:tcPr>
          <w:p w14:paraId="6684493F">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rPr>
              <w:t>岳阳市城市管理综合行政执法支队</w:t>
            </w:r>
            <w:r>
              <w:rPr>
                <w:rFonts w:hint="eastAsia" w:ascii="仿宋_GB2312" w:hAnsi="仿宋_GB2312" w:eastAsia="仿宋_GB2312" w:cs="仿宋_GB2312"/>
                <w:color w:val="000000"/>
                <w:sz w:val="20"/>
                <w:szCs w:val="20"/>
                <w:highlight w:val="none"/>
              </w:rPr>
              <w:t>　</w:t>
            </w:r>
          </w:p>
        </w:tc>
      </w:tr>
      <w:tr w14:paraId="092990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60" w:type="dxa"/>
            <w:vMerge w:val="restart"/>
            <w:noWrap w:val="0"/>
            <w:vAlign w:val="center"/>
          </w:tcPr>
          <w:p w14:paraId="499AEE12">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年度预</w:t>
            </w:r>
          </w:p>
          <w:p w14:paraId="3CD250FF">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算申请</w:t>
            </w:r>
            <w:r>
              <w:rPr>
                <w:rFonts w:hint="eastAsia" w:ascii="仿宋_GB2312" w:hAnsi="仿宋_GB2312" w:eastAsia="仿宋_GB2312" w:cs="仿宋_GB2312"/>
                <w:color w:val="000000"/>
                <w:sz w:val="20"/>
                <w:szCs w:val="20"/>
                <w:highlight w:val="none"/>
              </w:rPr>
              <w:br w:type="textWrapping"/>
            </w:r>
            <w:r>
              <w:rPr>
                <w:rFonts w:hint="eastAsia" w:ascii="仿宋_GB2312" w:hAnsi="仿宋_GB2312" w:eastAsia="仿宋_GB2312" w:cs="仿宋_GB2312"/>
                <w:color w:val="000000"/>
                <w:sz w:val="20"/>
                <w:szCs w:val="20"/>
                <w:highlight w:val="none"/>
              </w:rPr>
              <w:t>（万元）</w:t>
            </w:r>
          </w:p>
        </w:tc>
        <w:tc>
          <w:tcPr>
            <w:tcW w:w="2072" w:type="dxa"/>
            <w:gridSpan w:val="2"/>
            <w:noWrap w:val="0"/>
            <w:vAlign w:val="center"/>
          </w:tcPr>
          <w:p w14:paraId="31CC1858">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sz w:val="20"/>
                <w:szCs w:val="20"/>
                <w:highlight w:val="none"/>
              </w:rPr>
            </w:pPr>
          </w:p>
        </w:tc>
        <w:tc>
          <w:tcPr>
            <w:tcW w:w="1346" w:type="dxa"/>
            <w:noWrap w:val="0"/>
            <w:vAlign w:val="center"/>
          </w:tcPr>
          <w:p w14:paraId="12ADD88C">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年初预算数</w:t>
            </w:r>
          </w:p>
        </w:tc>
        <w:tc>
          <w:tcPr>
            <w:tcW w:w="1290" w:type="dxa"/>
            <w:noWrap w:val="0"/>
            <w:vAlign w:val="center"/>
          </w:tcPr>
          <w:p w14:paraId="0AC1193D">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全年预算数</w:t>
            </w:r>
          </w:p>
        </w:tc>
        <w:tc>
          <w:tcPr>
            <w:tcW w:w="1275" w:type="dxa"/>
            <w:noWrap w:val="0"/>
            <w:vAlign w:val="center"/>
          </w:tcPr>
          <w:p w14:paraId="2E1AEB45">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全年执行数</w:t>
            </w:r>
          </w:p>
        </w:tc>
        <w:tc>
          <w:tcPr>
            <w:tcW w:w="780" w:type="dxa"/>
            <w:noWrap w:val="0"/>
            <w:vAlign w:val="center"/>
          </w:tcPr>
          <w:p w14:paraId="0F0EA8AB">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分值</w:t>
            </w:r>
          </w:p>
        </w:tc>
        <w:tc>
          <w:tcPr>
            <w:tcW w:w="825" w:type="dxa"/>
            <w:noWrap w:val="0"/>
            <w:vAlign w:val="center"/>
          </w:tcPr>
          <w:p w14:paraId="1D6CBF92">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执行率</w:t>
            </w:r>
          </w:p>
        </w:tc>
        <w:tc>
          <w:tcPr>
            <w:tcW w:w="1431" w:type="dxa"/>
            <w:noWrap w:val="0"/>
            <w:vAlign w:val="center"/>
          </w:tcPr>
          <w:p w14:paraId="3280C421">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得分</w:t>
            </w:r>
          </w:p>
        </w:tc>
      </w:tr>
      <w:tr w14:paraId="798A4A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60" w:type="dxa"/>
            <w:vMerge w:val="continue"/>
            <w:noWrap w:val="0"/>
            <w:vAlign w:val="center"/>
          </w:tcPr>
          <w:p w14:paraId="297D4563">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sz w:val="20"/>
                <w:szCs w:val="20"/>
                <w:highlight w:val="none"/>
              </w:rPr>
            </w:pPr>
          </w:p>
        </w:tc>
        <w:tc>
          <w:tcPr>
            <w:tcW w:w="2072" w:type="dxa"/>
            <w:gridSpan w:val="2"/>
            <w:noWrap w:val="0"/>
            <w:vAlign w:val="center"/>
          </w:tcPr>
          <w:p w14:paraId="56504A4A">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年度资金总额</w:t>
            </w:r>
          </w:p>
        </w:tc>
        <w:tc>
          <w:tcPr>
            <w:tcW w:w="1346" w:type="dxa"/>
            <w:noWrap w:val="0"/>
            <w:vAlign w:val="center"/>
          </w:tcPr>
          <w:p w14:paraId="6282F667">
            <w:pPr>
              <w:keepNext w:val="0"/>
              <w:keepLines w:val="0"/>
              <w:pageBreakBefore w:val="0"/>
              <w:kinsoku/>
              <w:wordWrap/>
              <w:overflowPunct/>
              <w:topLinePunct w:val="0"/>
              <w:autoSpaceDE/>
              <w:autoSpaceDN/>
              <w:bidi w:val="0"/>
              <w:adjustRightInd/>
              <w:snapToGrid/>
              <w:spacing w:line="240" w:lineRule="exact"/>
              <w:jc w:val="center"/>
              <w:textAlignment w:val="auto"/>
              <w:rPr>
                <w:rFonts w:hint="default" w:ascii="仿宋_GB2312" w:hAnsi="仿宋_GB2312" w:eastAsia="仿宋_GB2312" w:cs="仿宋_GB2312"/>
                <w:color w:val="auto"/>
                <w:sz w:val="20"/>
                <w:szCs w:val="20"/>
                <w:highlight w:val="none"/>
                <w:lang w:val="en-US" w:eastAsia="zh-CN"/>
              </w:rPr>
            </w:pPr>
            <w:r>
              <w:rPr>
                <w:rFonts w:hint="eastAsia" w:ascii="仿宋_GB2312" w:hAnsi="仿宋_GB2312" w:eastAsia="仿宋_GB2312" w:cs="仿宋_GB2312"/>
                <w:color w:val="auto"/>
                <w:sz w:val="20"/>
                <w:szCs w:val="20"/>
                <w:highlight w:val="none"/>
                <w:lang w:val="en-US" w:eastAsia="zh-CN"/>
              </w:rPr>
              <w:t>8335.57</w:t>
            </w:r>
          </w:p>
        </w:tc>
        <w:tc>
          <w:tcPr>
            <w:tcW w:w="1290" w:type="dxa"/>
            <w:noWrap w:val="0"/>
            <w:vAlign w:val="center"/>
          </w:tcPr>
          <w:p w14:paraId="141F84A7">
            <w:pPr>
              <w:keepNext w:val="0"/>
              <w:keepLines w:val="0"/>
              <w:pageBreakBefore w:val="0"/>
              <w:kinsoku/>
              <w:wordWrap/>
              <w:overflowPunct/>
              <w:topLinePunct w:val="0"/>
              <w:autoSpaceDE/>
              <w:autoSpaceDN/>
              <w:bidi w:val="0"/>
              <w:adjustRightInd/>
              <w:snapToGrid/>
              <w:spacing w:line="240" w:lineRule="exact"/>
              <w:jc w:val="center"/>
              <w:textAlignment w:val="auto"/>
              <w:rPr>
                <w:rFonts w:hint="default"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lang w:val="en-US" w:eastAsia="zh-CN"/>
              </w:rPr>
              <w:t>8288.80</w:t>
            </w:r>
          </w:p>
        </w:tc>
        <w:tc>
          <w:tcPr>
            <w:tcW w:w="1275" w:type="dxa"/>
            <w:noWrap w:val="0"/>
            <w:vAlign w:val="center"/>
          </w:tcPr>
          <w:p w14:paraId="03865F48">
            <w:pPr>
              <w:keepNext w:val="0"/>
              <w:keepLines w:val="0"/>
              <w:pageBreakBefore w:val="0"/>
              <w:kinsoku/>
              <w:wordWrap/>
              <w:overflowPunct/>
              <w:topLinePunct w:val="0"/>
              <w:autoSpaceDE/>
              <w:autoSpaceDN/>
              <w:bidi w:val="0"/>
              <w:adjustRightInd/>
              <w:snapToGrid/>
              <w:spacing w:line="240" w:lineRule="exact"/>
              <w:jc w:val="center"/>
              <w:textAlignment w:val="auto"/>
              <w:rPr>
                <w:rFonts w:hint="default"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lang w:val="en-US" w:eastAsia="zh-CN"/>
              </w:rPr>
              <w:t>7934.65</w:t>
            </w:r>
          </w:p>
        </w:tc>
        <w:tc>
          <w:tcPr>
            <w:tcW w:w="780" w:type="dxa"/>
            <w:noWrap w:val="0"/>
            <w:vAlign w:val="center"/>
          </w:tcPr>
          <w:p w14:paraId="4868796B">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10</w:t>
            </w:r>
          </w:p>
        </w:tc>
        <w:tc>
          <w:tcPr>
            <w:tcW w:w="825" w:type="dxa"/>
            <w:noWrap w:val="0"/>
            <w:vAlign w:val="center"/>
          </w:tcPr>
          <w:p w14:paraId="7C68A1BF">
            <w:pPr>
              <w:keepNext w:val="0"/>
              <w:keepLines w:val="0"/>
              <w:pageBreakBefore w:val="0"/>
              <w:kinsoku/>
              <w:wordWrap/>
              <w:overflowPunct/>
              <w:topLinePunct w:val="0"/>
              <w:autoSpaceDE/>
              <w:autoSpaceDN/>
              <w:bidi w:val="0"/>
              <w:adjustRightInd/>
              <w:snapToGrid/>
              <w:spacing w:line="240" w:lineRule="exact"/>
              <w:jc w:val="center"/>
              <w:textAlignment w:val="auto"/>
              <w:rPr>
                <w:rFonts w:hint="default"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lang w:val="en-US" w:eastAsia="zh-CN"/>
              </w:rPr>
              <w:t>95.73%</w:t>
            </w:r>
          </w:p>
        </w:tc>
        <w:tc>
          <w:tcPr>
            <w:tcW w:w="1431" w:type="dxa"/>
            <w:noWrap w:val="0"/>
            <w:vAlign w:val="center"/>
          </w:tcPr>
          <w:p w14:paraId="63E08871">
            <w:pPr>
              <w:keepNext w:val="0"/>
              <w:keepLines w:val="0"/>
              <w:pageBreakBefore w:val="0"/>
              <w:kinsoku/>
              <w:wordWrap/>
              <w:overflowPunct/>
              <w:topLinePunct w:val="0"/>
              <w:autoSpaceDE/>
              <w:autoSpaceDN/>
              <w:bidi w:val="0"/>
              <w:adjustRightInd/>
              <w:snapToGrid/>
              <w:spacing w:line="240" w:lineRule="exact"/>
              <w:ind w:firstLine="400" w:firstLineChars="200"/>
              <w:jc w:val="both"/>
              <w:textAlignment w:val="auto"/>
              <w:rPr>
                <w:rFonts w:hint="default"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lang w:val="en-US" w:eastAsia="zh-CN"/>
              </w:rPr>
              <w:t>9.57</w:t>
            </w:r>
          </w:p>
        </w:tc>
      </w:tr>
      <w:tr w14:paraId="376178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60" w:type="dxa"/>
            <w:vMerge w:val="continue"/>
            <w:noWrap w:val="0"/>
            <w:vAlign w:val="center"/>
          </w:tcPr>
          <w:p w14:paraId="575B3D2F">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p>
        </w:tc>
        <w:tc>
          <w:tcPr>
            <w:tcW w:w="4708" w:type="dxa"/>
            <w:gridSpan w:val="4"/>
            <w:noWrap w:val="0"/>
            <w:vAlign w:val="center"/>
          </w:tcPr>
          <w:p w14:paraId="58362818">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按收入性质分：</w:t>
            </w:r>
          </w:p>
        </w:tc>
        <w:tc>
          <w:tcPr>
            <w:tcW w:w="4311" w:type="dxa"/>
            <w:gridSpan w:val="4"/>
            <w:noWrap w:val="0"/>
            <w:vAlign w:val="center"/>
          </w:tcPr>
          <w:p w14:paraId="41DCEA1E">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按支出性质分：</w:t>
            </w:r>
          </w:p>
        </w:tc>
      </w:tr>
      <w:tr w14:paraId="1DF5F7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60" w:type="dxa"/>
            <w:vMerge w:val="continue"/>
            <w:noWrap w:val="0"/>
            <w:vAlign w:val="center"/>
          </w:tcPr>
          <w:p w14:paraId="4B149D3E">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p>
        </w:tc>
        <w:tc>
          <w:tcPr>
            <w:tcW w:w="4708" w:type="dxa"/>
            <w:gridSpan w:val="4"/>
            <w:noWrap w:val="0"/>
            <w:vAlign w:val="center"/>
          </w:tcPr>
          <w:p w14:paraId="1CD1521C">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xml:space="preserve"> </w:t>
            </w:r>
            <w:r>
              <w:rPr>
                <w:rFonts w:hint="eastAsia" w:ascii="仿宋_GB2312" w:hAnsi="仿宋_GB2312" w:eastAsia="仿宋_GB2312" w:cs="仿宋_GB2312"/>
                <w:color w:val="000000"/>
                <w:sz w:val="20"/>
                <w:szCs w:val="20"/>
                <w:highlight w:val="none"/>
                <w:lang w:val="en-US" w:eastAsia="zh-CN"/>
              </w:rPr>
              <w:t xml:space="preserve">      </w:t>
            </w:r>
            <w:r>
              <w:rPr>
                <w:rFonts w:hint="eastAsia" w:ascii="仿宋_GB2312" w:hAnsi="仿宋_GB2312" w:eastAsia="仿宋_GB2312" w:cs="仿宋_GB2312"/>
                <w:color w:val="000000"/>
                <w:sz w:val="20"/>
                <w:szCs w:val="20"/>
                <w:highlight w:val="none"/>
              </w:rPr>
              <w:t xml:space="preserve"> 其中</w:t>
            </w:r>
            <w:r>
              <w:rPr>
                <w:rFonts w:hint="eastAsia" w:ascii="仿宋_GB2312" w:hAnsi="仿宋_GB2312" w:eastAsia="仿宋_GB2312" w:cs="仿宋_GB2312"/>
                <w:color w:val="000000"/>
                <w:sz w:val="20"/>
                <w:szCs w:val="20"/>
                <w:highlight w:val="none"/>
                <w:lang w:eastAsia="zh-CN"/>
              </w:rPr>
              <w:t>：</w:t>
            </w:r>
            <w:r>
              <w:rPr>
                <w:rFonts w:hint="eastAsia" w:ascii="仿宋_GB2312" w:hAnsi="仿宋_GB2312" w:eastAsia="仿宋_GB2312" w:cs="仿宋_GB2312"/>
                <w:color w:val="000000"/>
                <w:sz w:val="20"/>
                <w:szCs w:val="20"/>
                <w:highlight w:val="none"/>
              </w:rPr>
              <w:t>一般公共预算：</w:t>
            </w:r>
            <w:r>
              <w:rPr>
                <w:rFonts w:hint="eastAsia" w:ascii="仿宋_GB2312" w:hAnsi="仿宋_GB2312" w:eastAsia="仿宋_GB2312" w:cs="仿宋_GB2312"/>
                <w:color w:val="auto"/>
                <w:sz w:val="20"/>
                <w:szCs w:val="20"/>
                <w:highlight w:val="none"/>
                <w:lang w:val="en-US" w:eastAsia="zh-CN"/>
              </w:rPr>
              <w:t>8226.15</w:t>
            </w:r>
          </w:p>
        </w:tc>
        <w:tc>
          <w:tcPr>
            <w:tcW w:w="4311" w:type="dxa"/>
            <w:gridSpan w:val="4"/>
            <w:noWrap w:val="0"/>
            <w:vAlign w:val="center"/>
          </w:tcPr>
          <w:p w14:paraId="5278FBAE">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其中：基本支出：</w:t>
            </w:r>
            <w:r>
              <w:rPr>
                <w:rFonts w:hint="eastAsia" w:ascii="仿宋_GB2312" w:hAnsi="仿宋_GB2312" w:eastAsia="仿宋_GB2312" w:cs="仿宋_GB2312"/>
                <w:color w:val="000000"/>
                <w:sz w:val="20"/>
                <w:szCs w:val="20"/>
                <w:highlight w:val="none"/>
                <w:lang w:val="en-US" w:eastAsia="zh-CN"/>
              </w:rPr>
              <w:t>7576.24</w:t>
            </w:r>
          </w:p>
        </w:tc>
      </w:tr>
      <w:tr w14:paraId="1DFC9D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60" w:type="dxa"/>
            <w:vMerge w:val="continue"/>
            <w:noWrap w:val="0"/>
            <w:vAlign w:val="center"/>
          </w:tcPr>
          <w:p w14:paraId="0CC833CF">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p>
        </w:tc>
        <w:tc>
          <w:tcPr>
            <w:tcW w:w="4708" w:type="dxa"/>
            <w:gridSpan w:val="4"/>
            <w:noWrap w:val="0"/>
            <w:vAlign w:val="center"/>
          </w:tcPr>
          <w:p w14:paraId="682F7FCC">
            <w:pPr>
              <w:keepNext w:val="0"/>
              <w:keepLines w:val="0"/>
              <w:pageBreakBefore w:val="0"/>
              <w:widowControl/>
              <w:kinsoku/>
              <w:wordWrap/>
              <w:overflowPunct/>
              <w:topLinePunct w:val="0"/>
              <w:autoSpaceDE/>
              <w:autoSpaceDN/>
              <w:bidi w:val="0"/>
              <w:adjustRightInd/>
              <w:snapToGrid/>
              <w:spacing w:line="240" w:lineRule="exact"/>
              <w:ind w:firstLine="1200" w:firstLineChars="600"/>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政府性基金拨款：</w:t>
            </w:r>
          </w:p>
        </w:tc>
        <w:tc>
          <w:tcPr>
            <w:tcW w:w="4311" w:type="dxa"/>
            <w:gridSpan w:val="4"/>
            <w:noWrap w:val="0"/>
            <w:vAlign w:val="center"/>
          </w:tcPr>
          <w:p w14:paraId="13A8F042">
            <w:pPr>
              <w:keepNext w:val="0"/>
              <w:keepLines w:val="0"/>
              <w:pageBreakBefore w:val="0"/>
              <w:widowControl/>
              <w:kinsoku/>
              <w:wordWrap/>
              <w:overflowPunct/>
              <w:topLinePunct w:val="0"/>
              <w:autoSpaceDE/>
              <w:autoSpaceDN/>
              <w:bidi w:val="0"/>
              <w:adjustRightInd/>
              <w:snapToGrid/>
              <w:spacing w:line="240" w:lineRule="exact"/>
              <w:ind w:firstLine="600" w:firstLineChars="300"/>
              <w:jc w:val="left"/>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项目支出：</w:t>
            </w:r>
            <w:r>
              <w:rPr>
                <w:rFonts w:hint="eastAsia" w:ascii="仿宋_GB2312" w:hAnsi="仿宋_GB2312" w:eastAsia="仿宋_GB2312" w:cs="仿宋_GB2312"/>
                <w:color w:val="000000"/>
                <w:sz w:val="20"/>
                <w:szCs w:val="20"/>
                <w:highlight w:val="none"/>
                <w:lang w:val="en-US" w:eastAsia="zh-CN"/>
              </w:rPr>
              <w:t>358.41</w:t>
            </w:r>
          </w:p>
        </w:tc>
      </w:tr>
      <w:tr w14:paraId="6AEA5E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jc w:val="center"/>
        </w:trPr>
        <w:tc>
          <w:tcPr>
            <w:tcW w:w="1060" w:type="dxa"/>
            <w:vMerge w:val="continue"/>
            <w:noWrap w:val="0"/>
            <w:vAlign w:val="center"/>
          </w:tcPr>
          <w:p w14:paraId="71714EF0">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p>
        </w:tc>
        <w:tc>
          <w:tcPr>
            <w:tcW w:w="4708" w:type="dxa"/>
            <w:gridSpan w:val="4"/>
            <w:noWrap w:val="0"/>
            <w:vAlign w:val="center"/>
          </w:tcPr>
          <w:p w14:paraId="49CCFC5A">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纳入专户管理的非税收入拨款：</w:t>
            </w:r>
          </w:p>
        </w:tc>
        <w:tc>
          <w:tcPr>
            <w:tcW w:w="4311" w:type="dxa"/>
            <w:gridSpan w:val="4"/>
            <w:noWrap w:val="0"/>
            <w:vAlign w:val="center"/>
          </w:tcPr>
          <w:p w14:paraId="12854DA1">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p>
        </w:tc>
      </w:tr>
      <w:tr w14:paraId="2C245C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060" w:type="dxa"/>
            <w:vMerge w:val="continue"/>
            <w:noWrap w:val="0"/>
            <w:vAlign w:val="center"/>
          </w:tcPr>
          <w:p w14:paraId="29905E53">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p>
        </w:tc>
        <w:tc>
          <w:tcPr>
            <w:tcW w:w="4708" w:type="dxa"/>
            <w:gridSpan w:val="4"/>
            <w:noWrap w:val="0"/>
            <w:vAlign w:val="center"/>
          </w:tcPr>
          <w:p w14:paraId="2AE2A85A">
            <w:pPr>
              <w:keepNext w:val="0"/>
              <w:keepLines w:val="0"/>
              <w:pageBreakBefore w:val="0"/>
              <w:widowControl/>
              <w:kinsoku/>
              <w:wordWrap/>
              <w:overflowPunct/>
              <w:topLinePunct w:val="0"/>
              <w:autoSpaceDE/>
              <w:autoSpaceDN/>
              <w:bidi w:val="0"/>
              <w:adjustRightInd/>
              <w:snapToGrid/>
              <w:spacing w:line="240" w:lineRule="exact"/>
              <w:ind w:firstLine="1800" w:firstLineChars="900"/>
              <w:jc w:val="left"/>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其他资金：</w:t>
            </w:r>
            <w:r>
              <w:rPr>
                <w:rFonts w:hint="eastAsia" w:ascii="仿宋_GB2312" w:hAnsi="仿宋_GB2312" w:eastAsia="仿宋_GB2312" w:cs="仿宋_GB2312"/>
                <w:color w:val="000000"/>
                <w:sz w:val="20"/>
                <w:szCs w:val="20"/>
                <w:highlight w:val="none"/>
                <w:lang w:val="en-US" w:eastAsia="zh-CN"/>
              </w:rPr>
              <w:t>62.65</w:t>
            </w:r>
          </w:p>
        </w:tc>
        <w:tc>
          <w:tcPr>
            <w:tcW w:w="4311" w:type="dxa"/>
            <w:gridSpan w:val="4"/>
            <w:noWrap w:val="0"/>
            <w:vAlign w:val="center"/>
          </w:tcPr>
          <w:p w14:paraId="5AD6EA04">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p>
        </w:tc>
      </w:tr>
      <w:tr w14:paraId="445D31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60" w:type="dxa"/>
            <w:vMerge w:val="restart"/>
            <w:noWrap w:val="0"/>
            <w:vAlign w:val="center"/>
          </w:tcPr>
          <w:p w14:paraId="7CB7DCE6">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年度总体目标</w:t>
            </w:r>
          </w:p>
        </w:tc>
        <w:tc>
          <w:tcPr>
            <w:tcW w:w="4708" w:type="dxa"/>
            <w:gridSpan w:val="4"/>
            <w:noWrap w:val="0"/>
            <w:vAlign w:val="center"/>
          </w:tcPr>
          <w:p w14:paraId="31B35B54">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预期目标</w:t>
            </w:r>
          </w:p>
        </w:tc>
        <w:tc>
          <w:tcPr>
            <w:tcW w:w="4311" w:type="dxa"/>
            <w:gridSpan w:val="4"/>
            <w:noWrap w:val="0"/>
            <w:vAlign w:val="center"/>
          </w:tcPr>
          <w:p w14:paraId="3EC77FEA">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实际完成情况　</w:t>
            </w:r>
          </w:p>
        </w:tc>
      </w:tr>
      <w:tr w14:paraId="02BF86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60" w:type="dxa"/>
            <w:vMerge w:val="continue"/>
            <w:noWrap w:val="0"/>
            <w:vAlign w:val="center"/>
          </w:tcPr>
          <w:p w14:paraId="61BA3E8C">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p>
        </w:tc>
        <w:tc>
          <w:tcPr>
            <w:tcW w:w="4708" w:type="dxa"/>
            <w:gridSpan w:val="4"/>
            <w:noWrap w:val="0"/>
            <w:vAlign w:val="center"/>
          </w:tcPr>
          <w:p w14:paraId="08E819C2">
            <w:pPr>
              <w:keepNext w:val="0"/>
              <w:keepLines w:val="0"/>
              <w:pageBreakBefore w:val="0"/>
              <w:widowControl w:val="0"/>
              <w:kinsoku/>
              <w:wordWrap/>
              <w:overflowPunct/>
              <w:topLinePunct w:val="0"/>
              <w:autoSpaceDE/>
              <w:autoSpaceDN/>
              <w:bidi w:val="0"/>
              <w:adjustRightInd/>
              <w:snapToGrid/>
              <w:spacing w:line="280" w:lineRule="exact"/>
              <w:ind w:firstLine="400" w:firstLineChars="200"/>
              <w:jc w:val="both"/>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val="en-US" w:eastAsia="zh-CN"/>
              </w:rPr>
              <w:t>1、成本指标：年支出金额控制在预算成本之内；2、产出指标：行政执法程序合法、依据合理，以事实为依据，以法律为准绳；及时处理违规行为，强化行政管理，案件办理达40起；按照计划和进度完成全年工作； 3、效益指标：依法行政、文明执法，管理和服务相结合，提升执法形象；确保市容秩序，为我市经济发展打下坚实基础，完成非税收入征收计划；加强常态化管理，确保市容秩序整洁、城区环境优美；4、满意度指标：公众对城管执法工作满意度高于95%。</w:t>
            </w:r>
          </w:p>
        </w:tc>
        <w:tc>
          <w:tcPr>
            <w:tcW w:w="4311" w:type="dxa"/>
            <w:gridSpan w:val="4"/>
            <w:noWrap w:val="0"/>
            <w:vAlign w:val="center"/>
          </w:tcPr>
          <w:p w14:paraId="251263E3">
            <w:pPr>
              <w:keepNext w:val="0"/>
              <w:keepLines w:val="0"/>
              <w:pageBreakBefore w:val="0"/>
              <w:widowControl/>
              <w:numPr>
                <w:ilvl w:val="0"/>
                <w:numId w:val="0"/>
              </w:numPr>
              <w:kinsoku/>
              <w:wordWrap/>
              <w:overflowPunct/>
              <w:topLinePunct w:val="0"/>
              <w:autoSpaceDE/>
              <w:autoSpaceDN/>
              <w:bidi w:val="0"/>
              <w:adjustRightInd/>
              <w:snapToGrid/>
              <w:spacing w:line="280" w:lineRule="exact"/>
              <w:ind w:firstLine="400" w:firstLineChars="200"/>
              <w:jc w:val="left"/>
              <w:textAlignment w:val="auto"/>
              <w:rPr>
                <w:rFonts w:hint="eastAsia" w:ascii="仿宋_GB2312" w:hAnsi="仿宋_GB2312" w:eastAsia="仿宋_GB2312" w:cs="仿宋_GB2312"/>
                <w:sz w:val="20"/>
                <w:szCs w:val="20"/>
                <w:lang w:eastAsia="zh-CN"/>
              </w:rPr>
            </w:pPr>
            <w:r>
              <w:rPr>
                <w:rFonts w:hint="eastAsia" w:ascii="仿宋_GB2312" w:hAnsi="仿宋_GB2312" w:eastAsia="仿宋_GB2312" w:cs="仿宋_GB2312"/>
                <w:color w:val="000000"/>
                <w:sz w:val="20"/>
                <w:szCs w:val="20"/>
                <w:lang w:val="en-US" w:eastAsia="zh-CN"/>
              </w:rPr>
              <w:t>1、</w:t>
            </w:r>
            <w:r>
              <w:rPr>
                <w:rFonts w:hint="eastAsia" w:ascii="仿宋_GB2312" w:hAnsi="仿宋_GB2312" w:eastAsia="仿宋_GB2312" w:cs="仿宋_GB2312"/>
                <w:sz w:val="20"/>
                <w:szCs w:val="20"/>
                <w:lang w:eastAsia="zh-CN"/>
              </w:rPr>
              <w:t>贯彻执行国家有关城市管理方面的法律法规、规章</w:t>
            </w:r>
            <w:r>
              <w:rPr>
                <w:rFonts w:hint="eastAsia" w:ascii="仿宋_GB2312" w:hAnsi="仿宋_GB2312" w:eastAsia="仿宋_GB2312" w:cs="仿宋_GB2312"/>
                <w:sz w:val="20"/>
                <w:szCs w:val="20"/>
                <w:lang w:val="en-US" w:eastAsia="zh-CN"/>
              </w:rPr>
              <w:t>等</w:t>
            </w:r>
            <w:r>
              <w:rPr>
                <w:rFonts w:hint="eastAsia" w:ascii="仿宋_GB2312" w:hAnsi="仿宋_GB2312" w:eastAsia="仿宋_GB2312" w:cs="仿宋_GB2312"/>
                <w:sz w:val="20"/>
                <w:szCs w:val="20"/>
                <w:lang w:eastAsia="zh-CN"/>
              </w:rPr>
              <w:t>政策规定</w:t>
            </w:r>
            <w:r>
              <w:rPr>
                <w:rFonts w:hint="eastAsia" w:ascii="仿宋_GB2312" w:hAnsi="仿宋_GB2312" w:eastAsia="仿宋_GB2312" w:cs="仿宋_GB2312"/>
                <w:sz w:val="20"/>
                <w:szCs w:val="20"/>
                <w:lang w:val="en-US" w:eastAsia="zh-CN"/>
              </w:rPr>
              <w:t>效果良好，</w:t>
            </w:r>
            <w:r>
              <w:rPr>
                <w:rFonts w:hint="eastAsia" w:ascii="仿宋_GB2312" w:hAnsi="仿宋_GB2312" w:eastAsia="仿宋_GB2312" w:cs="仿宋_GB2312"/>
                <w:color w:val="000000"/>
                <w:sz w:val="20"/>
                <w:szCs w:val="20"/>
                <w:highlight w:val="none"/>
                <w:lang w:eastAsia="zh-CN"/>
              </w:rPr>
              <w:t>行政执法程序合法合规，以事实为依据，以法律为准绳，全年无法律纠纷</w:t>
            </w:r>
            <w:r>
              <w:rPr>
                <w:rFonts w:hint="eastAsia" w:ascii="仿宋_GB2312" w:hAnsi="仿宋_GB2312" w:eastAsia="仿宋_GB2312" w:cs="仿宋_GB2312"/>
                <w:color w:val="000000"/>
                <w:sz w:val="20"/>
                <w:szCs w:val="20"/>
                <w:highlight w:val="none"/>
              </w:rPr>
              <w:t>；</w:t>
            </w:r>
          </w:p>
          <w:p w14:paraId="6365F6AC">
            <w:pPr>
              <w:keepNext w:val="0"/>
              <w:keepLines w:val="0"/>
              <w:pageBreakBefore w:val="0"/>
              <w:kinsoku/>
              <w:wordWrap/>
              <w:overflowPunct/>
              <w:topLinePunct w:val="0"/>
              <w:autoSpaceDE/>
              <w:autoSpaceDN/>
              <w:bidi w:val="0"/>
              <w:adjustRightInd/>
              <w:snapToGrid/>
              <w:spacing w:line="280" w:lineRule="exact"/>
              <w:ind w:firstLine="400" w:firstLineChars="200"/>
              <w:textAlignment w:val="auto"/>
              <w:rPr>
                <w:rFonts w:hint="eastAsia" w:ascii="仿宋_GB2312" w:hAnsi="仿宋_GB2312" w:eastAsia="仿宋_GB2312" w:cs="仿宋_GB2312"/>
                <w:sz w:val="20"/>
                <w:szCs w:val="20"/>
              </w:rPr>
            </w:pPr>
            <w:r>
              <w:rPr>
                <w:rFonts w:hint="eastAsia" w:ascii="仿宋_GB2312" w:hAnsi="仿宋_GB2312" w:eastAsia="仿宋_GB2312" w:cs="仿宋_GB2312"/>
                <w:color w:val="000000"/>
                <w:sz w:val="20"/>
                <w:szCs w:val="20"/>
                <w:lang w:val="en-US" w:eastAsia="zh-CN"/>
              </w:rPr>
              <w:t>2、依法行使</w:t>
            </w:r>
            <w:r>
              <w:rPr>
                <w:rFonts w:hint="eastAsia" w:ascii="仿宋_GB2312" w:hAnsi="仿宋_GB2312" w:eastAsia="仿宋_GB2312" w:cs="仿宋_GB2312"/>
                <w:color w:val="000000"/>
                <w:sz w:val="20"/>
                <w:szCs w:val="20"/>
                <w:highlight w:val="none"/>
              </w:rPr>
              <w:t>市本级管理权限范围内</w:t>
            </w:r>
            <w:r>
              <w:rPr>
                <w:rFonts w:hint="eastAsia" w:ascii="仿宋_GB2312" w:hAnsi="仿宋_GB2312" w:eastAsia="仿宋_GB2312" w:cs="仿宋_GB2312"/>
                <w:color w:val="000000"/>
                <w:sz w:val="20"/>
                <w:szCs w:val="20"/>
                <w:highlight w:val="none"/>
                <w:lang w:eastAsia="zh-CN"/>
              </w:rPr>
              <w:t>，</w:t>
            </w:r>
            <w:r>
              <w:rPr>
                <w:rFonts w:hint="eastAsia" w:ascii="仿宋_GB2312" w:hAnsi="仿宋_GB2312" w:eastAsia="仿宋_GB2312" w:cs="仿宋_GB2312"/>
                <w:color w:val="000000"/>
                <w:sz w:val="20"/>
                <w:szCs w:val="20"/>
                <w:highlight w:val="none"/>
              </w:rPr>
              <w:t>城市管理方面的行政处罚权及相应的行政强制权</w:t>
            </w:r>
            <w:r>
              <w:rPr>
                <w:rFonts w:hint="eastAsia" w:ascii="仿宋_GB2312" w:hAnsi="仿宋_GB2312" w:eastAsia="仿宋_GB2312" w:cs="仿宋_GB2312"/>
                <w:color w:val="000000"/>
                <w:sz w:val="20"/>
                <w:szCs w:val="20"/>
                <w:highlight w:val="none"/>
                <w:lang w:eastAsia="zh-CN"/>
              </w:rPr>
              <w:t>，违规行为得到及时处置</w:t>
            </w:r>
            <w:r>
              <w:rPr>
                <w:rFonts w:hint="eastAsia" w:ascii="仿宋_GB2312" w:hAnsi="仿宋_GB2312" w:eastAsia="仿宋_GB2312" w:cs="仿宋_GB2312"/>
                <w:sz w:val="20"/>
                <w:szCs w:val="20"/>
                <w:lang w:eastAsia="zh-CN"/>
              </w:rPr>
              <w:t>，</w:t>
            </w:r>
            <w:r>
              <w:rPr>
                <w:rFonts w:hint="eastAsia" w:ascii="仿宋_GB2312" w:hAnsi="仿宋_GB2312" w:eastAsia="仿宋_GB2312" w:cs="仿宋_GB2312"/>
                <w:sz w:val="20"/>
                <w:szCs w:val="20"/>
                <w:lang w:val="en-US" w:eastAsia="zh-CN"/>
              </w:rPr>
              <w:t>执法合法合规，效果良好</w:t>
            </w:r>
            <w:r>
              <w:rPr>
                <w:rFonts w:hint="eastAsia" w:ascii="仿宋_GB2312" w:hAnsi="仿宋_GB2312" w:eastAsia="仿宋_GB2312" w:cs="仿宋_GB2312"/>
                <w:sz w:val="20"/>
                <w:szCs w:val="20"/>
                <w:lang w:eastAsia="zh-CN"/>
              </w:rPr>
              <w:t>；</w:t>
            </w:r>
          </w:p>
          <w:p w14:paraId="48136C3A">
            <w:pPr>
              <w:keepNext w:val="0"/>
              <w:keepLines w:val="0"/>
              <w:pageBreakBefore w:val="0"/>
              <w:widowControl/>
              <w:numPr>
                <w:ilvl w:val="0"/>
                <w:numId w:val="0"/>
              </w:numPr>
              <w:kinsoku/>
              <w:wordWrap/>
              <w:overflowPunct/>
              <w:topLinePunct w:val="0"/>
              <w:autoSpaceDE/>
              <w:autoSpaceDN/>
              <w:bidi w:val="0"/>
              <w:adjustRightInd/>
              <w:snapToGrid/>
              <w:spacing w:line="280" w:lineRule="exact"/>
              <w:ind w:leftChars="0" w:firstLine="400" w:firstLineChars="200"/>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lang w:val="en-US" w:eastAsia="zh-CN"/>
              </w:rPr>
              <w:t>3、进一步规范了</w:t>
            </w:r>
            <w:r>
              <w:rPr>
                <w:rFonts w:hint="eastAsia" w:ascii="仿宋_GB2312" w:hAnsi="仿宋_GB2312" w:eastAsia="仿宋_GB2312" w:cs="仿宋_GB2312"/>
                <w:color w:val="000000"/>
                <w:sz w:val="20"/>
                <w:szCs w:val="20"/>
                <w:highlight w:val="none"/>
                <w:lang w:eastAsia="zh-CN"/>
              </w:rPr>
              <w:t>行政执法程序和流程，管理和服务相结合，公众对城管执法工作认可度显著提升；</w:t>
            </w:r>
          </w:p>
          <w:p w14:paraId="14095442">
            <w:pPr>
              <w:keepNext w:val="0"/>
              <w:keepLines w:val="0"/>
              <w:pageBreakBefore w:val="0"/>
              <w:widowControl/>
              <w:numPr>
                <w:ilvl w:val="0"/>
                <w:numId w:val="0"/>
              </w:numPr>
              <w:kinsoku/>
              <w:wordWrap/>
              <w:overflowPunct/>
              <w:topLinePunct w:val="0"/>
              <w:autoSpaceDE/>
              <w:autoSpaceDN/>
              <w:bidi w:val="0"/>
              <w:adjustRightInd/>
              <w:snapToGrid/>
              <w:spacing w:line="280" w:lineRule="exact"/>
              <w:ind w:firstLine="400" w:firstLineChars="200"/>
              <w:jc w:val="left"/>
              <w:textAlignment w:val="auto"/>
              <w:rPr>
                <w:rFonts w:hint="eastAsia" w:ascii="仿宋_GB2312" w:hAnsi="仿宋_GB2312" w:eastAsia="仿宋_GB2312" w:cs="仿宋_GB2312"/>
                <w:kern w:val="0"/>
                <w:sz w:val="20"/>
                <w:szCs w:val="20"/>
                <w:lang w:val="en-US" w:eastAsia="zh-CN" w:bidi="ar-SA"/>
              </w:rPr>
            </w:pPr>
            <w:r>
              <w:rPr>
                <w:rFonts w:hint="eastAsia" w:ascii="仿宋_GB2312" w:hAnsi="仿宋_GB2312" w:eastAsia="仿宋_GB2312" w:cs="仿宋_GB2312"/>
                <w:color w:val="000000"/>
                <w:kern w:val="0"/>
                <w:sz w:val="20"/>
                <w:szCs w:val="20"/>
                <w:lang w:val="en-US" w:eastAsia="zh-CN" w:bidi="ar-SA"/>
              </w:rPr>
              <w:t>4、</w:t>
            </w:r>
            <w:r>
              <w:rPr>
                <w:rFonts w:hint="eastAsia" w:ascii="仿宋_GB2312" w:hAnsi="仿宋_GB2312" w:eastAsia="仿宋_GB2312" w:cs="仿宋_GB2312"/>
                <w:color w:val="000000"/>
                <w:kern w:val="0"/>
                <w:sz w:val="20"/>
                <w:szCs w:val="20"/>
                <w:highlight w:val="none"/>
                <w:lang w:val="en-US" w:eastAsia="zh-CN" w:bidi="ar-SA"/>
              </w:rPr>
              <w:t>加强了</w:t>
            </w:r>
            <w:r>
              <w:rPr>
                <w:rFonts w:hint="eastAsia" w:ascii="仿宋_GB2312" w:hAnsi="仿宋_GB2312" w:eastAsia="仿宋_GB2312" w:cs="仿宋_GB2312"/>
                <w:kern w:val="0"/>
                <w:sz w:val="20"/>
                <w:szCs w:val="20"/>
                <w:lang w:val="en-US" w:eastAsia="zh-CN" w:bidi="ar-SA"/>
              </w:rPr>
              <w:t>市本级管理权限范围内建筑施工场地噪音污染、扬尘污染等生态环境保护和</w:t>
            </w:r>
            <w:r>
              <w:rPr>
                <w:rFonts w:hint="eastAsia" w:ascii="仿宋_GB2312" w:hAnsi="仿宋_GB2312" w:eastAsia="仿宋_GB2312" w:cs="仿宋_GB2312"/>
                <w:color w:val="000000"/>
                <w:kern w:val="0"/>
                <w:sz w:val="20"/>
                <w:szCs w:val="20"/>
                <w:highlight w:val="none"/>
                <w:lang w:val="en-US" w:eastAsia="zh-CN" w:bidi="ar-SA"/>
              </w:rPr>
              <w:t>市容秩序</w:t>
            </w:r>
            <w:r>
              <w:rPr>
                <w:rFonts w:hint="eastAsia" w:ascii="仿宋_GB2312" w:hAnsi="仿宋_GB2312" w:eastAsia="仿宋_GB2312" w:cs="仿宋_GB2312"/>
                <w:kern w:val="0"/>
                <w:sz w:val="20"/>
                <w:szCs w:val="20"/>
                <w:lang w:val="en-US" w:eastAsia="zh-CN" w:bidi="ar-SA"/>
              </w:rPr>
              <w:t>方面的</w:t>
            </w:r>
            <w:r>
              <w:rPr>
                <w:rFonts w:hint="eastAsia" w:ascii="仿宋_GB2312" w:hAnsi="仿宋_GB2312" w:eastAsia="仿宋_GB2312" w:cs="仿宋_GB2312"/>
                <w:color w:val="000000"/>
                <w:kern w:val="0"/>
                <w:sz w:val="20"/>
                <w:szCs w:val="20"/>
                <w:highlight w:val="none"/>
                <w:lang w:val="en-US" w:eastAsia="zh-CN" w:bidi="ar-SA"/>
              </w:rPr>
              <w:t>常态化管理，为我市打造名副其实的省域副中心城市创造了良好的市容管理秩序</w:t>
            </w:r>
            <w:r>
              <w:rPr>
                <w:rFonts w:hint="eastAsia" w:ascii="仿宋_GB2312" w:hAnsi="仿宋_GB2312" w:eastAsia="仿宋_GB2312" w:cs="仿宋_GB2312"/>
                <w:kern w:val="0"/>
                <w:sz w:val="20"/>
                <w:szCs w:val="20"/>
                <w:lang w:val="en-US" w:eastAsia="zh-CN" w:bidi="ar-SA"/>
              </w:rPr>
              <w:t>；</w:t>
            </w:r>
          </w:p>
          <w:p w14:paraId="2CE65D93">
            <w:pPr>
              <w:keepNext w:val="0"/>
              <w:keepLines w:val="0"/>
              <w:pageBreakBefore w:val="0"/>
              <w:widowControl/>
              <w:numPr>
                <w:ilvl w:val="0"/>
                <w:numId w:val="0"/>
              </w:numPr>
              <w:kinsoku/>
              <w:wordWrap/>
              <w:overflowPunct/>
              <w:topLinePunct w:val="0"/>
              <w:autoSpaceDE/>
              <w:autoSpaceDN/>
              <w:bidi w:val="0"/>
              <w:adjustRightInd/>
              <w:snapToGrid/>
              <w:spacing w:line="280" w:lineRule="exact"/>
              <w:ind w:firstLine="400" w:firstLineChars="200"/>
              <w:jc w:val="left"/>
              <w:textAlignment w:val="auto"/>
              <w:rPr>
                <w:rFonts w:hint="eastAsia" w:ascii="仿宋_GB2312" w:hAnsi="仿宋_GB2312" w:eastAsia="仿宋_GB2312" w:cs="仿宋_GB2312"/>
                <w:color w:val="000000"/>
                <w:kern w:val="0"/>
                <w:sz w:val="20"/>
                <w:szCs w:val="20"/>
                <w:highlight w:val="none"/>
                <w:lang w:val="en-US" w:eastAsia="zh-CN" w:bidi="ar-SA"/>
              </w:rPr>
            </w:pPr>
            <w:r>
              <w:rPr>
                <w:rFonts w:hint="eastAsia" w:ascii="仿宋_GB2312" w:hAnsi="仿宋_GB2312" w:eastAsia="仿宋_GB2312" w:cs="仿宋_GB2312"/>
                <w:color w:val="000000"/>
                <w:kern w:val="0"/>
                <w:sz w:val="20"/>
                <w:szCs w:val="20"/>
                <w:lang w:val="en-US" w:eastAsia="zh-CN" w:bidi="ar-SA"/>
              </w:rPr>
              <w:t>5、</w:t>
            </w:r>
            <w:r>
              <w:rPr>
                <w:rFonts w:hint="eastAsia" w:ascii="仿宋_GB2312" w:hAnsi="仿宋_GB2312" w:eastAsia="仿宋_GB2312" w:cs="仿宋_GB2312"/>
                <w:color w:val="000000"/>
                <w:kern w:val="0"/>
                <w:sz w:val="20"/>
                <w:szCs w:val="20"/>
                <w:highlight w:val="none"/>
                <w:lang w:val="en-US" w:eastAsia="zh-CN" w:bidi="ar-SA"/>
              </w:rPr>
              <w:t>如期高质量圆满完成了</w:t>
            </w:r>
            <w:r>
              <w:rPr>
                <w:rFonts w:hint="eastAsia" w:ascii="仿宋_GB2312" w:hAnsi="仿宋_GB2312" w:eastAsia="仿宋_GB2312" w:cs="仿宋_GB2312"/>
                <w:color w:val="000000"/>
                <w:kern w:val="0"/>
                <w:sz w:val="20"/>
                <w:szCs w:val="20"/>
                <w:lang w:val="en-US" w:eastAsia="zh-CN" w:bidi="ar-SA"/>
              </w:rPr>
              <w:t>年度各项工作</w:t>
            </w:r>
            <w:r>
              <w:rPr>
                <w:rFonts w:hint="eastAsia" w:ascii="仿宋_GB2312" w:hAnsi="仿宋_GB2312" w:eastAsia="仿宋_GB2312" w:cs="仿宋_GB2312"/>
                <w:color w:val="000000"/>
                <w:kern w:val="0"/>
                <w:sz w:val="20"/>
                <w:szCs w:val="20"/>
                <w:highlight w:val="none"/>
                <w:lang w:val="en-US" w:eastAsia="zh-CN" w:bidi="ar-SA"/>
              </w:rPr>
              <w:t>任务。</w:t>
            </w:r>
          </w:p>
        </w:tc>
      </w:tr>
      <w:tr w14:paraId="078673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60" w:type="dxa"/>
            <w:vMerge w:val="restart"/>
            <w:noWrap w:val="0"/>
            <w:vAlign w:val="center"/>
          </w:tcPr>
          <w:p w14:paraId="361344A4">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绩</w:t>
            </w:r>
          </w:p>
          <w:p w14:paraId="48747813">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效</w:t>
            </w:r>
          </w:p>
          <w:p w14:paraId="315E1853">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指</w:t>
            </w:r>
          </w:p>
          <w:p w14:paraId="7393CFD9">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标</w:t>
            </w:r>
          </w:p>
          <w:p w14:paraId="0204BEFD">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sz w:val="20"/>
                <w:szCs w:val="20"/>
                <w:highlight w:val="none"/>
              </w:rPr>
            </w:pPr>
          </w:p>
        </w:tc>
        <w:tc>
          <w:tcPr>
            <w:tcW w:w="1062" w:type="dxa"/>
            <w:noWrap w:val="0"/>
            <w:vAlign w:val="center"/>
          </w:tcPr>
          <w:p w14:paraId="25A5A255">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一级指标</w:t>
            </w:r>
          </w:p>
        </w:tc>
        <w:tc>
          <w:tcPr>
            <w:tcW w:w="1010" w:type="dxa"/>
            <w:noWrap w:val="0"/>
            <w:vAlign w:val="center"/>
          </w:tcPr>
          <w:p w14:paraId="106E2E75">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二级指标</w:t>
            </w:r>
          </w:p>
        </w:tc>
        <w:tc>
          <w:tcPr>
            <w:tcW w:w="1346" w:type="dxa"/>
            <w:noWrap w:val="0"/>
            <w:vAlign w:val="center"/>
          </w:tcPr>
          <w:p w14:paraId="2DA76D9D">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三级指标</w:t>
            </w:r>
          </w:p>
        </w:tc>
        <w:tc>
          <w:tcPr>
            <w:tcW w:w="1290" w:type="dxa"/>
            <w:noWrap w:val="0"/>
            <w:vAlign w:val="center"/>
          </w:tcPr>
          <w:p w14:paraId="1EBB55C6">
            <w:pPr>
              <w:keepNext w:val="0"/>
              <w:keepLines w:val="0"/>
              <w:pageBreakBefore w:val="0"/>
              <w:widowControl/>
              <w:kinsoku/>
              <w:wordWrap/>
              <w:overflowPunct/>
              <w:topLinePunct w:val="0"/>
              <w:autoSpaceDE/>
              <w:autoSpaceDN/>
              <w:bidi w:val="0"/>
              <w:adjustRightInd/>
              <w:snapToGrid/>
              <w:spacing w:line="240" w:lineRule="exact"/>
              <w:jc w:val="both"/>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年度指标值</w:t>
            </w:r>
          </w:p>
        </w:tc>
        <w:tc>
          <w:tcPr>
            <w:tcW w:w="1275" w:type="dxa"/>
            <w:noWrap w:val="0"/>
            <w:vAlign w:val="center"/>
          </w:tcPr>
          <w:p w14:paraId="12C8E681">
            <w:pPr>
              <w:keepNext w:val="0"/>
              <w:keepLines w:val="0"/>
              <w:pageBreakBefore w:val="0"/>
              <w:widowControl/>
              <w:kinsoku/>
              <w:wordWrap/>
              <w:overflowPunct/>
              <w:topLinePunct w:val="0"/>
              <w:autoSpaceDE/>
              <w:autoSpaceDN/>
              <w:bidi w:val="0"/>
              <w:adjustRightInd/>
              <w:snapToGrid/>
              <w:spacing w:line="240" w:lineRule="exac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实际完成值</w:t>
            </w:r>
          </w:p>
        </w:tc>
        <w:tc>
          <w:tcPr>
            <w:tcW w:w="780" w:type="dxa"/>
            <w:noWrap w:val="0"/>
            <w:vAlign w:val="center"/>
          </w:tcPr>
          <w:p w14:paraId="0D01C4E7">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分值</w:t>
            </w:r>
          </w:p>
        </w:tc>
        <w:tc>
          <w:tcPr>
            <w:tcW w:w="825" w:type="dxa"/>
            <w:noWrap w:val="0"/>
            <w:vAlign w:val="center"/>
          </w:tcPr>
          <w:p w14:paraId="25B5A3A7">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得分</w:t>
            </w:r>
          </w:p>
        </w:tc>
        <w:tc>
          <w:tcPr>
            <w:tcW w:w="1431" w:type="dxa"/>
            <w:noWrap w:val="0"/>
            <w:vAlign w:val="center"/>
          </w:tcPr>
          <w:p w14:paraId="2AAE792C">
            <w:pPr>
              <w:keepNext w:val="0"/>
              <w:keepLines w:val="0"/>
              <w:pageBreakBefore w:val="0"/>
              <w:widowControl/>
              <w:kinsoku/>
              <w:wordWrap/>
              <w:overflowPunct/>
              <w:topLinePunct w:val="0"/>
              <w:autoSpaceDE/>
              <w:autoSpaceDN/>
              <w:bidi w:val="0"/>
              <w:adjustRightInd/>
              <w:snapToGrid/>
              <w:spacing w:line="240" w:lineRule="exact"/>
              <w:jc w:val="both"/>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偏差原因分析及改进措施</w:t>
            </w:r>
          </w:p>
        </w:tc>
      </w:tr>
      <w:tr w14:paraId="49FC05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60" w:type="dxa"/>
            <w:vMerge w:val="continue"/>
            <w:noWrap w:val="0"/>
            <w:vAlign w:val="center"/>
          </w:tcPr>
          <w:p w14:paraId="47FC682E">
            <w:pPr>
              <w:keepNext w:val="0"/>
              <w:keepLines w:val="0"/>
              <w:pageBreakBefore w:val="0"/>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p>
        </w:tc>
        <w:tc>
          <w:tcPr>
            <w:tcW w:w="1062" w:type="dxa"/>
            <w:vMerge w:val="restart"/>
            <w:noWrap w:val="0"/>
            <w:vAlign w:val="center"/>
          </w:tcPr>
          <w:p w14:paraId="6FF39EFF">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产出指标</w:t>
            </w:r>
          </w:p>
          <w:p w14:paraId="13E4F7F5">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sz w:val="20"/>
                <w:szCs w:val="20"/>
                <w:highlight w:val="none"/>
              </w:rPr>
            </w:pPr>
          </w:p>
          <w:p w14:paraId="0CCB37FB">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(50分)</w:t>
            </w:r>
          </w:p>
        </w:tc>
        <w:tc>
          <w:tcPr>
            <w:tcW w:w="1010" w:type="dxa"/>
            <w:vMerge w:val="restart"/>
            <w:noWrap w:val="0"/>
            <w:vAlign w:val="center"/>
          </w:tcPr>
          <w:p w14:paraId="347F737B">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数量指标</w:t>
            </w:r>
          </w:p>
        </w:tc>
        <w:tc>
          <w:tcPr>
            <w:tcW w:w="1346" w:type="dxa"/>
            <w:noWrap w:val="0"/>
            <w:vAlign w:val="center"/>
          </w:tcPr>
          <w:p w14:paraId="0B8E41DF">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案件办结</w:t>
            </w:r>
            <w:r>
              <w:rPr>
                <w:rFonts w:hint="eastAsia" w:ascii="仿宋_GB2312" w:hAnsi="仿宋_GB2312" w:eastAsia="仿宋_GB2312" w:cs="仿宋_GB2312"/>
                <w:color w:val="000000"/>
                <w:sz w:val="20"/>
                <w:szCs w:val="20"/>
                <w:highlight w:val="none"/>
                <w:lang w:val="en-US" w:eastAsia="zh-CN"/>
              </w:rPr>
              <w:t>数量</w:t>
            </w:r>
          </w:p>
        </w:tc>
        <w:tc>
          <w:tcPr>
            <w:tcW w:w="1290" w:type="dxa"/>
            <w:noWrap w:val="0"/>
            <w:vAlign w:val="center"/>
          </w:tcPr>
          <w:p w14:paraId="31B2035A">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达</w:t>
            </w:r>
            <w:r>
              <w:rPr>
                <w:rFonts w:hint="eastAsia" w:ascii="仿宋_GB2312" w:hAnsi="仿宋_GB2312" w:eastAsia="仿宋_GB2312" w:cs="仿宋_GB2312"/>
                <w:color w:val="000000"/>
                <w:sz w:val="20"/>
                <w:szCs w:val="20"/>
                <w:highlight w:val="none"/>
                <w:lang w:val="en-US" w:eastAsia="zh-CN"/>
              </w:rPr>
              <w:t>4</w:t>
            </w:r>
            <w:r>
              <w:rPr>
                <w:rFonts w:hint="eastAsia" w:ascii="仿宋_GB2312" w:hAnsi="仿宋_GB2312" w:eastAsia="仿宋_GB2312" w:cs="仿宋_GB2312"/>
                <w:color w:val="000000"/>
                <w:sz w:val="20"/>
                <w:szCs w:val="20"/>
                <w:highlight w:val="none"/>
              </w:rPr>
              <w:t>0起</w:t>
            </w:r>
          </w:p>
        </w:tc>
        <w:tc>
          <w:tcPr>
            <w:tcW w:w="1275" w:type="dxa"/>
            <w:noWrap w:val="0"/>
            <w:vAlign w:val="center"/>
          </w:tcPr>
          <w:p w14:paraId="4E8FE051">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_GB2312" w:hAnsi="仿宋_GB2312" w:eastAsia="仿宋_GB2312" w:cs="仿宋_GB2312"/>
                <w:color w:val="auto"/>
                <w:sz w:val="20"/>
                <w:szCs w:val="20"/>
                <w:highlight w:val="none"/>
                <w:lang w:val="en-US" w:eastAsia="zh-CN"/>
              </w:rPr>
            </w:pPr>
            <w:r>
              <w:rPr>
                <w:rFonts w:hint="eastAsia" w:ascii="仿宋_GB2312" w:hAnsi="仿宋_GB2312" w:eastAsia="仿宋_GB2312" w:cs="仿宋_GB2312"/>
                <w:color w:val="auto"/>
                <w:sz w:val="20"/>
                <w:szCs w:val="20"/>
                <w:highlight w:val="none"/>
              </w:rPr>
              <w:t>　</w:t>
            </w:r>
            <w:r>
              <w:rPr>
                <w:rFonts w:hint="eastAsia" w:ascii="仿宋_GB2312" w:hAnsi="仿宋_GB2312" w:eastAsia="仿宋_GB2312" w:cs="仿宋_GB2312"/>
                <w:color w:val="auto"/>
                <w:sz w:val="20"/>
                <w:szCs w:val="20"/>
                <w:highlight w:val="none"/>
                <w:lang w:val="en-US" w:eastAsia="zh-CN"/>
              </w:rPr>
              <w:t>1081起</w:t>
            </w:r>
          </w:p>
        </w:tc>
        <w:tc>
          <w:tcPr>
            <w:tcW w:w="780" w:type="dxa"/>
            <w:noWrap w:val="0"/>
            <w:vAlign w:val="center"/>
          </w:tcPr>
          <w:p w14:paraId="65C7DAC3">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5</w:t>
            </w:r>
          </w:p>
        </w:tc>
        <w:tc>
          <w:tcPr>
            <w:tcW w:w="825" w:type="dxa"/>
            <w:noWrap w:val="0"/>
            <w:vAlign w:val="center"/>
          </w:tcPr>
          <w:p w14:paraId="562E587B">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5</w:t>
            </w:r>
          </w:p>
        </w:tc>
        <w:tc>
          <w:tcPr>
            <w:tcW w:w="1431" w:type="dxa"/>
            <w:noWrap w:val="0"/>
            <w:vAlign w:val="center"/>
          </w:tcPr>
          <w:p w14:paraId="15E2D88B">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p>
          <w:p w14:paraId="036ED681">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p>
          <w:p w14:paraId="7D704BC6">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p>
        </w:tc>
      </w:tr>
      <w:tr w14:paraId="133BE2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jc w:val="center"/>
        </w:trPr>
        <w:tc>
          <w:tcPr>
            <w:tcW w:w="1060" w:type="dxa"/>
            <w:vMerge w:val="continue"/>
            <w:noWrap w:val="0"/>
            <w:vAlign w:val="center"/>
          </w:tcPr>
          <w:p w14:paraId="717709DD">
            <w:pPr>
              <w:keepNext w:val="0"/>
              <w:keepLines w:val="0"/>
              <w:pageBreakBefore w:val="0"/>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p>
        </w:tc>
        <w:tc>
          <w:tcPr>
            <w:tcW w:w="1062" w:type="dxa"/>
            <w:vMerge w:val="continue"/>
            <w:noWrap w:val="0"/>
            <w:vAlign w:val="center"/>
          </w:tcPr>
          <w:p w14:paraId="1C651F3C">
            <w:pPr>
              <w:keepNext w:val="0"/>
              <w:keepLines w:val="0"/>
              <w:pageBreakBefore w:val="0"/>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p>
        </w:tc>
        <w:tc>
          <w:tcPr>
            <w:tcW w:w="1010" w:type="dxa"/>
            <w:vMerge w:val="continue"/>
            <w:noWrap w:val="0"/>
            <w:vAlign w:val="center"/>
          </w:tcPr>
          <w:p w14:paraId="0D4A058C">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sz w:val="20"/>
                <w:szCs w:val="20"/>
                <w:highlight w:val="none"/>
              </w:rPr>
            </w:pPr>
          </w:p>
        </w:tc>
        <w:tc>
          <w:tcPr>
            <w:tcW w:w="1346" w:type="dxa"/>
            <w:noWrap w:val="0"/>
            <w:vAlign w:val="center"/>
          </w:tcPr>
          <w:p w14:paraId="335EE127">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rPr>
              <w:t>日常巡查</w:t>
            </w:r>
          </w:p>
        </w:tc>
        <w:tc>
          <w:tcPr>
            <w:tcW w:w="1290" w:type="dxa"/>
            <w:noWrap w:val="0"/>
            <w:vAlign w:val="center"/>
          </w:tcPr>
          <w:p w14:paraId="711C4B38">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sz w:val="20"/>
                <w:szCs w:val="20"/>
                <w:highlight w:val="none"/>
                <w:lang w:val="en-US" w:eastAsia="zh-CN"/>
              </w:rPr>
            </w:pPr>
            <w:r>
              <w:rPr>
                <w:rFonts w:hint="eastAsia" w:ascii="仿宋_GB2312" w:hAnsi="仿宋_GB2312" w:eastAsia="仿宋_GB2312" w:cs="仿宋_GB2312"/>
                <w:color w:val="auto"/>
                <w:sz w:val="20"/>
                <w:szCs w:val="20"/>
                <w:lang w:eastAsia="zh-CN"/>
              </w:rPr>
              <w:t>600</w:t>
            </w:r>
            <w:r>
              <w:rPr>
                <w:rFonts w:hint="eastAsia" w:ascii="仿宋_GB2312" w:hAnsi="仿宋_GB2312" w:eastAsia="仿宋_GB2312" w:cs="仿宋_GB2312"/>
                <w:color w:val="auto"/>
                <w:sz w:val="20"/>
                <w:szCs w:val="20"/>
                <w:lang w:val="en-US" w:eastAsia="zh-CN"/>
              </w:rPr>
              <w:t>次</w:t>
            </w:r>
          </w:p>
        </w:tc>
        <w:tc>
          <w:tcPr>
            <w:tcW w:w="1275" w:type="dxa"/>
            <w:noWrap w:val="0"/>
            <w:vAlign w:val="center"/>
          </w:tcPr>
          <w:p w14:paraId="5924956C">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_GB2312" w:hAnsi="仿宋_GB2312" w:eastAsia="仿宋_GB2312" w:cs="仿宋_GB2312"/>
                <w:color w:val="auto"/>
                <w:sz w:val="20"/>
                <w:szCs w:val="20"/>
                <w:highlight w:val="none"/>
                <w:lang w:val="en-US" w:eastAsia="zh-CN"/>
              </w:rPr>
            </w:pPr>
            <w:r>
              <w:rPr>
                <w:rFonts w:hint="eastAsia" w:ascii="仿宋_GB2312" w:hAnsi="仿宋_GB2312" w:eastAsia="仿宋_GB2312" w:cs="仿宋_GB2312"/>
                <w:color w:val="auto"/>
                <w:sz w:val="20"/>
                <w:szCs w:val="20"/>
                <w:highlight w:val="none"/>
                <w:lang w:val="en-US" w:eastAsia="zh-CN"/>
              </w:rPr>
              <w:t>达720余次</w:t>
            </w:r>
          </w:p>
        </w:tc>
        <w:tc>
          <w:tcPr>
            <w:tcW w:w="780" w:type="dxa"/>
            <w:noWrap w:val="0"/>
            <w:vAlign w:val="center"/>
          </w:tcPr>
          <w:p w14:paraId="43450032">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5</w:t>
            </w:r>
          </w:p>
        </w:tc>
        <w:tc>
          <w:tcPr>
            <w:tcW w:w="825" w:type="dxa"/>
            <w:noWrap w:val="0"/>
            <w:vAlign w:val="center"/>
          </w:tcPr>
          <w:p w14:paraId="6E840C3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5</w:t>
            </w:r>
          </w:p>
        </w:tc>
        <w:tc>
          <w:tcPr>
            <w:tcW w:w="1431" w:type="dxa"/>
            <w:noWrap w:val="0"/>
            <w:vAlign w:val="center"/>
          </w:tcPr>
          <w:p w14:paraId="2DE67A84">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755515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60" w:type="dxa"/>
            <w:vMerge w:val="continue"/>
            <w:noWrap w:val="0"/>
            <w:vAlign w:val="center"/>
          </w:tcPr>
          <w:p w14:paraId="564D7D99">
            <w:pPr>
              <w:keepNext w:val="0"/>
              <w:keepLines w:val="0"/>
              <w:pageBreakBefore w:val="0"/>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p>
        </w:tc>
        <w:tc>
          <w:tcPr>
            <w:tcW w:w="1062" w:type="dxa"/>
            <w:vMerge w:val="continue"/>
            <w:noWrap w:val="0"/>
            <w:vAlign w:val="center"/>
          </w:tcPr>
          <w:p w14:paraId="4E1C2751">
            <w:pPr>
              <w:keepNext w:val="0"/>
              <w:keepLines w:val="0"/>
              <w:pageBreakBefore w:val="0"/>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p>
        </w:tc>
        <w:tc>
          <w:tcPr>
            <w:tcW w:w="1010" w:type="dxa"/>
            <w:vMerge w:val="continue"/>
            <w:noWrap w:val="0"/>
            <w:vAlign w:val="center"/>
          </w:tcPr>
          <w:p w14:paraId="69A1A15B">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sz w:val="20"/>
                <w:szCs w:val="20"/>
                <w:highlight w:val="none"/>
              </w:rPr>
            </w:pPr>
          </w:p>
        </w:tc>
        <w:tc>
          <w:tcPr>
            <w:tcW w:w="1346" w:type="dxa"/>
            <w:noWrap w:val="0"/>
            <w:vAlign w:val="center"/>
          </w:tcPr>
          <w:p w14:paraId="0713DD7E">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rPr>
              <w:t>法律法规、作风纪律、文明执法培训等</w:t>
            </w:r>
          </w:p>
        </w:tc>
        <w:tc>
          <w:tcPr>
            <w:tcW w:w="1290" w:type="dxa"/>
            <w:noWrap w:val="0"/>
            <w:vAlign w:val="center"/>
          </w:tcPr>
          <w:p w14:paraId="1AD561C4">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sz w:val="20"/>
                <w:szCs w:val="20"/>
                <w:highlight w:val="none"/>
              </w:rPr>
            </w:pPr>
            <w:r>
              <w:rPr>
                <w:rFonts w:hint="default" w:ascii="仿宋_GB2312" w:hAnsi="仿宋_GB2312" w:eastAsia="仿宋_GB2312" w:cs="仿宋_GB2312"/>
                <w:color w:val="000000"/>
                <w:sz w:val="20"/>
                <w:szCs w:val="20"/>
                <w:lang w:val="en-US" w:eastAsia="zh-CN"/>
              </w:rPr>
              <w:t>≥2次/年</w:t>
            </w:r>
          </w:p>
        </w:tc>
        <w:tc>
          <w:tcPr>
            <w:tcW w:w="1275" w:type="dxa"/>
            <w:noWrap w:val="0"/>
            <w:vAlign w:val="center"/>
          </w:tcPr>
          <w:p w14:paraId="77FE3276">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8次</w:t>
            </w:r>
          </w:p>
        </w:tc>
        <w:tc>
          <w:tcPr>
            <w:tcW w:w="780" w:type="dxa"/>
            <w:noWrap w:val="0"/>
            <w:vAlign w:val="center"/>
          </w:tcPr>
          <w:p w14:paraId="1648217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5</w:t>
            </w:r>
          </w:p>
        </w:tc>
        <w:tc>
          <w:tcPr>
            <w:tcW w:w="825" w:type="dxa"/>
            <w:noWrap w:val="0"/>
            <w:vAlign w:val="center"/>
          </w:tcPr>
          <w:p w14:paraId="6A98CDDC">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5</w:t>
            </w:r>
          </w:p>
        </w:tc>
        <w:tc>
          <w:tcPr>
            <w:tcW w:w="1431" w:type="dxa"/>
            <w:noWrap w:val="0"/>
            <w:vAlign w:val="center"/>
          </w:tcPr>
          <w:p w14:paraId="3EAB13B4">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62F51E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60" w:type="dxa"/>
            <w:vMerge w:val="continue"/>
            <w:noWrap w:val="0"/>
            <w:vAlign w:val="center"/>
          </w:tcPr>
          <w:p w14:paraId="69AE3083">
            <w:pPr>
              <w:keepNext w:val="0"/>
              <w:keepLines w:val="0"/>
              <w:pageBreakBefore w:val="0"/>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p>
        </w:tc>
        <w:tc>
          <w:tcPr>
            <w:tcW w:w="1062" w:type="dxa"/>
            <w:vMerge w:val="continue"/>
            <w:noWrap w:val="0"/>
            <w:vAlign w:val="center"/>
          </w:tcPr>
          <w:p w14:paraId="2DA6B0E0">
            <w:pPr>
              <w:keepNext w:val="0"/>
              <w:keepLines w:val="0"/>
              <w:pageBreakBefore w:val="0"/>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p>
        </w:tc>
        <w:tc>
          <w:tcPr>
            <w:tcW w:w="1010" w:type="dxa"/>
            <w:vMerge w:val="restart"/>
            <w:noWrap w:val="0"/>
            <w:vAlign w:val="center"/>
          </w:tcPr>
          <w:p w14:paraId="0C541301">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质量指标</w:t>
            </w:r>
          </w:p>
        </w:tc>
        <w:tc>
          <w:tcPr>
            <w:tcW w:w="1346" w:type="dxa"/>
            <w:noWrap w:val="0"/>
            <w:vAlign w:val="center"/>
          </w:tcPr>
          <w:p w14:paraId="75E4B038">
            <w:pPr>
              <w:keepNext w:val="0"/>
              <w:keepLines w:val="0"/>
              <w:pageBreakBefore w:val="0"/>
              <w:widowControl/>
              <w:kinsoku/>
              <w:wordWrap/>
              <w:overflowPunct/>
              <w:topLinePunct w:val="0"/>
              <w:autoSpaceDE/>
              <w:autoSpaceDN/>
              <w:bidi w:val="0"/>
              <w:adjustRightInd/>
              <w:snapToGrid/>
              <w:spacing w:line="240" w:lineRule="exact"/>
              <w:jc w:val="both"/>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行政执法程序合法、依据合理，以事实为依据，以法律为准绳。</w:t>
            </w:r>
          </w:p>
        </w:tc>
        <w:tc>
          <w:tcPr>
            <w:tcW w:w="1290" w:type="dxa"/>
            <w:noWrap w:val="0"/>
            <w:vAlign w:val="center"/>
          </w:tcPr>
          <w:p w14:paraId="75B94DE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行政执法合理、合法、合规率≥95</w:t>
            </w:r>
            <w:r>
              <w:rPr>
                <w:rFonts w:hint="eastAsia" w:ascii="仿宋_GB2312" w:hAnsi="仿宋_GB2312" w:eastAsia="仿宋_GB2312" w:cs="仿宋_GB2312"/>
                <w:color w:val="000000"/>
                <w:sz w:val="20"/>
                <w:szCs w:val="20"/>
                <w:highlight w:val="none"/>
                <w:lang w:val="en-US" w:eastAsia="zh-CN"/>
              </w:rPr>
              <w:t>%</w:t>
            </w:r>
          </w:p>
        </w:tc>
        <w:tc>
          <w:tcPr>
            <w:tcW w:w="1275" w:type="dxa"/>
            <w:noWrap w:val="0"/>
            <w:vAlign w:val="center"/>
          </w:tcPr>
          <w:p w14:paraId="771976DE">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r>
              <w:rPr>
                <w:rFonts w:hint="eastAsia" w:ascii="宋体" w:hAnsi="宋体" w:eastAsia="宋体" w:cs="宋体"/>
                <w:color w:val="000000"/>
                <w:sz w:val="20"/>
                <w:szCs w:val="20"/>
                <w:lang w:val="en-US" w:eastAsia="zh-CN"/>
              </w:rPr>
              <w:t>≧</w:t>
            </w:r>
            <w:r>
              <w:rPr>
                <w:rFonts w:hint="default" w:ascii="仿宋_GB2312" w:hAnsi="仿宋_GB2312" w:eastAsia="仿宋_GB2312" w:cs="仿宋_GB2312"/>
                <w:color w:val="000000"/>
                <w:sz w:val="20"/>
                <w:szCs w:val="20"/>
                <w:lang w:val="en-US" w:eastAsia="zh-CN"/>
              </w:rPr>
              <w:t>9</w:t>
            </w:r>
            <w:r>
              <w:rPr>
                <w:rFonts w:hint="eastAsia" w:ascii="仿宋_GB2312" w:hAnsi="仿宋_GB2312" w:eastAsia="仿宋_GB2312" w:cs="仿宋_GB2312"/>
                <w:color w:val="000000"/>
                <w:sz w:val="20"/>
                <w:szCs w:val="20"/>
                <w:lang w:val="en-US" w:eastAsia="zh-CN"/>
              </w:rPr>
              <w:t>9.5%</w:t>
            </w:r>
          </w:p>
        </w:tc>
        <w:tc>
          <w:tcPr>
            <w:tcW w:w="780" w:type="dxa"/>
            <w:noWrap w:val="0"/>
            <w:vAlign w:val="center"/>
          </w:tcPr>
          <w:p w14:paraId="43F01042">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5</w:t>
            </w:r>
          </w:p>
        </w:tc>
        <w:tc>
          <w:tcPr>
            <w:tcW w:w="825" w:type="dxa"/>
            <w:noWrap w:val="0"/>
            <w:vAlign w:val="center"/>
          </w:tcPr>
          <w:p w14:paraId="37AB7C3C">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5</w:t>
            </w:r>
          </w:p>
        </w:tc>
        <w:tc>
          <w:tcPr>
            <w:tcW w:w="1431" w:type="dxa"/>
            <w:noWrap w:val="0"/>
            <w:vAlign w:val="center"/>
          </w:tcPr>
          <w:p w14:paraId="4819E69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08F7EB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60" w:type="dxa"/>
            <w:vMerge w:val="continue"/>
            <w:noWrap w:val="0"/>
            <w:vAlign w:val="center"/>
          </w:tcPr>
          <w:p w14:paraId="2A3410C7">
            <w:pPr>
              <w:keepNext w:val="0"/>
              <w:keepLines w:val="0"/>
              <w:pageBreakBefore w:val="0"/>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p>
        </w:tc>
        <w:tc>
          <w:tcPr>
            <w:tcW w:w="1062" w:type="dxa"/>
            <w:vMerge w:val="continue"/>
            <w:noWrap w:val="0"/>
            <w:vAlign w:val="center"/>
          </w:tcPr>
          <w:p w14:paraId="6F3553F1">
            <w:pPr>
              <w:keepNext w:val="0"/>
              <w:keepLines w:val="0"/>
              <w:pageBreakBefore w:val="0"/>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p>
        </w:tc>
        <w:tc>
          <w:tcPr>
            <w:tcW w:w="1010" w:type="dxa"/>
            <w:vMerge w:val="continue"/>
            <w:noWrap w:val="0"/>
            <w:vAlign w:val="center"/>
          </w:tcPr>
          <w:p w14:paraId="115EA181">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sz w:val="20"/>
                <w:szCs w:val="20"/>
                <w:highlight w:val="none"/>
              </w:rPr>
            </w:pPr>
          </w:p>
        </w:tc>
        <w:tc>
          <w:tcPr>
            <w:tcW w:w="1346" w:type="dxa"/>
            <w:noWrap w:val="0"/>
            <w:vAlign w:val="center"/>
          </w:tcPr>
          <w:p w14:paraId="0EDA2DC6">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lang w:val="en-US" w:eastAsia="zh-CN"/>
              </w:rPr>
              <w:t>文明执法</w:t>
            </w:r>
          </w:p>
        </w:tc>
        <w:tc>
          <w:tcPr>
            <w:tcW w:w="1290" w:type="dxa"/>
            <w:noWrap w:val="0"/>
            <w:vAlign w:val="center"/>
          </w:tcPr>
          <w:p w14:paraId="700F4076">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lang w:val="en-US" w:eastAsia="zh-CN"/>
              </w:rPr>
              <w:t>文明执法，无违规投诉案件</w:t>
            </w:r>
          </w:p>
        </w:tc>
        <w:tc>
          <w:tcPr>
            <w:tcW w:w="1275" w:type="dxa"/>
            <w:noWrap w:val="0"/>
            <w:vAlign w:val="center"/>
          </w:tcPr>
          <w:p w14:paraId="4EE0FFCA">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lang w:val="en-US" w:eastAsia="zh-CN"/>
              </w:rPr>
              <w:t>全年无违规投诉</w:t>
            </w:r>
          </w:p>
        </w:tc>
        <w:tc>
          <w:tcPr>
            <w:tcW w:w="780" w:type="dxa"/>
            <w:noWrap w:val="0"/>
            <w:vAlign w:val="center"/>
          </w:tcPr>
          <w:p w14:paraId="067066E7">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5</w:t>
            </w:r>
          </w:p>
        </w:tc>
        <w:tc>
          <w:tcPr>
            <w:tcW w:w="825" w:type="dxa"/>
            <w:noWrap w:val="0"/>
            <w:vAlign w:val="center"/>
          </w:tcPr>
          <w:p w14:paraId="1D936A3B">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5</w:t>
            </w:r>
          </w:p>
        </w:tc>
        <w:tc>
          <w:tcPr>
            <w:tcW w:w="1431" w:type="dxa"/>
            <w:noWrap w:val="0"/>
            <w:vAlign w:val="center"/>
          </w:tcPr>
          <w:p w14:paraId="42F10C87">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497AFD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60" w:type="dxa"/>
            <w:vMerge w:val="continue"/>
            <w:noWrap w:val="0"/>
            <w:vAlign w:val="center"/>
          </w:tcPr>
          <w:p w14:paraId="53E2ED92">
            <w:pPr>
              <w:keepNext w:val="0"/>
              <w:keepLines w:val="0"/>
              <w:pageBreakBefore w:val="0"/>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p>
        </w:tc>
        <w:tc>
          <w:tcPr>
            <w:tcW w:w="1062" w:type="dxa"/>
            <w:vMerge w:val="continue"/>
            <w:noWrap w:val="0"/>
            <w:vAlign w:val="center"/>
          </w:tcPr>
          <w:p w14:paraId="2807C2D0">
            <w:pPr>
              <w:keepNext w:val="0"/>
              <w:keepLines w:val="0"/>
              <w:pageBreakBefore w:val="0"/>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p>
        </w:tc>
        <w:tc>
          <w:tcPr>
            <w:tcW w:w="1010" w:type="dxa"/>
            <w:vMerge w:val="continue"/>
            <w:noWrap w:val="0"/>
            <w:vAlign w:val="center"/>
          </w:tcPr>
          <w:p w14:paraId="5E1EF47F">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sz w:val="20"/>
                <w:szCs w:val="20"/>
                <w:highlight w:val="none"/>
              </w:rPr>
            </w:pPr>
          </w:p>
        </w:tc>
        <w:tc>
          <w:tcPr>
            <w:tcW w:w="1346" w:type="dxa"/>
            <w:noWrap w:val="0"/>
            <w:vAlign w:val="center"/>
          </w:tcPr>
          <w:p w14:paraId="4E1DDC76">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rPr>
              <w:t>按上级文件执行</w:t>
            </w:r>
          </w:p>
        </w:tc>
        <w:tc>
          <w:tcPr>
            <w:tcW w:w="1290" w:type="dxa"/>
            <w:noWrap w:val="0"/>
            <w:vAlign w:val="center"/>
          </w:tcPr>
          <w:p w14:paraId="5069DC32">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rPr>
              <w:t>按上级文件执行</w:t>
            </w:r>
          </w:p>
        </w:tc>
        <w:tc>
          <w:tcPr>
            <w:tcW w:w="1275" w:type="dxa"/>
            <w:noWrap w:val="0"/>
            <w:vAlign w:val="center"/>
          </w:tcPr>
          <w:p w14:paraId="6EECBBFE">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lang w:val="en-US" w:eastAsia="zh-CN"/>
              </w:rPr>
              <w:t>100%</w:t>
            </w:r>
          </w:p>
        </w:tc>
        <w:tc>
          <w:tcPr>
            <w:tcW w:w="780" w:type="dxa"/>
            <w:noWrap w:val="0"/>
            <w:vAlign w:val="center"/>
          </w:tcPr>
          <w:p w14:paraId="24898805">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5</w:t>
            </w:r>
          </w:p>
        </w:tc>
        <w:tc>
          <w:tcPr>
            <w:tcW w:w="825" w:type="dxa"/>
            <w:noWrap w:val="0"/>
            <w:vAlign w:val="center"/>
          </w:tcPr>
          <w:p w14:paraId="3894C26D">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5</w:t>
            </w:r>
          </w:p>
        </w:tc>
        <w:tc>
          <w:tcPr>
            <w:tcW w:w="1431" w:type="dxa"/>
            <w:noWrap w:val="0"/>
            <w:vAlign w:val="center"/>
          </w:tcPr>
          <w:p w14:paraId="6681C750">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630319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60" w:type="dxa"/>
            <w:vMerge w:val="continue"/>
            <w:noWrap w:val="0"/>
            <w:vAlign w:val="center"/>
          </w:tcPr>
          <w:p w14:paraId="7F12CA70">
            <w:pPr>
              <w:keepNext w:val="0"/>
              <w:keepLines w:val="0"/>
              <w:pageBreakBefore w:val="0"/>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p>
        </w:tc>
        <w:tc>
          <w:tcPr>
            <w:tcW w:w="1062" w:type="dxa"/>
            <w:vMerge w:val="continue"/>
            <w:noWrap w:val="0"/>
            <w:vAlign w:val="center"/>
          </w:tcPr>
          <w:p w14:paraId="3256A059">
            <w:pPr>
              <w:keepNext w:val="0"/>
              <w:keepLines w:val="0"/>
              <w:pageBreakBefore w:val="0"/>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p>
        </w:tc>
        <w:tc>
          <w:tcPr>
            <w:tcW w:w="1010" w:type="dxa"/>
            <w:vMerge w:val="restart"/>
            <w:noWrap w:val="0"/>
            <w:vAlign w:val="center"/>
          </w:tcPr>
          <w:p w14:paraId="539359A6">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时效指标</w:t>
            </w:r>
          </w:p>
        </w:tc>
        <w:tc>
          <w:tcPr>
            <w:tcW w:w="1346" w:type="dxa"/>
            <w:noWrap w:val="0"/>
            <w:vAlign w:val="center"/>
          </w:tcPr>
          <w:p w14:paraId="20A7F89A">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按照计划和进度完成全年工作</w:t>
            </w:r>
          </w:p>
        </w:tc>
        <w:tc>
          <w:tcPr>
            <w:tcW w:w="1290" w:type="dxa"/>
            <w:noWrap w:val="0"/>
            <w:vAlign w:val="center"/>
          </w:tcPr>
          <w:p w14:paraId="4E08E7DB">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按时完成率达100%</w:t>
            </w:r>
          </w:p>
        </w:tc>
        <w:tc>
          <w:tcPr>
            <w:tcW w:w="1275" w:type="dxa"/>
            <w:noWrap w:val="0"/>
            <w:vAlign w:val="center"/>
          </w:tcPr>
          <w:p w14:paraId="46AE44C2">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100%</w:t>
            </w:r>
          </w:p>
        </w:tc>
        <w:tc>
          <w:tcPr>
            <w:tcW w:w="780" w:type="dxa"/>
            <w:noWrap w:val="0"/>
            <w:vAlign w:val="center"/>
          </w:tcPr>
          <w:p w14:paraId="087A0B61">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5</w:t>
            </w:r>
          </w:p>
        </w:tc>
        <w:tc>
          <w:tcPr>
            <w:tcW w:w="825" w:type="dxa"/>
            <w:noWrap w:val="0"/>
            <w:vAlign w:val="center"/>
          </w:tcPr>
          <w:p w14:paraId="7D1DC0B8">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5</w:t>
            </w:r>
          </w:p>
        </w:tc>
        <w:tc>
          <w:tcPr>
            <w:tcW w:w="1431" w:type="dxa"/>
            <w:noWrap w:val="0"/>
            <w:vAlign w:val="center"/>
          </w:tcPr>
          <w:p w14:paraId="1051BBFB">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5C308F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60" w:type="dxa"/>
            <w:vMerge w:val="continue"/>
            <w:noWrap w:val="0"/>
            <w:vAlign w:val="center"/>
          </w:tcPr>
          <w:p w14:paraId="457C36FA">
            <w:pPr>
              <w:keepNext w:val="0"/>
              <w:keepLines w:val="0"/>
              <w:pageBreakBefore w:val="0"/>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p>
        </w:tc>
        <w:tc>
          <w:tcPr>
            <w:tcW w:w="1062" w:type="dxa"/>
            <w:vMerge w:val="continue"/>
            <w:noWrap w:val="0"/>
            <w:vAlign w:val="center"/>
          </w:tcPr>
          <w:p w14:paraId="79962C15">
            <w:pPr>
              <w:keepNext w:val="0"/>
              <w:keepLines w:val="0"/>
              <w:pageBreakBefore w:val="0"/>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p>
        </w:tc>
        <w:tc>
          <w:tcPr>
            <w:tcW w:w="1010" w:type="dxa"/>
            <w:vMerge w:val="continue"/>
            <w:noWrap w:val="0"/>
            <w:vAlign w:val="center"/>
          </w:tcPr>
          <w:p w14:paraId="52651164">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sz w:val="20"/>
                <w:szCs w:val="20"/>
                <w:highlight w:val="none"/>
              </w:rPr>
            </w:pPr>
          </w:p>
        </w:tc>
        <w:tc>
          <w:tcPr>
            <w:tcW w:w="1346" w:type="dxa"/>
            <w:noWrap w:val="0"/>
            <w:vAlign w:val="center"/>
          </w:tcPr>
          <w:p w14:paraId="7053D749">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lang w:val="en-US" w:eastAsia="zh-CN"/>
              </w:rPr>
              <w:t>投诉案件处置时效</w:t>
            </w:r>
          </w:p>
        </w:tc>
        <w:tc>
          <w:tcPr>
            <w:tcW w:w="1290" w:type="dxa"/>
            <w:noWrap w:val="0"/>
            <w:vAlign w:val="center"/>
          </w:tcPr>
          <w:p w14:paraId="3645171C">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lang w:val="en-US" w:eastAsia="zh-CN"/>
              </w:rPr>
              <w:t>市民投诉处置及时</w:t>
            </w:r>
          </w:p>
        </w:tc>
        <w:tc>
          <w:tcPr>
            <w:tcW w:w="1275" w:type="dxa"/>
            <w:noWrap w:val="0"/>
            <w:vAlign w:val="center"/>
          </w:tcPr>
          <w:p w14:paraId="363142E6">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sz w:val="20"/>
                <w:szCs w:val="20"/>
                <w:lang w:val="en-US" w:eastAsia="zh-CN"/>
              </w:rPr>
              <w:t>市民投诉均在规定时限内办结</w:t>
            </w:r>
          </w:p>
        </w:tc>
        <w:tc>
          <w:tcPr>
            <w:tcW w:w="780" w:type="dxa"/>
            <w:noWrap w:val="0"/>
            <w:vAlign w:val="center"/>
          </w:tcPr>
          <w:p w14:paraId="67E4F2E4">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5</w:t>
            </w:r>
          </w:p>
        </w:tc>
        <w:tc>
          <w:tcPr>
            <w:tcW w:w="825" w:type="dxa"/>
            <w:noWrap w:val="0"/>
            <w:vAlign w:val="center"/>
          </w:tcPr>
          <w:p w14:paraId="57F227E6">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5</w:t>
            </w:r>
          </w:p>
        </w:tc>
        <w:tc>
          <w:tcPr>
            <w:tcW w:w="1431" w:type="dxa"/>
            <w:noWrap w:val="0"/>
            <w:vAlign w:val="center"/>
          </w:tcPr>
          <w:p w14:paraId="7D0C7C13">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4C099A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60" w:type="dxa"/>
            <w:vMerge w:val="continue"/>
            <w:noWrap w:val="0"/>
            <w:vAlign w:val="center"/>
          </w:tcPr>
          <w:p w14:paraId="227A7F91">
            <w:pPr>
              <w:keepNext w:val="0"/>
              <w:keepLines w:val="0"/>
              <w:pageBreakBefore w:val="0"/>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p>
        </w:tc>
        <w:tc>
          <w:tcPr>
            <w:tcW w:w="1062" w:type="dxa"/>
            <w:vMerge w:val="continue"/>
            <w:noWrap w:val="0"/>
            <w:vAlign w:val="center"/>
          </w:tcPr>
          <w:p w14:paraId="10AD0DB7">
            <w:pPr>
              <w:keepNext w:val="0"/>
              <w:keepLines w:val="0"/>
              <w:pageBreakBefore w:val="0"/>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p>
        </w:tc>
        <w:tc>
          <w:tcPr>
            <w:tcW w:w="1010" w:type="dxa"/>
            <w:vMerge w:val="restart"/>
            <w:noWrap w:val="0"/>
            <w:vAlign w:val="center"/>
          </w:tcPr>
          <w:p w14:paraId="77EAA2BE">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成本指标</w:t>
            </w:r>
          </w:p>
        </w:tc>
        <w:tc>
          <w:tcPr>
            <w:tcW w:w="1346" w:type="dxa"/>
            <w:noWrap w:val="0"/>
            <w:vAlign w:val="center"/>
          </w:tcPr>
          <w:p w14:paraId="30AAABFA">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sz w:val="20"/>
                <w:szCs w:val="20"/>
                <w:highlight w:val="none"/>
                <w:lang w:eastAsia="zh-CN"/>
              </w:rPr>
            </w:pPr>
            <w:r>
              <w:rPr>
                <w:rFonts w:hint="eastAsia" w:ascii="仿宋_GB2312" w:hAnsi="仿宋_GB2312" w:eastAsia="仿宋_GB2312" w:cs="仿宋_GB2312"/>
                <w:color w:val="000000"/>
                <w:sz w:val="20"/>
                <w:szCs w:val="20"/>
                <w:highlight w:val="none"/>
                <w:lang w:eastAsia="zh-CN"/>
              </w:rPr>
              <w:t>单位履职成本</w:t>
            </w:r>
          </w:p>
        </w:tc>
        <w:tc>
          <w:tcPr>
            <w:tcW w:w="1290" w:type="dxa"/>
            <w:noWrap w:val="0"/>
            <w:vAlign w:val="center"/>
          </w:tcPr>
          <w:p w14:paraId="7DE297FE">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_GB2312" w:hAnsi="仿宋_GB2312" w:eastAsia="仿宋_GB2312" w:cs="仿宋_GB2312"/>
                <w:color w:val="000000"/>
                <w:sz w:val="20"/>
                <w:szCs w:val="20"/>
                <w:highlight w:val="none"/>
                <w:lang w:val="en-US"/>
              </w:rPr>
            </w:pPr>
            <w:r>
              <w:rPr>
                <w:rFonts w:hint="eastAsia" w:ascii="仿宋_GB2312" w:hAnsi="仿宋_GB2312" w:eastAsia="仿宋_GB2312" w:cs="仿宋_GB2312"/>
                <w:color w:val="000000"/>
                <w:sz w:val="20"/>
                <w:szCs w:val="20"/>
                <w:highlight w:val="none"/>
                <w:lang w:val="en-US" w:eastAsia="zh-CN"/>
              </w:rPr>
              <w:t>控制在预算金额</w:t>
            </w:r>
            <w:r>
              <w:rPr>
                <w:rFonts w:hint="eastAsia" w:ascii="仿宋_GB2312" w:hAnsi="仿宋_GB2312" w:eastAsia="仿宋_GB2312" w:cs="仿宋_GB2312"/>
                <w:sz w:val="20"/>
                <w:szCs w:val="20"/>
                <w:highlight w:val="none"/>
                <w:lang w:val="en-US" w:eastAsia="zh-CN"/>
              </w:rPr>
              <w:t>8228.17万元内</w:t>
            </w:r>
          </w:p>
        </w:tc>
        <w:tc>
          <w:tcPr>
            <w:tcW w:w="1275" w:type="dxa"/>
            <w:noWrap w:val="0"/>
            <w:vAlign w:val="center"/>
          </w:tcPr>
          <w:p w14:paraId="0140768F">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sz w:val="20"/>
                <w:szCs w:val="20"/>
                <w:highlight w:val="none"/>
                <w:lang w:val="en-US" w:eastAsia="zh-CN"/>
              </w:rPr>
              <w:t>实际支出7934.65万元</w:t>
            </w:r>
            <w:r>
              <w:rPr>
                <w:rFonts w:hint="eastAsia" w:ascii="仿宋_GB2312" w:hAnsi="仿宋_GB2312" w:eastAsia="仿宋_GB2312" w:cs="仿宋_GB2312"/>
                <w:color w:val="000000"/>
                <w:sz w:val="20"/>
                <w:szCs w:val="20"/>
                <w:highlight w:val="none"/>
              </w:rPr>
              <w:t>　</w:t>
            </w:r>
          </w:p>
        </w:tc>
        <w:tc>
          <w:tcPr>
            <w:tcW w:w="780" w:type="dxa"/>
            <w:noWrap w:val="0"/>
            <w:vAlign w:val="center"/>
          </w:tcPr>
          <w:p w14:paraId="10DA8BD6">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6</w:t>
            </w:r>
          </w:p>
        </w:tc>
        <w:tc>
          <w:tcPr>
            <w:tcW w:w="825" w:type="dxa"/>
            <w:noWrap w:val="0"/>
            <w:vAlign w:val="center"/>
          </w:tcPr>
          <w:p w14:paraId="363E7727">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6</w:t>
            </w:r>
          </w:p>
        </w:tc>
        <w:tc>
          <w:tcPr>
            <w:tcW w:w="1431" w:type="dxa"/>
            <w:noWrap w:val="0"/>
            <w:vAlign w:val="center"/>
          </w:tcPr>
          <w:p w14:paraId="28320F08">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240E6D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60" w:type="dxa"/>
            <w:vMerge w:val="continue"/>
            <w:noWrap w:val="0"/>
            <w:vAlign w:val="center"/>
          </w:tcPr>
          <w:p w14:paraId="56D8BD53">
            <w:pPr>
              <w:keepNext w:val="0"/>
              <w:keepLines w:val="0"/>
              <w:pageBreakBefore w:val="0"/>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p>
        </w:tc>
        <w:tc>
          <w:tcPr>
            <w:tcW w:w="1062" w:type="dxa"/>
            <w:vMerge w:val="continue"/>
            <w:noWrap w:val="0"/>
            <w:vAlign w:val="center"/>
          </w:tcPr>
          <w:p w14:paraId="1ED97092">
            <w:pPr>
              <w:keepNext w:val="0"/>
              <w:keepLines w:val="0"/>
              <w:pageBreakBefore w:val="0"/>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p>
        </w:tc>
        <w:tc>
          <w:tcPr>
            <w:tcW w:w="1010" w:type="dxa"/>
            <w:vMerge w:val="continue"/>
            <w:noWrap w:val="0"/>
            <w:vAlign w:val="center"/>
          </w:tcPr>
          <w:p w14:paraId="0402F575">
            <w:pPr>
              <w:keepNext w:val="0"/>
              <w:keepLines w:val="0"/>
              <w:pageBreakBefore w:val="0"/>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p>
        </w:tc>
        <w:tc>
          <w:tcPr>
            <w:tcW w:w="1346" w:type="dxa"/>
            <w:noWrap w:val="0"/>
            <w:vAlign w:val="center"/>
          </w:tcPr>
          <w:p w14:paraId="3D5ECD9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i w:val="0"/>
                <w:iCs w:val="0"/>
                <w:color w:val="000000"/>
                <w:kern w:val="0"/>
                <w:sz w:val="20"/>
                <w:szCs w:val="20"/>
                <w:u w:val="none"/>
                <w:lang w:val="en-US" w:eastAsia="zh-CN" w:bidi="ar"/>
              </w:rPr>
              <w:t>对社会发展造成负面影响</w:t>
            </w:r>
          </w:p>
        </w:tc>
        <w:tc>
          <w:tcPr>
            <w:tcW w:w="1290" w:type="dxa"/>
            <w:noWrap w:val="0"/>
            <w:vAlign w:val="center"/>
          </w:tcPr>
          <w:p w14:paraId="4B3901E4">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val="en-US" w:eastAsia="zh-CN"/>
              </w:rPr>
              <w:t>无</w:t>
            </w:r>
            <w:r>
              <w:rPr>
                <w:rFonts w:hint="eastAsia" w:ascii="仿宋_GB2312" w:hAnsi="仿宋_GB2312" w:eastAsia="仿宋_GB2312" w:cs="仿宋_GB2312"/>
                <w:i w:val="0"/>
                <w:iCs w:val="0"/>
                <w:color w:val="000000"/>
                <w:kern w:val="0"/>
                <w:sz w:val="20"/>
                <w:szCs w:val="20"/>
                <w:u w:val="none"/>
                <w:lang w:val="en-US" w:eastAsia="zh-CN" w:bidi="ar"/>
              </w:rPr>
              <w:t>负面影响</w:t>
            </w:r>
          </w:p>
        </w:tc>
        <w:tc>
          <w:tcPr>
            <w:tcW w:w="1275" w:type="dxa"/>
            <w:noWrap w:val="0"/>
            <w:vAlign w:val="center"/>
          </w:tcPr>
          <w:p w14:paraId="75477CBD">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val="en-US" w:eastAsia="zh-CN"/>
              </w:rPr>
              <w:t>无</w:t>
            </w:r>
            <w:r>
              <w:rPr>
                <w:rFonts w:hint="eastAsia" w:ascii="仿宋_GB2312" w:hAnsi="仿宋_GB2312" w:eastAsia="仿宋_GB2312" w:cs="仿宋_GB2312"/>
                <w:i w:val="0"/>
                <w:iCs w:val="0"/>
                <w:color w:val="000000"/>
                <w:kern w:val="0"/>
                <w:sz w:val="20"/>
                <w:szCs w:val="20"/>
                <w:u w:val="none"/>
                <w:lang w:val="en-US" w:eastAsia="zh-CN" w:bidi="ar"/>
              </w:rPr>
              <w:t>负面影响</w:t>
            </w:r>
          </w:p>
        </w:tc>
        <w:tc>
          <w:tcPr>
            <w:tcW w:w="780" w:type="dxa"/>
            <w:noWrap w:val="0"/>
            <w:vAlign w:val="center"/>
          </w:tcPr>
          <w:p w14:paraId="0A684AF5">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2</w:t>
            </w:r>
          </w:p>
        </w:tc>
        <w:tc>
          <w:tcPr>
            <w:tcW w:w="825" w:type="dxa"/>
            <w:noWrap w:val="0"/>
            <w:vAlign w:val="center"/>
          </w:tcPr>
          <w:p w14:paraId="63F99621">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2</w:t>
            </w:r>
          </w:p>
        </w:tc>
        <w:tc>
          <w:tcPr>
            <w:tcW w:w="1431" w:type="dxa"/>
            <w:noWrap w:val="0"/>
            <w:vAlign w:val="center"/>
          </w:tcPr>
          <w:p w14:paraId="24D27701">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4A75D6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60" w:type="dxa"/>
            <w:vMerge w:val="continue"/>
            <w:noWrap w:val="0"/>
            <w:vAlign w:val="center"/>
          </w:tcPr>
          <w:p w14:paraId="33DD6370">
            <w:pPr>
              <w:keepNext w:val="0"/>
              <w:keepLines w:val="0"/>
              <w:pageBreakBefore w:val="0"/>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p>
        </w:tc>
        <w:tc>
          <w:tcPr>
            <w:tcW w:w="1062" w:type="dxa"/>
            <w:vMerge w:val="continue"/>
            <w:noWrap w:val="0"/>
            <w:vAlign w:val="center"/>
          </w:tcPr>
          <w:p w14:paraId="5D229E04">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p>
        </w:tc>
        <w:tc>
          <w:tcPr>
            <w:tcW w:w="1010" w:type="dxa"/>
            <w:vMerge w:val="continue"/>
            <w:noWrap w:val="0"/>
            <w:vAlign w:val="center"/>
          </w:tcPr>
          <w:p w14:paraId="6A894701">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p>
        </w:tc>
        <w:tc>
          <w:tcPr>
            <w:tcW w:w="1346" w:type="dxa"/>
            <w:noWrap w:val="0"/>
            <w:vAlign w:val="center"/>
          </w:tcPr>
          <w:p w14:paraId="085D4AA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i w:val="0"/>
                <w:iCs w:val="0"/>
                <w:color w:val="000000"/>
                <w:kern w:val="0"/>
                <w:sz w:val="20"/>
                <w:szCs w:val="20"/>
                <w:u w:val="none"/>
                <w:lang w:val="en-US" w:eastAsia="zh-CN" w:bidi="ar"/>
              </w:rPr>
              <w:t>对生态环境造成负面影响</w:t>
            </w:r>
          </w:p>
        </w:tc>
        <w:tc>
          <w:tcPr>
            <w:tcW w:w="1290" w:type="dxa"/>
            <w:noWrap w:val="0"/>
            <w:vAlign w:val="center"/>
          </w:tcPr>
          <w:p w14:paraId="32F4030F">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val="en-US" w:eastAsia="zh-CN"/>
              </w:rPr>
              <w:t>无</w:t>
            </w:r>
            <w:r>
              <w:rPr>
                <w:rFonts w:hint="eastAsia" w:ascii="仿宋_GB2312" w:hAnsi="仿宋_GB2312" w:eastAsia="仿宋_GB2312" w:cs="仿宋_GB2312"/>
                <w:i w:val="0"/>
                <w:iCs w:val="0"/>
                <w:color w:val="000000"/>
                <w:kern w:val="0"/>
                <w:sz w:val="20"/>
                <w:szCs w:val="20"/>
                <w:u w:val="none"/>
                <w:lang w:val="en-US" w:eastAsia="zh-CN" w:bidi="ar"/>
              </w:rPr>
              <w:t>负面影响</w:t>
            </w:r>
          </w:p>
        </w:tc>
        <w:tc>
          <w:tcPr>
            <w:tcW w:w="1275" w:type="dxa"/>
            <w:noWrap w:val="0"/>
            <w:vAlign w:val="center"/>
          </w:tcPr>
          <w:p w14:paraId="018476C4">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val="en-US" w:eastAsia="zh-CN"/>
              </w:rPr>
              <w:t>无</w:t>
            </w:r>
            <w:r>
              <w:rPr>
                <w:rFonts w:hint="eastAsia" w:ascii="仿宋_GB2312" w:hAnsi="仿宋_GB2312" w:eastAsia="仿宋_GB2312" w:cs="仿宋_GB2312"/>
                <w:i w:val="0"/>
                <w:iCs w:val="0"/>
                <w:color w:val="000000"/>
                <w:kern w:val="0"/>
                <w:sz w:val="20"/>
                <w:szCs w:val="20"/>
                <w:u w:val="none"/>
                <w:lang w:val="en-US" w:eastAsia="zh-CN" w:bidi="ar"/>
              </w:rPr>
              <w:t>负面影响</w:t>
            </w:r>
          </w:p>
        </w:tc>
        <w:tc>
          <w:tcPr>
            <w:tcW w:w="780" w:type="dxa"/>
            <w:noWrap w:val="0"/>
            <w:vAlign w:val="center"/>
          </w:tcPr>
          <w:p w14:paraId="4D2408B3">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2</w:t>
            </w:r>
          </w:p>
        </w:tc>
        <w:tc>
          <w:tcPr>
            <w:tcW w:w="825" w:type="dxa"/>
            <w:noWrap w:val="0"/>
            <w:vAlign w:val="center"/>
          </w:tcPr>
          <w:p w14:paraId="423079BE">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2</w:t>
            </w:r>
          </w:p>
        </w:tc>
        <w:tc>
          <w:tcPr>
            <w:tcW w:w="1431" w:type="dxa"/>
            <w:noWrap w:val="0"/>
            <w:vAlign w:val="center"/>
          </w:tcPr>
          <w:p w14:paraId="7FD45F3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7DE37D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60" w:type="dxa"/>
            <w:vMerge w:val="continue"/>
            <w:noWrap w:val="0"/>
            <w:vAlign w:val="center"/>
          </w:tcPr>
          <w:p w14:paraId="7A057AA0">
            <w:pPr>
              <w:keepNext w:val="0"/>
              <w:keepLines w:val="0"/>
              <w:pageBreakBefore w:val="0"/>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p>
        </w:tc>
        <w:tc>
          <w:tcPr>
            <w:tcW w:w="1062" w:type="dxa"/>
            <w:vMerge w:val="restart"/>
            <w:noWrap w:val="0"/>
            <w:vAlign w:val="center"/>
          </w:tcPr>
          <w:p w14:paraId="054C3051">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效益指标</w:t>
            </w:r>
          </w:p>
          <w:p w14:paraId="4E303CB7">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p>
          <w:p w14:paraId="539D54CD">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（30分）</w:t>
            </w:r>
          </w:p>
          <w:p w14:paraId="37FE3373">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1010" w:type="dxa"/>
            <w:vMerge w:val="restart"/>
            <w:noWrap w:val="0"/>
            <w:vAlign w:val="center"/>
          </w:tcPr>
          <w:p w14:paraId="632A6DC8">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经济效</w:t>
            </w:r>
          </w:p>
          <w:p w14:paraId="27571422">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益指标</w:t>
            </w:r>
          </w:p>
        </w:tc>
        <w:tc>
          <w:tcPr>
            <w:tcW w:w="1346" w:type="dxa"/>
            <w:noWrap w:val="0"/>
            <w:vAlign w:val="center"/>
          </w:tcPr>
          <w:p w14:paraId="7A4FFCCB">
            <w:pPr>
              <w:keepNext w:val="0"/>
              <w:keepLines w:val="0"/>
              <w:pageBreakBefore w:val="0"/>
              <w:widowControl/>
              <w:kinsoku/>
              <w:wordWrap/>
              <w:overflowPunct/>
              <w:topLinePunct w:val="0"/>
              <w:autoSpaceDE/>
              <w:autoSpaceDN/>
              <w:bidi w:val="0"/>
              <w:adjustRightInd/>
              <w:snapToGrid/>
              <w:spacing w:line="240" w:lineRule="exact"/>
              <w:jc w:val="both"/>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完成非税收入征收计划</w:t>
            </w:r>
          </w:p>
        </w:tc>
        <w:tc>
          <w:tcPr>
            <w:tcW w:w="1290" w:type="dxa"/>
            <w:noWrap w:val="0"/>
            <w:vAlign w:val="center"/>
          </w:tcPr>
          <w:p w14:paraId="3587A77A">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auto"/>
                <w:sz w:val="20"/>
                <w:szCs w:val="20"/>
                <w:highlight w:val="none"/>
                <w:lang w:val="en-US" w:eastAsia="zh-CN"/>
              </w:rPr>
            </w:pPr>
            <w:r>
              <w:rPr>
                <w:rFonts w:hint="eastAsia" w:ascii="仿宋_GB2312" w:hAnsi="仿宋_GB2312" w:eastAsia="仿宋_GB2312" w:cs="仿宋_GB2312"/>
                <w:color w:val="auto"/>
                <w:sz w:val="20"/>
                <w:szCs w:val="20"/>
                <w:highlight w:val="none"/>
              </w:rPr>
              <w:t>1</w:t>
            </w:r>
            <w:r>
              <w:rPr>
                <w:rFonts w:hint="eastAsia" w:ascii="仿宋_GB2312" w:hAnsi="仿宋_GB2312" w:eastAsia="仿宋_GB2312" w:cs="仿宋_GB2312"/>
                <w:color w:val="auto"/>
                <w:sz w:val="20"/>
                <w:szCs w:val="20"/>
                <w:highlight w:val="none"/>
                <w:lang w:val="en-US" w:eastAsia="zh-CN"/>
              </w:rPr>
              <w:t>2</w:t>
            </w:r>
            <w:r>
              <w:rPr>
                <w:rFonts w:hint="eastAsia" w:ascii="仿宋_GB2312" w:hAnsi="仿宋_GB2312" w:eastAsia="仿宋_GB2312" w:cs="仿宋_GB2312"/>
                <w:color w:val="auto"/>
                <w:sz w:val="20"/>
                <w:szCs w:val="20"/>
                <w:highlight w:val="none"/>
              </w:rPr>
              <w:t>0</w:t>
            </w:r>
            <w:r>
              <w:rPr>
                <w:rFonts w:hint="eastAsia" w:ascii="仿宋_GB2312" w:hAnsi="仿宋_GB2312" w:eastAsia="仿宋_GB2312" w:cs="仿宋_GB2312"/>
                <w:color w:val="auto"/>
                <w:sz w:val="20"/>
                <w:szCs w:val="20"/>
                <w:highlight w:val="none"/>
                <w:lang w:val="en-US" w:eastAsia="zh-CN"/>
              </w:rPr>
              <w:t>万元</w:t>
            </w:r>
          </w:p>
        </w:tc>
        <w:tc>
          <w:tcPr>
            <w:tcW w:w="1275" w:type="dxa"/>
            <w:noWrap w:val="0"/>
            <w:vAlign w:val="center"/>
          </w:tcPr>
          <w:p w14:paraId="2AAFAE8F">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_GB2312" w:hAnsi="仿宋_GB2312" w:eastAsia="仿宋_GB2312" w:cs="仿宋_GB2312"/>
                <w:color w:val="auto"/>
                <w:sz w:val="20"/>
                <w:szCs w:val="20"/>
                <w:highlight w:val="none"/>
                <w:lang w:val="en-US" w:eastAsia="zh-CN"/>
              </w:rPr>
            </w:pPr>
            <w:r>
              <w:rPr>
                <w:rFonts w:hint="eastAsia" w:ascii="仿宋_GB2312" w:hAnsi="仿宋_GB2312" w:eastAsia="仿宋_GB2312" w:cs="仿宋_GB2312"/>
                <w:color w:val="auto"/>
                <w:sz w:val="20"/>
                <w:szCs w:val="20"/>
                <w:highlight w:val="none"/>
                <w:lang w:val="en-US" w:eastAsia="zh-CN"/>
              </w:rPr>
              <w:t>154.29万元</w:t>
            </w:r>
          </w:p>
        </w:tc>
        <w:tc>
          <w:tcPr>
            <w:tcW w:w="780" w:type="dxa"/>
            <w:noWrap w:val="0"/>
            <w:vAlign w:val="center"/>
          </w:tcPr>
          <w:p w14:paraId="1A1B9F32">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3</w:t>
            </w:r>
          </w:p>
        </w:tc>
        <w:tc>
          <w:tcPr>
            <w:tcW w:w="825" w:type="dxa"/>
            <w:noWrap w:val="0"/>
            <w:vAlign w:val="center"/>
          </w:tcPr>
          <w:p w14:paraId="261D2A9E">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3</w:t>
            </w:r>
          </w:p>
        </w:tc>
        <w:tc>
          <w:tcPr>
            <w:tcW w:w="1431" w:type="dxa"/>
            <w:noWrap w:val="0"/>
            <w:vAlign w:val="center"/>
          </w:tcPr>
          <w:p w14:paraId="2453421E">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61C5A1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60" w:type="dxa"/>
            <w:vMerge w:val="continue"/>
            <w:noWrap w:val="0"/>
            <w:vAlign w:val="center"/>
          </w:tcPr>
          <w:p w14:paraId="32D2442E">
            <w:pPr>
              <w:keepNext w:val="0"/>
              <w:keepLines w:val="0"/>
              <w:pageBreakBefore w:val="0"/>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p>
        </w:tc>
        <w:tc>
          <w:tcPr>
            <w:tcW w:w="1062" w:type="dxa"/>
            <w:vMerge w:val="continue"/>
            <w:noWrap w:val="0"/>
            <w:vAlign w:val="center"/>
          </w:tcPr>
          <w:p w14:paraId="725E3D3B">
            <w:pPr>
              <w:keepNext w:val="0"/>
              <w:keepLines w:val="0"/>
              <w:pageBreakBefore w:val="0"/>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p>
        </w:tc>
        <w:tc>
          <w:tcPr>
            <w:tcW w:w="1010" w:type="dxa"/>
            <w:vMerge w:val="continue"/>
            <w:noWrap w:val="0"/>
            <w:vAlign w:val="center"/>
          </w:tcPr>
          <w:p w14:paraId="3341BC0B">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sz w:val="20"/>
                <w:szCs w:val="20"/>
                <w:highlight w:val="none"/>
              </w:rPr>
            </w:pPr>
          </w:p>
        </w:tc>
        <w:tc>
          <w:tcPr>
            <w:tcW w:w="1346" w:type="dxa"/>
            <w:noWrap w:val="0"/>
            <w:vAlign w:val="center"/>
          </w:tcPr>
          <w:p w14:paraId="17429940">
            <w:pPr>
              <w:keepNext w:val="0"/>
              <w:keepLines w:val="0"/>
              <w:pageBreakBefore w:val="0"/>
              <w:widowControl/>
              <w:kinsoku/>
              <w:wordWrap/>
              <w:overflowPunct/>
              <w:topLinePunct w:val="0"/>
              <w:autoSpaceDE/>
              <w:autoSpaceDN/>
              <w:bidi w:val="0"/>
              <w:adjustRightInd/>
              <w:snapToGrid/>
              <w:spacing w:line="240" w:lineRule="exact"/>
              <w:jc w:val="both"/>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产生一定的间接经济效益</w:t>
            </w:r>
          </w:p>
        </w:tc>
        <w:tc>
          <w:tcPr>
            <w:tcW w:w="1290" w:type="dxa"/>
            <w:noWrap w:val="0"/>
            <w:vAlign w:val="center"/>
          </w:tcPr>
          <w:p w14:paraId="783A3BED">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lang w:eastAsia="zh-CN"/>
              </w:rPr>
            </w:pPr>
            <w:r>
              <w:rPr>
                <w:rFonts w:hint="eastAsia" w:ascii="仿宋_GB2312" w:hAnsi="仿宋_GB2312" w:eastAsia="仿宋_GB2312" w:cs="仿宋_GB2312"/>
                <w:color w:val="000000"/>
                <w:sz w:val="20"/>
                <w:szCs w:val="20"/>
                <w:highlight w:val="none"/>
              </w:rPr>
              <w:t>确保市容秩序</w:t>
            </w:r>
            <w:r>
              <w:rPr>
                <w:rFonts w:hint="eastAsia" w:ascii="仿宋_GB2312" w:hAnsi="仿宋_GB2312" w:eastAsia="仿宋_GB2312" w:cs="仿宋_GB2312"/>
                <w:color w:val="000000"/>
                <w:sz w:val="20"/>
                <w:szCs w:val="20"/>
                <w:highlight w:val="none"/>
                <w:lang w:eastAsia="zh-CN"/>
              </w:rPr>
              <w:t>良好</w:t>
            </w:r>
            <w:r>
              <w:rPr>
                <w:rFonts w:hint="eastAsia" w:ascii="仿宋_GB2312" w:hAnsi="仿宋_GB2312" w:eastAsia="仿宋_GB2312" w:cs="仿宋_GB2312"/>
                <w:color w:val="000000"/>
                <w:sz w:val="20"/>
                <w:szCs w:val="20"/>
                <w:highlight w:val="none"/>
              </w:rPr>
              <w:t>，</w:t>
            </w:r>
            <w:r>
              <w:rPr>
                <w:rFonts w:hint="eastAsia" w:ascii="仿宋_GB2312" w:hAnsi="仿宋_GB2312" w:eastAsia="仿宋_GB2312" w:cs="仿宋_GB2312"/>
                <w:color w:val="000000"/>
                <w:sz w:val="20"/>
                <w:szCs w:val="20"/>
                <w:highlight w:val="none"/>
                <w:lang w:eastAsia="zh-CN"/>
              </w:rPr>
              <w:t>助力旅游业发展</w:t>
            </w:r>
          </w:p>
        </w:tc>
        <w:tc>
          <w:tcPr>
            <w:tcW w:w="1275" w:type="dxa"/>
            <w:noWrap w:val="0"/>
            <w:vAlign w:val="center"/>
          </w:tcPr>
          <w:p w14:paraId="5B274F74">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 xml:space="preserve">有效助力 </w:t>
            </w:r>
          </w:p>
        </w:tc>
        <w:tc>
          <w:tcPr>
            <w:tcW w:w="780" w:type="dxa"/>
            <w:noWrap w:val="0"/>
            <w:vAlign w:val="center"/>
          </w:tcPr>
          <w:p w14:paraId="2F512766">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3</w:t>
            </w:r>
          </w:p>
        </w:tc>
        <w:tc>
          <w:tcPr>
            <w:tcW w:w="825" w:type="dxa"/>
            <w:noWrap w:val="0"/>
            <w:vAlign w:val="center"/>
          </w:tcPr>
          <w:p w14:paraId="5BB5ED28">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3</w:t>
            </w:r>
          </w:p>
        </w:tc>
        <w:tc>
          <w:tcPr>
            <w:tcW w:w="1431" w:type="dxa"/>
            <w:noWrap w:val="0"/>
            <w:vAlign w:val="center"/>
          </w:tcPr>
          <w:p w14:paraId="2DC992B0">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488F06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60" w:type="dxa"/>
            <w:vMerge w:val="continue"/>
            <w:noWrap w:val="0"/>
            <w:vAlign w:val="center"/>
          </w:tcPr>
          <w:p w14:paraId="31EE3B27">
            <w:pPr>
              <w:keepNext w:val="0"/>
              <w:keepLines w:val="0"/>
              <w:pageBreakBefore w:val="0"/>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p>
        </w:tc>
        <w:tc>
          <w:tcPr>
            <w:tcW w:w="1062" w:type="dxa"/>
            <w:vMerge w:val="continue"/>
            <w:noWrap w:val="0"/>
            <w:vAlign w:val="center"/>
          </w:tcPr>
          <w:p w14:paraId="477425E9">
            <w:pPr>
              <w:keepNext w:val="0"/>
              <w:keepLines w:val="0"/>
              <w:pageBreakBefore w:val="0"/>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p>
        </w:tc>
        <w:tc>
          <w:tcPr>
            <w:tcW w:w="1010" w:type="dxa"/>
            <w:vMerge w:val="restart"/>
            <w:noWrap w:val="0"/>
            <w:vAlign w:val="center"/>
          </w:tcPr>
          <w:p w14:paraId="6D99E177">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社会效</w:t>
            </w:r>
          </w:p>
          <w:p w14:paraId="250ACF80">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益指标</w:t>
            </w:r>
          </w:p>
        </w:tc>
        <w:tc>
          <w:tcPr>
            <w:tcW w:w="1346" w:type="dxa"/>
            <w:noWrap w:val="0"/>
            <w:vAlign w:val="center"/>
          </w:tcPr>
          <w:p w14:paraId="60D57B1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提升执法形象</w:t>
            </w:r>
          </w:p>
        </w:tc>
        <w:tc>
          <w:tcPr>
            <w:tcW w:w="1290" w:type="dxa"/>
            <w:noWrap w:val="0"/>
            <w:vAlign w:val="center"/>
          </w:tcPr>
          <w:p w14:paraId="7696701E">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依法行政、文明执法，管理和服务相结合，提升执法形象。</w:t>
            </w:r>
          </w:p>
        </w:tc>
        <w:tc>
          <w:tcPr>
            <w:tcW w:w="1275" w:type="dxa"/>
            <w:noWrap w:val="0"/>
            <w:vAlign w:val="center"/>
          </w:tcPr>
          <w:p w14:paraId="5F82CB8D">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eastAsia="zh-CN"/>
              </w:rPr>
              <w:t>公众对</w:t>
            </w:r>
            <w:r>
              <w:rPr>
                <w:rFonts w:hint="eastAsia" w:ascii="仿宋_GB2312" w:hAnsi="仿宋_GB2312" w:eastAsia="仿宋_GB2312" w:cs="仿宋_GB2312"/>
                <w:color w:val="000000"/>
                <w:sz w:val="20"/>
                <w:szCs w:val="20"/>
                <w:highlight w:val="none"/>
              </w:rPr>
              <w:t>执法</w:t>
            </w:r>
            <w:r>
              <w:rPr>
                <w:rFonts w:hint="eastAsia" w:ascii="仿宋_GB2312" w:hAnsi="仿宋_GB2312" w:eastAsia="仿宋_GB2312" w:cs="仿宋_GB2312"/>
                <w:color w:val="000000"/>
                <w:sz w:val="20"/>
                <w:szCs w:val="20"/>
                <w:highlight w:val="none"/>
                <w:lang w:eastAsia="zh-CN"/>
              </w:rPr>
              <w:t>工作认可度显著提升</w:t>
            </w:r>
          </w:p>
        </w:tc>
        <w:tc>
          <w:tcPr>
            <w:tcW w:w="780" w:type="dxa"/>
            <w:noWrap w:val="0"/>
            <w:vAlign w:val="center"/>
          </w:tcPr>
          <w:p w14:paraId="7BCFA3CE">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4</w:t>
            </w:r>
          </w:p>
        </w:tc>
        <w:tc>
          <w:tcPr>
            <w:tcW w:w="825" w:type="dxa"/>
            <w:noWrap w:val="0"/>
            <w:vAlign w:val="center"/>
          </w:tcPr>
          <w:p w14:paraId="415C294E">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4</w:t>
            </w:r>
          </w:p>
        </w:tc>
        <w:tc>
          <w:tcPr>
            <w:tcW w:w="1431" w:type="dxa"/>
            <w:noWrap w:val="0"/>
            <w:vAlign w:val="center"/>
          </w:tcPr>
          <w:p w14:paraId="4BF1F546">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23B4E4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60" w:type="dxa"/>
            <w:vMerge w:val="continue"/>
            <w:noWrap w:val="0"/>
            <w:vAlign w:val="center"/>
          </w:tcPr>
          <w:p w14:paraId="33308028">
            <w:pPr>
              <w:keepNext w:val="0"/>
              <w:keepLines w:val="0"/>
              <w:pageBreakBefore w:val="0"/>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p>
        </w:tc>
        <w:tc>
          <w:tcPr>
            <w:tcW w:w="1062" w:type="dxa"/>
            <w:vMerge w:val="continue"/>
            <w:noWrap w:val="0"/>
            <w:vAlign w:val="center"/>
          </w:tcPr>
          <w:p w14:paraId="54776299">
            <w:pPr>
              <w:keepNext w:val="0"/>
              <w:keepLines w:val="0"/>
              <w:pageBreakBefore w:val="0"/>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p>
        </w:tc>
        <w:tc>
          <w:tcPr>
            <w:tcW w:w="1010" w:type="dxa"/>
            <w:vMerge w:val="continue"/>
            <w:noWrap w:val="0"/>
            <w:vAlign w:val="center"/>
          </w:tcPr>
          <w:p w14:paraId="79AE8F3B">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sz w:val="20"/>
                <w:szCs w:val="20"/>
                <w:highlight w:val="none"/>
              </w:rPr>
            </w:pPr>
          </w:p>
        </w:tc>
        <w:tc>
          <w:tcPr>
            <w:tcW w:w="1346" w:type="dxa"/>
            <w:noWrap w:val="0"/>
            <w:vAlign w:val="center"/>
          </w:tcPr>
          <w:p w14:paraId="0A89E161">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lang w:val="en-US" w:eastAsia="zh-CN"/>
              </w:rPr>
              <w:t>提升城市整体形象</w:t>
            </w:r>
          </w:p>
        </w:tc>
        <w:tc>
          <w:tcPr>
            <w:tcW w:w="1290" w:type="dxa"/>
            <w:noWrap w:val="0"/>
            <w:vAlign w:val="center"/>
          </w:tcPr>
          <w:p w14:paraId="3F1B9210">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lang w:eastAsia="zh-CN"/>
              </w:rPr>
              <w:t>加强市容秩序管理</w:t>
            </w:r>
            <w:r>
              <w:rPr>
                <w:rFonts w:hint="eastAsia" w:ascii="仿宋_GB2312" w:hAnsi="仿宋_GB2312" w:eastAsia="仿宋_GB2312" w:cs="仿宋_GB2312"/>
                <w:color w:val="000000"/>
                <w:sz w:val="20"/>
                <w:szCs w:val="20"/>
              </w:rPr>
              <w:t>，</w:t>
            </w:r>
            <w:r>
              <w:rPr>
                <w:rFonts w:hint="eastAsia" w:ascii="仿宋_GB2312" w:hAnsi="仿宋_GB2312" w:eastAsia="仿宋_GB2312" w:cs="仿宋_GB2312"/>
                <w:color w:val="000000"/>
                <w:sz w:val="20"/>
                <w:szCs w:val="20"/>
                <w:lang w:val="en-US" w:eastAsia="zh-CN"/>
              </w:rPr>
              <w:t>提升城市整体形象。</w:t>
            </w:r>
          </w:p>
        </w:tc>
        <w:tc>
          <w:tcPr>
            <w:tcW w:w="1275" w:type="dxa"/>
            <w:noWrap w:val="0"/>
            <w:vAlign w:val="center"/>
          </w:tcPr>
          <w:p w14:paraId="73D9E17C">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lang w:val="en-US" w:eastAsia="zh-CN"/>
              </w:rPr>
              <w:t>提升了城市整体形象，改善了市民居住环境。</w:t>
            </w:r>
          </w:p>
        </w:tc>
        <w:tc>
          <w:tcPr>
            <w:tcW w:w="780" w:type="dxa"/>
            <w:noWrap w:val="0"/>
            <w:vAlign w:val="center"/>
          </w:tcPr>
          <w:p w14:paraId="2990D16E">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4</w:t>
            </w:r>
          </w:p>
        </w:tc>
        <w:tc>
          <w:tcPr>
            <w:tcW w:w="825" w:type="dxa"/>
            <w:noWrap w:val="0"/>
            <w:vAlign w:val="center"/>
          </w:tcPr>
          <w:p w14:paraId="04379497">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4</w:t>
            </w:r>
          </w:p>
        </w:tc>
        <w:tc>
          <w:tcPr>
            <w:tcW w:w="1431" w:type="dxa"/>
            <w:noWrap w:val="0"/>
            <w:vAlign w:val="center"/>
          </w:tcPr>
          <w:p w14:paraId="5C98EB5F">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6F452A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5" w:hRule="atLeast"/>
          <w:jc w:val="center"/>
        </w:trPr>
        <w:tc>
          <w:tcPr>
            <w:tcW w:w="1060" w:type="dxa"/>
            <w:vMerge w:val="continue"/>
            <w:noWrap w:val="0"/>
            <w:vAlign w:val="center"/>
          </w:tcPr>
          <w:p w14:paraId="6319FE85">
            <w:pPr>
              <w:keepNext w:val="0"/>
              <w:keepLines w:val="0"/>
              <w:pageBreakBefore w:val="0"/>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p>
        </w:tc>
        <w:tc>
          <w:tcPr>
            <w:tcW w:w="1062" w:type="dxa"/>
            <w:vMerge w:val="continue"/>
            <w:noWrap w:val="0"/>
            <w:vAlign w:val="center"/>
          </w:tcPr>
          <w:p w14:paraId="15050DFB">
            <w:pPr>
              <w:keepNext w:val="0"/>
              <w:keepLines w:val="0"/>
              <w:pageBreakBefore w:val="0"/>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p>
        </w:tc>
        <w:tc>
          <w:tcPr>
            <w:tcW w:w="1010" w:type="dxa"/>
            <w:noWrap w:val="0"/>
            <w:vAlign w:val="center"/>
          </w:tcPr>
          <w:p w14:paraId="5E182D09">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生态效</w:t>
            </w:r>
          </w:p>
          <w:p w14:paraId="3276587E">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益指标</w:t>
            </w:r>
          </w:p>
        </w:tc>
        <w:tc>
          <w:tcPr>
            <w:tcW w:w="1346" w:type="dxa"/>
            <w:noWrap w:val="0"/>
            <w:vAlign w:val="center"/>
          </w:tcPr>
          <w:p w14:paraId="4369919B">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_GB2312" w:hAnsi="仿宋_GB2312" w:eastAsia="仿宋_GB2312" w:cs="仿宋_GB2312"/>
                <w:color w:val="000000"/>
                <w:kern w:val="0"/>
                <w:sz w:val="20"/>
                <w:szCs w:val="20"/>
                <w:highlight w:val="none"/>
                <w:lang w:val="en-US" w:eastAsia="zh-CN" w:bidi="ar-SA"/>
              </w:rPr>
            </w:pPr>
            <w:r>
              <w:rPr>
                <w:rFonts w:hint="eastAsia" w:ascii="仿宋_GB2312" w:hAnsi="仿宋_GB2312" w:eastAsia="仿宋_GB2312" w:cs="仿宋_GB2312"/>
                <w:color w:val="000000"/>
                <w:sz w:val="20"/>
                <w:szCs w:val="20"/>
                <w:lang w:val="en-US" w:eastAsia="zh-CN"/>
              </w:rPr>
              <w:t>城区扬尘治理</w:t>
            </w:r>
          </w:p>
        </w:tc>
        <w:tc>
          <w:tcPr>
            <w:tcW w:w="1290" w:type="dxa"/>
            <w:noWrap w:val="0"/>
            <w:vAlign w:val="center"/>
          </w:tcPr>
          <w:p w14:paraId="6BC60BB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kern w:val="0"/>
                <w:sz w:val="20"/>
                <w:szCs w:val="20"/>
                <w:highlight w:val="none"/>
                <w:lang w:val="en-US" w:eastAsia="zh-CN" w:bidi="ar-SA"/>
              </w:rPr>
            </w:pPr>
            <w:r>
              <w:rPr>
                <w:rFonts w:hint="eastAsia" w:ascii="仿宋_GB2312" w:hAnsi="仿宋_GB2312" w:eastAsia="仿宋_GB2312" w:cs="仿宋_GB2312"/>
                <w:sz w:val="20"/>
                <w:szCs w:val="20"/>
                <w:lang w:eastAsia="zh-CN"/>
              </w:rPr>
              <w:t>加强基建场地污染源整治监管，</w:t>
            </w:r>
            <w:r>
              <w:rPr>
                <w:rFonts w:hint="eastAsia" w:ascii="仿宋_GB2312" w:hAnsi="仿宋_GB2312" w:eastAsia="仿宋_GB2312" w:cs="仿宋_GB2312"/>
                <w:sz w:val="20"/>
                <w:szCs w:val="20"/>
                <w:lang w:val="en-US" w:eastAsia="zh-CN"/>
              </w:rPr>
              <w:t>改善城市环境。</w:t>
            </w:r>
          </w:p>
        </w:tc>
        <w:tc>
          <w:tcPr>
            <w:tcW w:w="1275" w:type="dxa"/>
            <w:noWrap w:val="0"/>
            <w:vAlign w:val="center"/>
          </w:tcPr>
          <w:p w14:paraId="6F4BD09E">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kern w:val="0"/>
                <w:sz w:val="20"/>
                <w:szCs w:val="20"/>
                <w:highlight w:val="none"/>
                <w:lang w:val="en-US" w:eastAsia="zh-CN" w:bidi="ar-SA"/>
              </w:rPr>
            </w:pPr>
            <w:r>
              <w:rPr>
                <w:rFonts w:hint="eastAsia" w:ascii="仿宋_GB2312" w:hAnsi="仿宋_GB2312" w:eastAsia="仿宋_GB2312" w:cs="仿宋_GB2312"/>
                <w:sz w:val="20"/>
                <w:szCs w:val="20"/>
                <w:lang w:eastAsia="zh-CN"/>
              </w:rPr>
              <w:t>基建场</w:t>
            </w:r>
            <w:r>
              <w:rPr>
                <w:rFonts w:hint="eastAsia" w:ascii="仿宋_GB2312" w:hAnsi="仿宋_GB2312" w:eastAsia="仿宋_GB2312" w:cs="仿宋_GB2312"/>
                <w:sz w:val="20"/>
                <w:szCs w:val="20"/>
              </w:rPr>
              <w:t>污染源</w:t>
            </w:r>
            <w:r>
              <w:rPr>
                <w:rFonts w:hint="eastAsia" w:ascii="仿宋_GB2312" w:hAnsi="仿宋_GB2312" w:eastAsia="仿宋_GB2312" w:cs="仿宋_GB2312"/>
                <w:sz w:val="20"/>
                <w:szCs w:val="20"/>
                <w:lang w:eastAsia="zh-CN"/>
              </w:rPr>
              <w:t>得到有效</w:t>
            </w:r>
            <w:r>
              <w:rPr>
                <w:rFonts w:hint="eastAsia" w:ascii="仿宋_GB2312" w:hAnsi="仿宋_GB2312" w:eastAsia="仿宋_GB2312" w:cs="仿宋_GB2312"/>
                <w:sz w:val="20"/>
                <w:szCs w:val="20"/>
              </w:rPr>
              <w:t>管控</w:t>
            </w:r>
            <w:r>
              <w:rPr>
                <w:rFonts w:hint="eastAsia" w:ascii="仿宋_GB2312" w:hAnsi="仿宋_GB2312" w:eastAsia="仿宋_GB2312" w:cs="仿宋_GB2312"/>
                <w:sz w:val="20"/>
                <w:szCs w:val="20"/>
                <w:lang w:eastAsia="zh-CN"/>
              </w:rPr>
              <w:t>，</w:t>
            </w:r>
            <w:r>
              <w:rPr>
                <w:rFonts w:hint="eastAsia" w:ascii="仿宋_GB2312" w:hAnsi="仿宋_GB2312" w:eastAsia="仿宋_GB2312" w:cs="仿宋_GB2312"/>
                <w:sz w:val="20"/>
                <w:szCs w:val="20"/>
                <w:lang w:val="en-US" w:eastAsia="zh-CN"/>
              </w:rPr>
              <w:t>减少了噪音和扬尘污染。</w:t>
            </w:r>
          </w:p>
        </w:tc>
        <w:tc>
          <w:tcPr>
            <w:tcW w:w="780" w:type="dxa"/>
            <w:noWrap w:val="0"/>
            <w:vAlign w:val="center"/>
          </w:tcPr>
          <w:p w14:paraId="2D9648D6">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kern w:val="0"/>
                <w:sz w:val="20"/>
                <w:szCs w:val="20"/>
                <w:highlight w:val="none"/>
                <w:lang w:val="en-US" w:eastAsia="zh-CN" w:bidi="ar-SA"/>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8</w:t>
            </w:r>
          </w:p>
        </w:tc>
        <w:tc>
          <w:tcPr>
            <w:tcW w:w="825" w:type="dxa"/>
            <w:noWrap w:val="0"/>
            <w:vAlign w:val="center"/>
          </w:tcPr>
          <w:p w14:paraId="6CB71265">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kern w:val="0"/>
                <w:sz w:val="20"/>
                <w:szCs w:val="20"/>
                <w:highlight w:val="none"/>
                <w:lang w:val="en-US" w:eastAsia="zh-CN" w:bidi="ar-SA"/>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8</w:t>
            </w:r>
          </w:p>
        </w:tc>
        <w:tc>
          <w:tcPr>
            <w:tcW w:w="1431" w:type="dxa"/>
            <w:noWrap w:val="0"/>
            <w:vAlign w:val="center"/>
          </w:tcPr>
          <w:p w14:paraId="75A32B10">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kern w:val="0"/>
                <w:sz w:val="18"/>
                <w:szCs w:val="18"/>
                <w:highlight w:val="none"/>
                <w:lang w:val="en-US" w:eastAsia="zh-CN" w:bidi="ar-SA"/>
              </w:rPr>
            </w:pPr>
          </w:p>
        </w:tc>
      </w:tr>
      <w:tr w14:paraId="412748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jc w:val="center"/>
        </w:trPr>
        <w:tc>
          <w:tcPr>
            <w:tcW w:w="1060" w:type="dxa"/>
            <w:vMerge w:val="continue"/>
            <w:noWrap w:val="0"/>
            <w:vAlign w:val="center"/>
          </w:tcPr>
          <w:p w14:paraId="2126F57F">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sz w:val="20"/>
                <w:szCs w:val="20"/>
                <w:highlight w:val="none"/>
              </w:rPr>
            </w:pPr>
          </w:p>
        </w:tc>
        <w:tc>
          <w:tcPr>
            <w:tcW w:w="1062" w:type="dxa"/>
            <w:vMerge w:val="continue"/>
            <w:noWrap w:val="0"/>
            <w:vAlign w:val="center"/>
          </w:tcPr>
          <w:p w14:paraId="774C2BB2">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p>
        </w:tc>
        <w:tc>
          <w:tcPr>
            <w:tcW w:w="1010" w:type="dxa"/>
            <w:vMerge w:val="restart"/>
            <w:noWrap w:val="0"/>
            <w:vAlign w:val="center"/>
          </w:tcPr>
          <w:p w14:paraId="16073D40">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可持续影响指标</w:t>
            </w:r>
          </w:p>
        </w:tc>
        <w:tc>
          <w:tcPr>
            <w:tcW w:w="1346" w:type="dxa"/>
            <w:noWrap w:val="0"/>
            <w:vAlign w:val="center"/>
          </w:tcPr>
          <w:p w14:paraId="23F4C22C">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eastAsia="zh-CN"/>
              </w:rPr>
              <w:t>加强城市管理工作</w:t>
            </w:r>
          </w:p>
        </w:tc>
        <w:tc>
          <w:tcPr>
            <w:tcW w:w="1290" w:type="dxa"/>
            <w:noWrap w:val="0"/>
            <w:vAlign w:val="center"/>
          </w:tcPr>
          <w:p w14:paraId="6E56E7FE">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eastAsia="zh-CN"/>
              </w:rPr>
              <w:t>对</w:t>
            </w:r>
            <w:r>
              <w:rPr>
                <w:rFonts w:hint="eastAsia" w:ascii="仿宋_GB2312" w:hAnsi="仿宋_GB2312" w:eastAsia="仿宋_GB2312" w:cs="仿宋_GB2312"/>
                <w:sz w:val="20"/>
                <w:szCs w:val="20"/>
                <w:lang w:eastAsia="zh-CN"/>
              </w:rPr>
              <w:t>市本级</w:t>
            </w:r>
            <w:r>
              <w:rPr>
                <w:rFonts w:hint="eastAsia" w:ascii="仿宋_GB2312" w:hAnsi="仿宋_GB2312" w:eastAsia="仿宋_GB2312" w:cs="仿宋_GB2312"/>
                <w:color w:val="000000"/>
                <w:sz w:val="20"/>
                <w:szCs w:val="20"/>
                <w:highlight w:val="none"/>
                <w:lang w:val="en-US" w:eastAsia="zh-CN"/>
              </w:rPr>
              <w:t>市容市貌进行</w:t>
            </w:r>
            <w:r>
              <w:rPr>
                <w:rFonts w:hint="eastAsia" w:ascii="仿宋_GB2312" w:hAnsi="仿宋_GB2312" w:eastAsia="仿宋_GB2312" w:cs="仿宋_GB2312"/>
                <w:color w:val="000000"/>
                <w:sz w:val="20"/>
                <w:szCs w:val="20"/>
                <w:highlight w:val="none"/>
              </w:rPr>
              <w:t>常态化</w:t>
            </w:r>
            <w:r>
              <w:rPr>
                <w:rFonts w:hint="eastAsia" w:ascii="仿宋_GB2312" w:hAnsi="仿宋_GB2312" w:eastAsia="仿宋_GB2312" w:cs="仿宋_GB2312"/>
                <w:color w:val="000000"/>
                <w:sz w:val="20"/>
                <w:szCs w:val="20"/>
                <w:highlight w:val="none"/>
                <w:lang w:eastAsia="zh-CN"/>
              </w:rPr>
              <w:t>、</w:t>
            </w:r>
            <w:r>
              <w:rPr>
                <w:rFonts w:hint="eastAsia" w:ascii="仿宋_GB2312" w:hAnsi="仿宋_GB2312" w:eastAsia="仿宋_GB2312" w:cs="仿宋_GB2312"/>
                <w:color w:val="000000"/>
                <w:sz w:val="20"/>
                <w:szCs w:val="20"/>
                <w:highlight w:val="none"/>
              </w:rPr>
              <w:t>长效化管理</w:t>
            </w:r>
          </w:p>
        </w:tc>
        <w:tc>
          <w:tcPr>
            <w:tcW w:w="1275" w:type="dxa"/>
            <w:noWrap w:val="0"/>
            <w:vAlign w:val="center"/>
          </w:tcPr>
          <w:p w14:paraId="0B047B5B">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市容市貌的常态化管理取得了良好的效果</w:t>
            </w:r>
          </w:p>
        </w:tc>
        <w:tc>
          <w:tcPr>
            <w:tcW w:w="780" w:type="dxa"/>
            <w:noWrap w:val="0"/>
            <w:vAlign w:val="center"/>
          </w:tcPr>
          <w:p w14:paraId="552F80AE">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4</w:t>
            </w:r>
          </w:p>
        </w:tc>
        <w:tc>
          <w:tcPr>
            <w:tcW w:w="825" w:type="dxa"/>
            <w:noWrap w:val="0"/>
            <w:vAlign w:val="center"/>
          </w:tcPr>
          <w:p w14:paraId="526C3970">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3</w:t>
            </w:r>
          </w:p>
        </w:tc>
        <w:tc>
          <w:tcPr>
            <w:tcW w:w="1431" w:type="dxa"/>
            <w:noWrap w:val="0"/>
            <w:vAlign w:val="center"/>
          </w:tcPr>
          <w:p w14:paraId="65A6AA1F">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18"/>
                <w:szCs w:val="18"/>
                <w:highlight w:val="none"/>
              </w:rPr>
            </w:pPr>
            <w:r>
              <w:rPr>
                <w:rFonts w:hint="eastAsia" w:ascii="仿宋_GB2312" w:hAnsi="仿宋_GB2312" w:eastAsia="仿宋_GB2312" w:cs="仿宋_GB2312"/>
                <w:color w:val="000000"/>
                <w:sz w:val="18"/>
                <w:szCs w:val="18"/>
                <w:highlight w:val="none"/>
                <w:lang w:val="en-US" w:eastAsia="zh-CN"/>
              </w:rPr>
              <w:t>还有待进一步加强政策法规宣传，下一步加大宣传力度，提升市民知法守法的自觉意识。</w:t>
            </w:r>
          </w:p>
        </w:tc>
      </w:tr>
      <w:tr w14:paraId="1E0C4A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60" w:type="dxa"/>
            <w:vMerge w:val="continue"/>
            <w:noWrap w:val="0"/>
            <w:vAlign w:val="center"/>
          </w:tcPr>
          <w:p w14:paraId="73ABFAFC">
            <w:pPr>
              <w:keepNext w:val="0"/>
              <w:keepLines w:val="0"/>
              <w:pageBreakBefore w:val="0"/>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p>
        </w:tc>
        <w:tc>
          <w:tcPr>
            <w:tcW w:w="1062" w:type="dxa"/>
            <w:vMerge w:val="continue"/>
            <w:noWrap w:val="0"/>
            <w:vAlign w:val="center"/>
          </w:tcPr>
          <w:p w14:paraId="4CCEDE7C">
            <w:pPr>
              <w:keepNext w:val="0"/>
              <w:keepLines w:val="0"/>
              <w:pageBreakBefore w:val="0"/>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p>
        </w:tc>
        <w:tc>
          <w:tcPr>
            <w:tcW w:w="1010" w:type="dxa"/>
            <w:vMerge w:val="continue"/>
            <w:noWrap w:val="0"/>
            <w:vAlign w:val="center"/>
          </w:tcPr>
          <w:p w14:paraId="7B0B070A">
            <w:pPr>
              <w:keepNext w:val="0"/>
              <w:keepLines w:val="0"/>
              <w:pageBreakBefore w:val="0"/>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p>
        </w:tc>
        <w:tc>
          <w:tcPr>
            <w:tcW w:w="1346" w:type="dxa"/>
            <w:noWrap w:val="0"/>
            <w:vAlign w:val="center"/>
          </w:tcPr>
          <w:p w14:paraId="15857CB9">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rPr>
              <w:t>打造整洁、秀美市容环境</w:t>
            </w:r>
          </w:p>
        </w:tc>
        <w:tc>
          <w:tcPr>
            <w:tcW w:w="1290" w:type="dxa"/>
            <w:noWrap w:val="0"/>
            <w:vAlign w:val="center"/>
          </w:tcPr>
          <w:p w14:paraId="60E999BE">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lang w:val="en-US" w:eastAsia="zh-CN"/>
              </w:rPr>
              <w:t>城市规范化管理，提升城市整体形象。</w:t>
            </w:r>
          </w:p>
        </w:tc>
        <w:tc>
          <w:tcPr>
            <w:tcW w:w="1275" w:type="dxa"/>
            <w:noWrap w:val="0"/>
            <w:vAlign w:val="center"/>
          </w:tcPr>
          <w:p w14:paraId="7851F1D5">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lang w:val="en-US" w:eastAsia="zh-CN"/>
              </w:rPr>
              <w:t>城市整体形象不断提升</w:t>
            </w:r>
          </w:p>
        </w:tc>
        <w:tc>
          <w:tcPr>
            <w:tcW w:w="780" w:type="dxa"/>
            <w:noWrap w:val="0"/>
            <w:vAlign w:val="center"/>
          </w:tcPr>
          <w:p w14:paraId="24FFE2B0">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4</w:t>
            </w:r>
          </w:p>
        </w:tc>
        <w:tc>
          <w:tcPr>
            <w:tcW w:w="825" w:type="dxa"/>
            <w:noWrap w:val="0"/>
            <w:vAlign w:val="center"/>
          </w:tcPr>
          <w:p w14:paraId="57986473">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3</w:t>
            </w:r>
          </w:p>
        </w:tc>
        <w:tc>
          <w:tcPr>
            <w:tcW w:w="1431" w:type="dxa"/>
            <w:noWrap w:val="0"/>
            <w:vAlign w:val="center"/>
          </w:tcPr>
          <w:p w14:paraId="21CDDC73">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18"/>
                <w:szCs w:val="18"/>
                <w:highlight w:val="none"/>
              </w:rPr>
            </w:pPr>
            <w:r>
              <w:rPr>
                <w:rFonts w:hint="eastAsia" w:ascii="仿宋_GB2312" w:hAnsi="仿宋_GB2312" w:eastAsia="仿宋_GB2312" w:cs="仿宋_GB2312"/>
                <w:color w:val="000000"/>
                <w:sz w:val="18"/>
                <w:szCs w:val="18"/>
                <w:highlight w:val="none"/>
                <w:lang w:val="en-US" w:eastAsia="zh-CN"/>
              </w:rPr>
              <w:t>部分路段应加强常态化管理，下一步加大巡查力度，进行常态化管理。</w:t>
            </w:r>
          </w:p>
        </w:tc>
      </w:tr>
      <w:tr w14:paraId="7E7F57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1060" w:type="dxa"/>
            <w:vMerge w:val="continue"/>
            <w:noWrap w:val="0"/>
            <w:vAlign w:val="center"/>
          </w:tcPr>
          <w:p w14:paraId="1E054B46">
            <w:pPr>
              <w:keepNext w:val="0"/>
              <w:keepLines w:val="0"/>
              <w:pageBreakBefore w:val="0"/>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p>
        </w:tc>
        <w:tc>
          <w:tcPr>
            <w:tcW w:w="1062" w:type="dxa"/>
            <w:noWrap w:val="0"/>
            <w:vAlign w:val="center"/>
          </w:tcPr>
          <w:p w14:paraId="07884930">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满意度</w:t>
            </w:r>
          </w:p>
          <w:p w14:paraId="141187ED">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指标</w:t>
            </w:r>
          </w:p>
          <w:p w14:paraId="71A0392E">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（10分）</w:t>
            </w:r>
          </w:p>
        </w:tc>
        <w:tc>
          <w:tcPr>
            <w:tcW w:w="1010" w:type="dxa"/>
            <w:noWrap w:val="0"/>
            <w:vAlign w:val="center"/>
          </w:tcPr>
          <w:p w14:paraId="4FBD42D1">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服务对象满意度指标</w:t>
            </w:r>
          </w:p>
        </w:tc>
        <w:tc>
          <w:tcPr>
            <w:tcW w:w="1346" w:type="dxa"/>
            <w:noWrap w:val="0"/>
            <w:vAlign w:val="center"/>
          </w:tcPr>
          <w:p w14:paraId="09FC7A1B">
            <w:pPr>
              <w:keepNext w:val="0"/>
              <w:keepLines w:val="0"/>
              <w:pageBreakBefore w:val="0"/>
              <w:widowControl/>
              <w:kinsoku/>
              <w:wordWrap/>
              <w:overflowPunct/>
              <w:topLinePunct w:val="0"/>
              <w:autoSpaceDE/>
              <w:autoSpaceDN/>
              <w:bidi w:val="0"/>
              <w:adjustRightInd/>
              <w:snapToGrid/>
              <w:spacing w:line="240" w:lineRule="exact"/>
              <w:jc w:val="both"/>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公众对城管执法工作满意度</w:t>
            </w:r>
          </w:p>
        </w:tc>
        <w:tc>
          <w:tcPr>
            <w:tcW w:w="1290" w:type="dxa"/>
            <w:noWrap w:val="0"/>
            <w:vAlign w:val="center"/>
          </w:tcPr>
          <w:p w14:paraId="75B252DB">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95%以上</w:t>
            </w:r>
          </w:p>
        </w:tc>
        <w:tc>
          <w:tcPr>
            <w:tcW w:w="1275" w:type="dxa"/>
            <w:noWrap w:val="0"/>
            <w:vAlign w:val="center"/>
          </w:tcPr>
          <w:p w14:paraId="7E89A135">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97%</w:t>
            </w:r>
          </w:p>
        </w:tc>
        <w:tc>
          <w:tcPr>
            <w:tcW w:w="780" w:type="dxa"/>
            <w:noWrap w:val="0"/>
            <w:vAlign w:val="center"/>
          </w:tcPr>
          <w:p w14:paraId="08E9DC2D">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10</w:t>
            </w:r>
          </w:p>
        </w:tc>
        <w:tc>
          <w:tcPr>
            <w:tcW w:w="825" w:type="dxa"/>
            <w:noWrap w:val="0"/>
            <w:vAlign w:val="center"/>
          </w:tcPr>
          <w:p w14:paraId="1B0517E5">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10</w:t>
            </w:r>
          </w:p>
        </w:tc>
        <w:tc>
          <w:tcPr>
            <w:tcW w:w="1431" w:type="dxa"/>
            <w:noWrap w:val="0"/>
            <w:vAlign w:val="center"/>
          </w:tcPr>
          <w:p w14:paraId="15F99E88">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299320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5" w:hRule="atLeast"/>
          <w:jc w:val="center"/>
        </w:trPr>
        <w:tc>
          <w:tcPr>
            <w:tcW w:w="7043" w:type="dxa"/>
            <w:gridSpan w:val="6"/>
            <w:noWrap w:val="0"/>
            <w:vAlign w:val="center"/>
          </w:tcPr>
          <w:p w14:paraId="58E779FF">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总分</w:t>
            </w:r>
          </w:p>
        </w:tc>
        <w:tc>
          <w:tcPr>
            <w:tcW w:w="780" w:type="dxa"/>
            <w:noWrap w:val="0"/>
            <w:vAlign w:val="center"/>
          </w:tcPr>
          <w:p w14:paraId="5E20436A">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100</w:t>
            </w:r>
          </w:p>
        </w:tc>
        <w:tc>
          <w:tcPr>
            <w:tcW w:w="825" w:type="dxa"/>
            <w:noWrap w:val="0"/>
            <w:vAlign w:val="center"/>
          </w:tcPr>
          <w:p w14:paraId="0111505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97.57</w:t>
            </w:r>
          </w:p>
        </w:tc>
        <w:tc>
          <w:tcPr>
            <w:tcW w:w="1431" w:type="dxa"/>
            <w:noWrap w:val="0"/>
            <w:vAlign w:val="center"/>
          </w:tcPr>
          <w:p w14:paraId="53FEB6E7">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bl>
    <w:p w14:paraId="0C8F8BE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CESI仿宋-GB2312" w:hAnsi="CESI仿宋-GB2312" w:eastAsia="CESI仿宋-GB2312" w:cs="CESI仿宋-GB2312"/>
          <w:color w:val="auto"/>
          <w:sz w:val="22"/>
          <w:szCs w:val="22"/>
        </w:rPr>
      </w:pPr>
    </w:p>
    <w:p w14:paraId="6E6AE483">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CESI仿宋-GB2312" w:hAnsi="CESI仿宋-GB2312" w:eastAsia="CESI仿宋-GB2312" w:cs="CESI仿宋-GB2312"/>
          <w:color w:val="auto"/>
          <w:sz w:val="22"/>
          <w:szCs w:val="22"/>
          <w:lang w:eastAsia="zh-CN"/>
        </w:rPr>
      </w:pPr>
      <w:r>
        <w:rPr>
          <w:rFonts w:hint="eastAsia" w:ascii="CESI仿宋-GB2312" w:hAnsi="CESI仿宋-GB2312" w:eastAsia="CESI仿宋-GB2312" w:cs="CESI仿宋-GB2312"/>
          <w:color w:val="auto"/>
          <w:sz w:val="22"/>
          <w:szCs w:val="22"/>
        </w:rPr>
        <w:t>填表人</w:t>
      </w:r>
      <w:r>
        <w:rPr>
          <w:rFonts w:hint="eastAsia" w:ascii="CESI仿宋-GB2312" w:hAnsi="CESI仿宋-GB2312" w:eastAsia="CESI仿宋-GB2312" w:cs="CESI仿宋-GB2312"/>
          <w:color w:val="auto"/>
          <w:sz w:val="22"/>
          <w:szCs w:val="22"/>
          <w:lang w:eastAsia="zh-CN"/>
        </w:rPr>
        <w:t>：徐建</w:t>
      </w:r>
      <w:r>
        <w:rPr>
          <w:rFonts w:hint="eastAsia" w:ascii="CESI仿宋-GB2312" w:hAnsi="CESI仿宋-GB2312" w:eastAsia="CESI仿宋-GB2312" w:cs="CESI仿宋-GB2312"/>
          <w:color w:val="auto"/>
          <w:sz w:val="22"/>
          <w:szCs w:val="22"/>
          <w:lang w:val="en-US" w:eastAsia="zh-CN"/>
        </w:rPr>
        <w:t xml:space="preserve"> </w:t>
      </w:r>
      <w:r>
        <w:rPr>
          <w:rFonts w:hint="eastAsia" w:ascii="CESI仿宋-GB2312" w:hAnsi="CESI仿宋-GB2312" w:eastAsia="CESI仿宋-GB2312" w:cs="CESI仿宋-GB2312"/>
          <w:color w:val="auto"/>
          <w:sz w:val="22"/>
          <w:szCs w:val="22"/>
        </w:rPr>
        <w:t xml:space="preserve">  填报日期：</w:t>
      </w:r>
      <w:r>
        <w:rPr>
          <w:rFonts w:hint="eastAsia" w:ascii="CESI仿宋-GB2312" w:hAnsi="CESI仿宋-GB2312" w:eastAsia="CESI仿宋-GB2312" w:cs="CESI仿宋-GB2312"/>
          <w:color w:val="auto"/>
          <w:sz w:val="22"/>
          <w:szCs w:val="22"/>
          <w:lang w:val="en-US" w:eastAsia="zh-CN"/>
        </w:rPr>
        <w:t xml:space="preserve">2026.6.15 </w:t>
      </w:r>
      <w:r>
        <w:rPr>
          <w:rFonts w:hint="eastAsia" w:ascii="CESI仿宋-GB2312" w:hAnsi="CESI仿宋-GB2312" w:eastAsia="CESI仿宋-GB2312" w:cs="CESI仿宋-GB2312"/>
          <w:color w:val="auto"/>
          <w:sz w:val="22"/>
          <w:szCs w:val="22"/>
        </w:rPr>
        <w:t xml:space="preserve"> 联系电话：</w:t>
      </w:r>
      <w:r>
        <w:rPr>
          <w:rFonts w:hint="eastAsia" w:ascii="CESI仿宋-GB2312" w:hAnsi="CESI仿宋-GB2312" w:eastAsia="CESI仿宋-GB2312" w:cs="CESI仿宋-GB2312"/>
          <w:color w:val="auto"/>
          <w:sz w:val="22"/>
          <w:szCs w:val="22"/>
          <w:lang w:val="en-US" w:eastAsia="zh-CN"/>
        </w:rPr>
        <w:t>0730-8227298</w:t>
      </w:r>
      <w:r>
        <w:rPr>
          <w:rFonts w:hint="eastAsia" w:ascii="CESI仿宋-GB2312" w:hAnsi="CESI仿宋-GB2312" w:eastAsia="CESI仿宋-GB2312" w:cs="CESI仿宋-GB2312"/>
          <w:color w:val="auto"/>
          <w:sz w:val="22"/>
          <w:szCs w:val="22"/>
        </w:rPr>
        <w:t xml:space="preserve"> </w:t>
      </w:r>
      <w:r>
        <w:rPr>
          <w:rFonts w:hint="eastAsia" w:ascii="CESI仿宋-GB2312" w:hAnsi="CESI仿宋-GB2312" w:eastAsia="CESI仿宋-GB2312" w:cs="CESI仿宋-GB2312"/>
          <w:color w:val="auto"/>
          <w:sz w:val="22"/>
          <w:szCs w:val="22"/>
          <w:lang w:val="en-US" w:eastAsia="zh-CN"/>
        </w:rPr>
        <w:t xml:space="preserve"> </w:t>
      </w:r>
      <w:r>
        <w:rPr>
          <w:rFonts w:hint="eastAsia" w:ascii="CESI仿宋-GB2312" w:hAnsi="CESI仿宋-GB2312" w:eastAsia="CESI仿宋-GB2312" w:cs="CESI仿宋-GB2312"/>
          <w:color w:val="auto"/>
          <w:sz w:val="22"/>
          <w:szCs w:val="22"/>
        </w:rPr>
        <w:t>单位负责人：</w:t>
      </w:r>
      <w:r>
        <w:rPr>
          <w:rFonts w:hint="eastAsia" w:ascii="CESI仿宋-GB2312" w:hAnsi="CESI仿宋-GB2312" w:eastAsia="CESI仿宋-GB2312" w:cs="CESI仿宋-GB2312"/>
          <w:color w:val="auto"/>
          <w:sz w:val="22"/>
          <w:szCs w:val="22"/>
          <w:lang w:eastAsia="zh-CN"/>
        </w:rPr>
        <w:t>郭沫农</w:t>
      </w:r>
    </w:p>
    <w:p w14:paraId="547EE278">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CESI仿宋-GB2312" w:hAnsi="CESI仿宋-GB2312" w:eastAsia="CESI仿宋-GB2312" w:cs="CESI仿宋-GB2312"/>
          <w:color w:val="auto"/>
          <w:sz w:val="22"/>
          <w:szCs w:val="22"/>
          <w:lang w:eastAsia="zh-CN"/>
        </w:rPr>
      </w:pPr>
    </w:p>
    <w:p w14:paraId="30EEDCC4">
      <w:pPr>
        <w:widowControl/>
        <w:spacing w:line="600" w:lineRule="exact"/>
        <w:jc w:val="left"/>
        <w:rPr>
          <w:rFonts w:hint="eastAsia" w:ascii="仿宋" w:hAnsi="仿宋" w:eastAsia="宋体" w:cs="Times New Roman"/>
          <w:kern w:val="0"/>
          <w:sz w:val="32"/>
          <w:szCs w:val="32"/>
          <w:lang w:val="en-US" w:eastAsia="zh-CN" w:bidi="ar-SA"/>
        </w:rPr>
      </w:pPr>
      <w:r>
        <w:rPr>
          <w:rFonts w:hint="eastAsia" w:ascii="仿宋_GB2312" w:hAnsi="仿宋_GB2312" w:eastAsia="仿宋_GB2312" w:cs="仿宋_GB2312"/>
          <w:kern w:val="0"/>
          <w:sz w:val="32"/>
          <w:szCs w:val="32"/>
          <w:lang w:val="en-US" w:eastAsia="zh-CN" w:bidi="ar-SA"/>
        </w:rPr>
        <w:br w:type="page"/>
      </w:r>
    </w:p>
    <w:p w14:paraId="22004BFE">
      <w:pPr>
        <w:keepNext w:val="0"/>
        <w:keepLines w:val="0"/>
        <w:pageBreakBefore w:val="0"/>
        <w:widowControl/>
        <w:kinsoku/>
        <w:wordWrap/>
        <w:overflowPunct/>
        <w:topLinePunct w:val="0"/>
        <w:autoSpaceDE/>
        <w:autoSpaceDN/>
        <w:bidi w:val="0"/>
        <w:adjustRightInd/>
        <w:snapToGrid/>
        <w:spacing w:line="500" w:lineRule="exact"/>
        <w:jc w:val="left"/>
        <w:textAlignment w:val="auto"/>
        <w:rPr>
          <w:rFonts w:hint="default" w:ascii="Times New Roman" w:hAnsi="Times New Roman" w:eastAsia="黑体" w:cs="Times New Roman"/>
          <w:sz w:val="32"/>
          <w:szCs w:val="32"/>
          <w:highlight w:val="none"/>
          <w:lang w:val="en-US" w:eastAsia="zh-CN"/>
        </w:rPr>
      </w:pPr>
      <w:r>
        <w:rPr>
          <w:rFonts w:hint="eastAsia" w:ascii="黑体" w:hAnsi="黑体" w:eastAsia="黑体" w:cs="黑体"/>
          <w:sz w:val="32"/>
          <w:szCs w:val="32"/>
          <w:highlight w:val="none"/>
        </w:rPr>
        <w:t>附件</w:t>
      </w:r>
      <w:r>
        <w:rPr>
          <w:rFonts w:hint="eastAsia" w:ascii="黑体" w:hAnsi="黑体" w:eastAsia="黑体" w:cs="黑体"/>
          <w:sz w:val="32"/>
          <w:szCs w:val="32"/>
          <w:highlight w:val="none"/>
          <w:lang w:val="en-US" w:eastAsia="zh-CN"/>
        </w:rPr>
        <w:t>1-1</w:t>
      </w:r>
    </w:p>
    <w:p w14:paraId="38BC7C48">
      <w:pPr>
        <w:keepNext w:val="0"/>
        <w:keepLines w:val="0"/>
        <w:pageBreakBefore w:val="0"/>
        <w:widowControl/>
        <w:kinsoku/>
        <w:wordWrap/>
        <w:overflowPunct/>
        <w:topLinePunct w:val="0"/>
        <w:autoSpaceDE/>
        <w:autoSpaceDN/>
        <w:bidi w:val="0"/>
        <w:adjustRightInd/>
        <w:snapToGrid/>
        <w:spacing w:line="500" w:lineRule="exact"/>
        <w:jc w:val="center"/>
        <w:textAlignment w:val="auto"/>
        <w:rPr>
          <w:rFonts w:hint="eastAsia" w:ascii="方正小标宋简体" w:hAnsi="方正小标宋简体" w:eastAsia="方正小标宋简体" w:cs="方正小标宋简体"/>
          <w:color w:val="000000"/>
          <w:sz w:val="36"/>
          <w:szCs w:val="36"/>
          <w:highlight w:val="none"/>
        </w:rPr>
      </w:pPr>
      <w:r>
        <w:rPr>
          <w:rFonts w:hint="eastAsia" w:ascii="方正小标宋简体" w:hAnsi="方正小标宋简体" w:eastAsia="方正小标宋简体" w:cs="方正小标宋简体"/>
          <w:color w:val="000000"/>
          <w:sz w:val="36"/>
          <w:szCs w:val="36"/>
          <w:highlight w:val="none"/>
        </w:rPr>
        <w:t>202</w:t>
      </w:r>
      <w:r>
        <w:rPr>
          <w:rFonts w:hint="eastAsia" w:ascii="方正小标宋简体" w:hAnsi="方正小标宋简体" w:eastAsia="方正小标宋简体" w:cs="方正小标宋简体"/>
          <w:color w:val="000000"/>
          <w:sz w:val="36"/>
          <w:szCs w:val="36"/>
          <w:highlight w:val="none"/>
          <w:lang w:val="en-US" w:eastAsia="zh-CN"/>
        </w:rPr>
        <w:t>5</w:t>
      </w:r>
      <w:r>
        <w:rPr>
          <w:rFonts w:hint="eastAsia" w:ascii="方正小标宋简体" w:hAnsi="方正小标宋简体" w:eastAsia="方正小标宋简体" w:cs="方正小标宋简体"/>
          <w:color w:val="000000"/>
          <w:sz w:val="36"/>
          <w:szCs w:val="36"/>
          <w:highlight w:val="none"/>
        </w:rPr>
        <w:t>年度项目支出绩效自评表</w:t>
      </w:r>
    </w:p>
    <w:tbl>
      <w:tblPr>
        <w:tblStyle w:val="8"/>
        <w:tblW w:w="98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77"/>
        <w:gridCol w:w="1078"/>
        <w:gridCol w:w="1031"/>
        <w:gridCol w:w="1197"/>
        <w:gridCol w:w="1123"/>
        <w:gridCol w:w="1093"/>
        <w:gridCol w:w="943"/>
        <w:gridCol w:w="827"/>
        <w:gridCol w:w="1482"/>
      </w:tblGrid>
      <w:tr w14:paraId="30BD68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77" w:type="dxa"/>
            <w:noWrap w:val="0"/>
            <w:vAlign w:val="center"/>
          </w:tcPr>
          <w:p w14:paraId="22F1A91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项目支</w:t>
            </w:r>
          </w:p>
          <w:p w14:paraId="62C39A4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出名称</w:t>
            </w:r>
          </w:p>
        </w:tc>
        <w:tc>
          <w:tcPr>
            <w:tcW w:w="8774" w:type="dxa"/>
            <w:gridSpan w:val="8"/>
            <w:noWrap w:val="0"/>
            <w:vAlign w:val="center"/>
          </w:tcPr>
          <w:p w14:paraId="455E1E9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sz w:val="20"/>
                <w:szCs w:val="20"/>
              </w:rPr>
              <w:t>城管事务管理经费</w:t>
            </w:r>
            <w:r>
              <w:rPr>
                <w:rFonts w:hint="eastAsia" w:ascii="仿宋_GB2312" w:hAnsi="仿宋_GB2312" w:eastAsia="仿宋_GB2312" w:cs="仿宋_GB2312"/>
                <w:color w:val="000000"/>
                <w:sz w:val="20"/>
                <w:szCs w:val="20"/>
                <w:highlight w:val="none"/>
              </w:rPr>
              <w:t>　</w:t>
            </w:r>
          </w:p>
        </w:tc>
      </w:tr>
      <w:tr w14:paraId="1752BF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jc w:val="center"/>
        </w:trPr>
        <w:tc>
          <w:tcPr>
            <w:tcW w:w="1077" w:type="dxa"/>
            <w:noWrap w:val="0"/>
            <w:vAlign w:val="center"/>
          </w:tcPr>
          <w:p w14:paraId="4287E5B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主管部门</w:t>
            </w:r>
          </w:p>
        </w:tc>
        <w:tc>
          <w:tcPr>
            <w:tcW w:w="4429" w:type="dxa"/>
            <w:gridSpan w:val="4"/>
            <w:noWrap w:val="0"/>
            <w:vAlign w:val="center"/>
          </w:tcPr>
          <w:p w14:paraId="4727740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lang w:val="en-US" w:eastAsia="zh-CN"/>
              </w:rPr>
              <w:t>岳阳市城市管理和综合执法局</w:t>
            </w:r>
          </w:p>
        </w:tc>
        <w:tc>
          <w:tcPr>
            <w:tcW w:w="1093" w:type="dxa"/>
            <w:noWrap w:val="0"/>
            <w:vAlign w:val="center"/>
          </w:tcPr>
          <w:p w14:paraId="1CED0AF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rPr>
              <w:t>实施单位</w:t>
            </w:r>
          </w:p>
        </w:tc>
        <w:tc>
          <w:tcPr>
            <w:tcW w:w="3252" w:type="dxa"/>
            <w:gridSpan w:val="3"/>
            <w:noWrap w:val="0"/>
            <w:vAlign w:val="center"/>
          </w:tcPr>
          <w:p w14:paraId="4A3B7EA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rPr>
              <w:t>岳阳市城市管理综合行政执法支队</w:t>
            </w:r>
          </w:p>
        </w:tc>
      </w:tr>
      <w:tr w14:paraId="5F7D41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77" w:type="dxa"/>
            <w:vMerge w:val="restart"/>
            <w:noWrap w:val="0"/>
            <w:vAlign w:val="center"/>
          </w:tcPr>
          <w:p w14:paraId="361DC40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项目资金</w:t>
            </w:r>
            <w:r>
              <w:rPr>
                <w:rFonts w:hint="eastAsia" w:ascii="仿宋_GB2312" w:hAnsi="仿宋_GB2312" w:eastAsia="仿宋_GB2312" w:cs="仿宋_GB2312"/>
                <w:color w:val="000000"/>
                <w:sz w:val="20"/>
                <w:szCs w:val="20"/>
                <w:highlight w:val="none"/>
              </w:rPr>
              <w:br w:type="textWrapping"/>
            </w:r>
            <w:r>
              <w:rPr>
                <w:rFonts w:hint="eastAsia" w:ascii="仿宋_GB2312" w:hAnsi="仿宋_GB2312" w:eastAsia="仿宋_GB2312" w:cs="仿宋_GB2312"/>
                <w:color w:val="000000"/>
                <w:sz w:val="20"/>
                <w:szCs w:val="20"/>
                <w:highlight w:val="none"/>
              </w:rPr>
              <w:t>（万元）</w:t>
            </w:r>
          </w:p>
        </w:tc>
        <w:tc>
          <w:tcPr>
            <w:tcW w:w="2109" w:type="dxa"/>
            <w:gridSpan w:val="2"/>
            <w:noWrap w:val="0"/>
            <w:vAlign w:val="center"/>
          </w:tcPr>
          <w:p w14:paraId="6F77206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1197" w:type="dxa"/>
            <w:noWrap w:val="0"/>
            <w:vAlign w:val="center"/>
          </w:tcPr>
          <w:p w14:paraId="71BE5A3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年初</w:t>
            </w:r>
          </w:p>
          <w:p w14:paraId="7E38D16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预算数</w:t>
            </w:r>
          </w:p>
        </w:tc>
        <w:tc>
          <w:tcPr>
            <w:tcW w:w="1123" w:type="dxa"/>
            <w:noWrap w:val="0"/>
            <w:vAlign w:val="center"/>
          </w:tcPr>
          <w:p w14:paraId="72D06A4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全年</w:t>
            </w:r>
          </w:p>
          <w:p w14:paraId="0D27F80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预算数</w:t>
            </w:r>
          </w:p>
        </w:tc>
        <w:tc>
          <w:tcPr>
            <w:tcW w:w="1093" w:type="dxa"/>
            <w:noWrap w:val="0"/>
            <w:vAlign w:val="center"/>
          </w:tcPr>
          <w:p w14:paraId="343187BF">
            <w:pPr>
              <w:keepNext w:val="0"/>
              <w:keepLines w:val="0"/>
              <w:pageBreakBefore w:val="0"/>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全年</w:t>
            </w:r>
          </w:p>
          <w:p w14:paraId="43823160">
            <w:pPr>
              <w:keepNext w:val="0"/>
              <w:keepLines w:val="0"/>
              <w:pageBreakBefore w:val="0"/>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执行数</w:t>
            </w:r>
          </w:p>
        </w:tc>
        <w:tc>
          <w:tcPr>
            <w:tcW w:w="943" w:type="dxa"/>
            <w:noWrap w:val="0"/>
            <w:vAlign w:val="center"/>
          </w:tcPr>
          <w:p w14:paraId="379FEB90">
            <w:pPr>
              <w:keepNext w:val="0"/>
              <w:keepLines w:val="0"/>
              <w:pageBreakBefore w:val="0"/>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分值</w:t>
            </w:r>
          </w:p>
        </w:tc>
        <w:tc>
          <w:tcPr>
            <w:tcW w:w="827" w:type="dxa"/>
            <w:noWrap w:val="0"/>
            <w:vAlign w:val="center"/>
          </w:tcPr>
          <w:p w14:paraId="06370E81">
            <w:pPr>
              <w:keepNext w:val="0"/>
              <w:keepLines w:val="0"/>
              <w:pageBreakBefore w:val="0"/>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执行率</w:t>
            </w:r>
          </w:p>
        </w:tc>
        <w:tc>
          <w:tcPr>
            <w:tcW w:w="1482" w:type="dxa"/>
            <w:noWrap w:val="0"/>
            <w:vAlign w:val="center"/>
          </w:tcPr>
          <w:p w14:paraId="22A73BD9">
            <w:pPr>
              <w:keepNext w:val="0"/>
              <w:keepLines w:val="0"/>
              <w:pageBreakBefore w:val="0"/>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得分</w:t>
            </w:r>
          </w:p>
        </w:tc>
      </w:tr>
      <w:tr w14:paraId="3ACF18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1077" w:type="dxa"/>
            <w:vMerge w:val="continue"/>
            <w:noWrap w:val="0"/>
            <w:vAlign w:val="center"/>
          </w:tcPr>
          <w:p w14:paraId="62CAA2D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color w:val="000000"/>
                <w:sz w:val="20"/>
                <w:szCs w:val="20"/>
                <w:highlight w:val="none"/>
              </w:rPr>
            </w:pPr>
          </w:p>
        </w:tc>
        <w:tc>
          <w:tcPr>
            <w:tcW w:w="2109" w:type="dxa"/>
            <w:gridSpan w:val="2"/>
            <w:noWrap w:val="0"/>
            <w:vAlign w:val="center"/>
          </w:tcPr>
          <w:p w14:paraId="171BB2D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年度资金总额　</w:t>
            </w:r>
          </w:p>
        </w:tc>
        <w:tc>
          <w:tcPr>
            <w:tcW w:w="1197" w:type="dxa"/>
            <w:noWrap w:val="0"/>
            <w:vAlign w:val="center"/>
          </w:tcPr>
          <w:p w14:paraId="31BFB4B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197.5</w:t>
            </w:r>
          </w:p>
        </w:tc>
        <w:tc>
          <w:tcPr>
            <w:tcW w:w="1123" w:type="dxa"/>
            <w:noWrap w:val="0"/>
            <w:vAlign w:val="center"/>
          </w:tcPr>
          <w:p w14:paraId="703CF98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170.82</w:t>
            </w:r>
          </w:p>
        </w:tc>
        <w:tc>
          <w:tcPr>
            <w:tcW w:w="1093" w:type="dxa"/>
            <w:noWrap w:val="0"/>
            <w:vAlign w:val="center"/>
          </w:tcPr>
          <w:p w14:paraId="1B1D501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170.82</w:t>
            </w:r>
          </w:p>
        </w:tc>
        <w:tc>
          <w:tcPr>
            <w:tcW w:w="943" w:type="dxa"/>
            <w:noWrap w:val="0"/>
            <w:vAlign w:val="center"/>
          </w:tcPr>
          <w:p w14:paraId="0AF059F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10</w:t>
            </w:r>
          </w:p>
        </w:tc>
        <w:tc>
          <w:tcPr>
            <w:tcW w:w="827" w:type="dxa"/>
            <w:noWrap w:val="0"/>
            <w:vAlign w:val="center"/>
          </w:tcPr>
          <w:p w14:paraId="1B52681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100%</w:t>
            </w:r>
          </w:p>
        </w:tc>
        <w:tc>
          <w:tcPr>
            <w:tcW w:w="1482" w:type="dxa"/>
            <w:noWrap w:val="0"/>
            <w:vAlign w:val="center"/>
          </w:tcPr>
          <w:p w14:paraId="4FA2A39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 xml:space="preserve">  10</w:t>
            </w:r>
          </w:p>
        </w:tc>
      </w:tr>
      <w:tr w14:paraId="4442BE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jc w:val="center"/>
        </w:trPr>
        <w:tc>
          <w:tcPr>
            <w:tcW w:w="1077" w:type="dxa"/>
            <w:vMerge w:val="continue"/>
            <w:noWrap w:val="0"/>
            <w:vAlign w:val="center"/>
          </w:tcPr>
          <w:p w14:paraId="0804EC1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color w:val="000000"/>
                <w:sz w:val="20"/>
                <w:szCs w:val="20"/>
                <w:highlight w:val="none"/>
              </w:rPr>
            </w:pPr>
          </w:p>
        </w:tc>
        <w:tc>
          <w:tcPr>
            <w:tcW w:w="2109" w:type="dxa"/>
            <w:gridSpan w:val="2"/>
            <w:noWrap w:val="0"/>
            <w:vAlign w:val="center"/>
          </w:tcPr>
          <w:p w14:paraId="4353E38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其中：当年财政拨款　</w:t>
            </w:r>
          </w:p>
        </w:tc>
        <w:tc>
          <w:tcPr>
            <w:tcW w:w="1197" w:type="dxa"/>
            <w:noWrap w:val="0"/>
            <w:vAlign w:val="center"/>
          </w:tcPr>
          <w:p w14:paraId="3659788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197.5</w:t>
            </w:r>
          </w:p>
        </w:tc>
        <w:tc>
          <w:tcPr>
            <w:tcW w:w="1123" w:type="dxa"/>
            <w:noWrap w:val="0"/>
            <w:vAlign w:val="center"/>
          </w:tcPr>
          <w:p w14:paraId="4E88EDB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170.82</w:t>
            </w:r>
          </w:p>
        </w:tc>
        <w:tc>
          <w:tcPr>
            <w:tcW w:w="1093" w:type="dxa"/>
            <w:noWrap w:val="0"/>
            <w:vAlign w:val="center"/>
          </w:tcPr>
          <w:p w14:paraId="13A249E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170.82</w:t>
            </w:r>
          </w:p>
        </w:tc>
        <w:tc>
          <w:tcPr>
            <w:tcW w:w="943" w:type="dxa"/>
            <w:noWrap w:val="0"/>
            <w:vAlign w:val="center"/>
          </w:tcPr>
          <w:p w14:paraId="7A4AEB6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827" w:type="dxa"/>
            <w:noWrap w:val="0"/>
            <w:vAlign w:val="center"/>
          </w:tcPr>
          <w:p w14:paraId="7FC70D7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1482" w:type="dxa"/>
            <w:noWrap w:val="0"/>
            <w:vAlign w:val="center"/>
          </w:tcPr>
          <w:p w14:paraId="6310956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713941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1077" w:type="dxa"/>
            <w:vMerge w:val="continue"/>
            <w:noWrap w:val="0"/>
            <w:vAlign w:val="center"/>
          </w:tcPr>
          <w:p w14:paraId="0474CA6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color w:val="000000"/>
                <w:sz w:val="20"/>
                <w:szCs w:val="20"/>
                <w:highlight w:val="none"/>
              </w:rPr>
            </w:pPr>
          </w:p>
        </w:tc>
        <w:tc>
          <w:tcPr>
            <w:tcW w:w="2109" w:type="dxa"/>
            <w:gridSpan w:val="2"/>
            <w:noWrap w:val="0"/>
            <w:vAlign w:val="center"/>
          </w:tcPr>
          <w:p w14:paraId="35348A53">
            <w:pPr>
              <w:keepNext w:val="0"/>
              <w:keepLines w:val="0"/>
              <w:pageBreakBefore w:val="0"/>
              <w:widowControl/>
              <w:kinsoku/>
              <w:wordWrap/>
              <w:overflowPunct/>
              <w:topLinePunct w:val="0"/>
              <w:autoSpaceDE/>
              <w:autoSpaceDN/>
              <w:bidi w:val="0"/>
              <w:adjustRightInd/>
              <w:snapToGrid/>
              <w:spacing w:line="280" w:lineRule="exact"/>
              <w:ind w:firstLine="600" w:firstLineChars="300"/>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上年结转资金　</w:t>
            </w:r>
          </w:p>
        </w:tc>
        <w:tc>
          <w:tcPr>
            <w:tcW w:w="1197" w:type="dxa"/>
            <w:noWrap w:val="0"/>
            <w:vAlign w:val="center"/>
          </w:tcPr>
          <w:p w14:paraId="4927AD3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1123" w:type="dxa"/>
            <w:noWrap w:val="0"/>
            <w:vAlign w:val="center"/>
          </w:tcPr>
          <w:p w14:paraId="3E39ADF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1093" w:type="dxa"/>
            <w:noWrap w:val="0"/>
            <w:vAlign w:val="center"/>
          </w:tcPr>
          <w:p w14:paraId="1FC48E2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943" w:type="dxa"/>
            <w:noWrap w:val="0"/>
            <w:vAlign w:val="center"/>
          </w:tcPr>
          <w:p w14:paraId="5B4945A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827" w:type="dxa"/>
            <w:noWrap w:val="0"/>
            <w:vAlign w:val="center"/>
          </w:tcPr>
          <w:p w14:paraId="1855411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1482" w:type="dxa"/>
            <w:noWrap w:val="0"/>
            <w:vAlign w:val="center"/>
          </w:tcPr>
          <w:p w14:paraId="0363411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07877A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1077" w:type="dxa"/>
            <w:vMerge w:val="continue"/>
            <w:noWrap w:val="0"/>
            <w:vAlign w:val="center"/>
          </w:tcPr>
          <w:p w14:paraId="22291F9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color w:val="000000"/>
                <w:sz w:val="20"/>
                <w:szCs w:val="20"/>
                <w:highlight w:val="none"/>
              </w:rPr>
            </w:pPr>
          </w:p>
        </w:tc>
        <w:tc>
          <w:tcPr>
            <w:tcW w:w="2109" w:type="dxa"/>
            <w:gridSpan w:val="2"/>
            <w:noWrap w:val="0"/>
            <w:vAlign w:val="center"/>
          </w:tcPr>
          <w:p w14:paraId="6D7068C0">
            <w:pPr>
              <w:keepNext w:val="0"/>
              <w:keepLines w:val="0"/>
              <w:pageBreakBefore w:val="0"/>
              <w:widowControl/>
              <w:kinsoku/>
              <w:wordWrap/>
              <w:overflowPunct/>
              <w:topLinePunct w:val="0"/>
              <w:autoSpaceDE/>
              <w:autoSpaceDN/>
              <w:bidi w:val="0"/>
              <w:adjustRightInd/>
              <w:snapToGrid/>
              <w:spacing w:line="280" w:lineRule="exact"/>
              <w:ind w:firstLine="600" w:firstLineChars="300"/>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其他资金</w:t>
            </w:r>
          </w:p>
        </w:tc>
        <w:tc>
          <w:tcPr>
            <w:tcW w:w="1197" w:type="dxa"/>
            <w:noWrap w:val="0"/>
            <w:vAlign w:val="center"/>
          </w:tcPr>
          <w:p w14:paraId="63930D9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1123" w:type="dxa"/>
            <w:noWrap w:val="0"/>
            <w:vAlign w:val="center"/>
          </w:tcPr>
          <w:p w14:paraId="2C4917C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1093" w:type="dxa"/>
            <w:noWrap w:val="0"/>
            <w:vAlign w:val="center"/>
          </w:tcPr>
          <w:p w14:paraId="16E80C0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943" w:type="dxa"/>
            <w:noWrap w:val="0"/>
            <w:vAlign w:val="center"/>
          </w:tcPr>
          <w:p w14:paraId="09552FB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827" w:type="dxa"/>
            <w:noWrap w:val="0"/>
            <w:vAlign w:val="center"/>
          </w:tcPr>
          <w:p w14:paraId="7B49120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1482" w:type="dxa"/>
            <w:noWrap w:val="0"/>
            <w:vAlign w:val="center"/>
          </w:tcPr>
          <w:p w14:paraId="64533F6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4F79FF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jc w:val="center"/>
        </w:trPr>
        <w:tc>
          <w:tcPr>
            <w:tcW w:w="1077" w:type="dxa"/>
            <w:vMerge w:val="restart"/>
            <w:noWrap w:val="0"/>
            <w:vAlign w:val="center"/>
          </w:tcPr>
          <w:p w14:paraId="5CA66C8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年度总体目标</w:t>
            </w:r>
          </w:p>
        </w:tc>
        <w:tc>
          <w:tcPr>
            <w:tcW w:w="4429" w:type="dxa"/>
            <w:gridSpan w:val="4"/>
            <w:noWrap w:val="0"/>
            <w:vAlign w:val="center"/>
          </w:tcPr>
          <w:p w14:paraId="26B12E8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预期目标</w:t>
            </w:r>
          </w:p>
        </w:tc>
        <w:tc>
          <w:tcPr>
            <w:tcW w:w="4345" w:type="dxa"/>
            <w:gridSpan w:val="4"/>
            <w:noWrap w:val="0"/>
            <w:vAlign w:val="center"/>
          </w:tcPr>
          <w:p w14:paraId="13F6084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实际完成情况　</w:t>
            </w:r>
          </w:p>
        </w:tc>
      </w:tr>
      <w:tr w14:paraId="1E9302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5" w:hRule="atLeast"/>
          <w:jc w:val="center"/>
        </w:trPr>
        <w:tc>
          <w:tcPr>
            <w:tcW w:w="1077" w:type="dxa"/>
            <w:vMerge w:val="continue"/>
            <w:noWrap w:val="0"/>
            <w:vAlign w:val="center"/>
          </w:tcPr>
          <w:p w14:paraId="0EED8AA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color w:val="000000"/>
                <w:sz w:val="20"/>
                <w:szCs w:val="20"/>
                <w:highlight w:val="none"/>
              </w:rPr>
            </w:pPr>
          </w:p>
        </w:tc>
        <w:tc>
          <w:tcPr>
            <w:tcW w:w="4429" w:type="dxa"/>
            <w:gridSpan w:val="4"/>
            <w:noWrap w:val="0"/>
            <w:vAlign w:val="center"/>
          </w:tcPr>
          <w:p w14:paraId="180BF7FC">
            <w:pPr>
              <w:keepNext w:val="0"/>
              <w:keepLines w:val="0"/>
              <w:pageBreakBefore w:val="0"/>
              <w:widowControl/>
              <w:kinsoku/>
              <w:wordWrap/>
              <w:overflowPunct/>
              <w:topLinePunct w:val="0"/>
              <w:autoSpaceDE/>
              <w:autoSpaceDN/>
              <w:bidi w:val="0"/>
              <w:adjustRightInd/>
              <w:snapToGrid/>
              <w:spacing w:line="280" w:lineRule="exact"/>
              <w:ind w:firstLine="400" w:firstLineChars="200"/>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在燃气执法、扬尘防治、住建领域执法、广告园林执法、市政公用设施执法、固废处置执法等方面进一步探索和完善执法机制，加大管理力度，提升管理水平，为市民创造秀美、整洁、安宁的生活环境。　</w:t>
            </w:r>
          </w:p>
        </w:tc>
        <w:tc>
          <w:tcPr>
            <w:tcW w:w="4345" w:type="dxa"/>
            <w:gridSpan w:val="4"/>
            <w:noWrap w:val="0"/>
            <w:vAlign w:val="center"/>
          </w:tcPr>
          <w:p w14:paraId="62C3DBB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进一步完善了燃气执法、扬尘防治、住建领域执法、广告园林执法、市政公用设施执法、固废处置执法等方面的执法机制，宣传与执法相结合，同时加大了管理力度，为市民创造了舒适、安宁的生活环境。</w:t>
            </w:r>
          </w:p>
        </w:tc>
      </w:tr>
      <w:tr w14:paraId="24E924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0" w:hRule="atLeast"/>
          <w:jc w:val="center"/>
        </w:trPr>
        <w:tc>
          <w:tcPr>
            <w:tcW w:w="1077" w:type="dxa"/>
            <w:vMerge w:val="restart"/>
            <w:noWrap w:val="0"/>
            <w:vAlign w:val="center"/>
          </w:tcPr>
          <w:p w14:paraId="7590A87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绩</w:t>
            </w:r>
          </w:p>
          <w:p w14:paraId="06F7ED8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效</w:t>
            </w:r>
          </w:p>
          <w:p w14:paraId="16E151F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指</w:t>
            </w:r>
          </w:p>
          <w:p w14:paraId="0896337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标</w:t>
            </w:r>
          </w:p>
        </w:tc>
        <w:tc>
          <w:tcPr>
            <w:tcW w:w="1078" w:type="dxa"/>
            <w:noWrap w:val="0"/>
            <w:vAlign w:val="center"/>
          </w:tcPr>
          <w:p w14:paraId="7534457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一级指标</w:t>
            </w:r>
          </w:p>
        </w:tc>
        <w:tc>
          <w:tcPr>
            <w:tcW w:w="1031" w:type="dxa"/>
            <w:noWrap w:val="0"/>
            <w:vAlign w:val="center"/>
          </w:tcPr>
          <w:p w14:paraId="0C55156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二级指标</w:t>
            </w:r>
          </w:p>
        </w:tc>
        <w:tc>
          <w:tcPr>
            <w:tcW w:w="1197" w:type="dxa"/>
            <w:noWrap w:val="0"/>
            <w:vAlign w:val="center"/>
          </w:tcPr>
          <w:p w14:paraId="1A31A75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三级指标</w:t>
            </w:r>
          </w:p>
        </w:tc>
        <w:tc>
          <w:tcPr>
            <w:tcW w:w="1123" w:type="dxa"/>
            <w:noWrap w:val="0"/>
            <w:vAlign w:val="center"/>
          </w:tcPr>
          <w:p w14:paraId="3D0E975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年度</w:t>
            </w:r>
          </w:p>
          <w:p w14:paraId="12C2B8A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指标值</w:t>
            </w:r>
          </w:p>
        </w:tc>
        <w:tc>
          <w:tcPr>
            <w:tcW w:w="1093" w:type="dxa"/>
            <w:noWrap w:val="0"/>
            <w:vAlign w:val="center"/>
          </w:tcPr>
          <w:p w14:paraId="543E8C6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实际</w:t>
            </w:r>
          </w:p>
          <w:p w14:paraId="395E6EE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完成值</w:t>
            </w:r>
          </w:p>
        </w:tc>
        <w:tc>
          <w:tcPr>
            <w:tcW w:w="943" w:type="dxa"/>
            <w:noWrap w:val="0"/>
            <w:vAlign w:val="center"/>
          </w:tcPr>
          <w:p w14:paraId="54D322E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分值</w:t>
            </w:r>
          </w:p>
        </w:tc>
        <w:tc>
          <w:tcPr>
            <w:tcW w:w="827" w:type="dxa"/>
            <w:noWrap w:val="0"/>
            <w:vAlign w:val="center"/>
          </w:tcPr>
          <w:p w14:paraId="074F504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得分</w:t>
            </w:r>
          </w:p>
        </w:tc>
        <w:tc>
          <w:tcPr>
            <w:tcW w:w="1482" w:type="dxa"/>
            <w:noWrap w:val="0"/>
            <w:vAlign w:val="center"/>
          </w:tcPr>
          <w:p w14:paraId="52800747">
            <w:pPr>
              <w:keepNext w:val="0"/>
              <w:keepLines w:val="0"/>
              <w:pageBreakBefore w:val="0"/>
              <w:widowControl/>
              <w:kinsoku/>
              <w:wordWrap/>
              <w:overflowPunct/>
              <w:topLinePunct w:val="0"/>
              <w:autoSpaceDE/>
              <w:autoSpaceDN/>
              <w:bidi w:val="0"/>
              <w:adjustRightInd/>
              <w:snapToGrid/>
              <w:spacing w:line="280" w:lineRule="exact"/>
              <w:jc w:val="both"/>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偏差原因分析及改进措施</w:t>
            </w:r>
          </w:p>
        </w:tc>
      </w:tr>
      <w:tr w14:paraId="0A7B70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77" w:type="dxa"/>
            <w:vMerge w:val="continue"/>
            <w:noWrap w:val="0"/>
            <w:vAlign w:val="center"/>
          </w:tcPr>
          <w:p w14:paraId="5BE13F56">
            <w:pPr>
              <w:keepNext w:val="0"/>
              <w:keepLines w:val="0"/>
              <w:pageBreakBefore w:val="0"/>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color w:val="000000"/>
                <w:sz w:val="20"/>
                <w:szCs w:val="20"/>
                <w:highlight w:val="none"/>
              </w:rPr>
            </w:pPr>
          </w:p>
        </w:tc>
        <w:tc>
          <w:tcPr>
            <w:tcW w:w="1078" w:type="dxa"/>
            <w:vMerge w:val="restart"/>
            <w:noWrap w:val="0"/>
            <w:vAlign w:val="center"/>
          </w:tcPr>
          <w:p w14:paraId="0D119BA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产出指标</w:t>
            </w:r>
          </w:p>
          <w:p w14:paraId="7876418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color w:val="000000"/>
                <w:sz w:val="20"/>
                <w:szCs w:val="20"/>
                <w:highlight w:val="none"/>
              </w:rPr>
            </w:pPr>
          </w:p>
          <w:p w14:paraId="54EEB7F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(50分)</w:t>
            </w:r>
          </w:p>
        </w:tc>
        <w:tc>
          <w:tcPr>
            <w:tcW w:w="1031" w:type="dxa"/>
            <w:vMerge w:val="restart"/>
            <w:noWrap w:val="0"/>
            <w:vAlign w:val="center"/>
          </w:tcPr>
          <w:p w14:paraId="7DF698D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数量指标</w:t>
            </w:r>
          </w:p>
        </w:tc>
        <w:tc>
          <w:tcPr>
            <w:tcW w:w="1197" w:type="dxa"/>
            <w:noWrap w:val="0"/>
            <w:vAlign w:val="center"/>
          </w:tcPr>
          <w:p w14:paraId="29E2779C">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i w:val="0"/>
                <w:iCs w:val="0"/>
                <w:color w:val="000000"/>
                <w:kern w:val="0"/>
                <w:sz w:val="20"/>
                <w:szCs w:val="20"/>
                <w:u w:val="none"/>
                <w:lang w:val="en-US" w:eastAsia="zh-CN" w:bidi="ar"/>
              </w:rPr>
              <w:t>日常巡查</w:t>
            </w:r>
          </w:p>
        </w:tc>
        <w:tc>
          <w:tcPr>
            <w:tcW w:w="1123" w:type="dxa"/>
            <w:noWrap w:val="0"/>
            <w:vAlign w:val="center"/>
          </w:tcPr>
          <w:p w14:paraId="3211266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_GB2312" w:hAnsi="仿宋_GB2312" w:eastAsia="仿宋_GB2312" w:cs="仿宋_GB2312"/>
                <w:b w:val="0"/>
                <w:bCs w:val="0"/>
                <w:color w:val="000000"/>
                <w:sz w:val="20"/>
                <w:szCs w:val="20"/>
                <w:highlight w:val="none"/>
                <w:lang w:val="en-US"/>
              </w:rPr>
            </w:pPr>
            <w:r>
              <w:rPr>
                <w:rFonts w:hint="default" w:ascii="Arial" w:hAnsi="Arial" w:eastAsia="仿宋_GB2312" w:cs="Arial"/>
                <w:b w:val="0"/>
                <w:bCs w:val="0"/>
                <w:i w:val="0"/>
                <w:iCs w:val="0"/>
                <w:color w:val="000000"/>
                <w:kern w:val="0"/>
                <w:sz w:val="20"/>
                <w:szCs w:val="20"/>
                <w:u w:val="none"/>
                <w:lang w:val="en-US" w:eastAsia="zh-CN" w:bidi="ar"/>
              </w:rPr>
              <w:t>≧</w:t>
            </w:r>
            <w:r>
              <w:rPr>
                <w:rFonts w:hint="eastAsia" w:ascii="仿宋_GB2312" w:hAnsi="仿宋_GB2312" w:eastAsia="仿宋_GB2312" w:cs="仿宋_GB2312"/>
                <w:b w:val="0"/>
                <w:bCs w:val="0"/>
                <w:i w:val="0"/>
                <w:iCs w:val="0"/>
                <w:color w:val="000000"/>
                <w:kern w:val="0"/>
                <w:sz w:val="20"/>
                <w:szCs w:val="20"/>
                <w:u w:val="none"/>
                <w:lang w:val="en-US" w:eastAsia="zh-CN" w:bidi="ar"/>
              </w:rPr>
              <w:t>600次</w:t>
            </w:r>
          </w:p>
        </w:tc>
        <w:tc>
          <w:tcPr>
            <w:tcW w:w="1093" w:type="dxa"/>
            <w:noWrap w:val="0"/>
            <w:vAlign w:val="center"/>
          </w:tcPr>
          <w:p w14:paraId="779854D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_GB2312" w:hAnsi="仿宋_GB2312" w:eastAsia="仿宋_GB2312" w:cs="仿宋_GB2312"/>
                <w:b w:val="0"/>
                <w:bCs w:val="0"/>
                <w:color w:val="auto"/>
                <w:sz w:val="20"/>
                <w:szCs w:val="20"/>
                <w:highlight w:val="none"/>
                <w:lang w:val="en-US" w:eastAsia="zh-CN"/>
              </w:rPr>
            </w:pPr>
            <w:r>
              <w:rPr>
                <w:rFonts w:hint="eastAsia" w:ascii="仿宋_GB2312" w:hAnsi="仿宋_GB2312" w:eastAsia="仿宋_GB2312" w:cs="仿宋_GB2312"/>
                <w:b w:val="0"/>
                <w:bCs w:val="0"/>
                <w:color w:val="auto"/>
                <w:sz w:val="20"/>
                <w:szCs w:val="20"/>
                <w:highlight w:val="none"/>
                <w:lang w:val="en-US" w:eastAsia="zh-CN"/>
              </w:rPr>
              <w:t>720余次</w:t>
            </w:r>
          </w:p>
        </w:tc>
        <w:tc>
          <w:tcPr>
            <w:tcW w:w="943" w:type="dxa"/>
            <w:noWrap w:val="0"/>
            <w:vAlign w:val="center"/>
          </w:tcPr>
          <w:p w14:paraId="1A8399A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5</w:t>
            </w:r>
          </w:p>
        </w:tc>
        <w:tc>
          <w:tcPr>
            <w:tcW w:w="827" w:type="dxa"/>
            <w:noWrap w:val="0"/>
            <w:vAlign w:val="center"/>
          </w:tcPr>
          <w:p w14:paraId="1EFEC37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5</w:t>
            </w:r>
          </w:p>
        </w:tc>
        <w:tc>
          <w:tcPr>
            <w:tcW w:w="1482" w:type="dxa"/>
            <w:noWrap w:val="0"/>
            <w:vAlign w:val="center"/>
          </w:tcPr>
          <w:p w14:paraId="14E731C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35FDAB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77" w:type="dxa"/>
            <w:vMerge w:val="continue"/>
            <w:noWrap w:val="0"/>
            <w:vAlign w:val="center"/>
          </w:tcPr>
          <w:p w14:paraId="5F562D59">
            <w:pPr>
              <w:keepNext w:val="0"/>
              <w:keepLines w:val="0"/>
              <w:pageBreakBefore w:val="0"/>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color w:val="000000"/>
                <w:sz w:val="20"/>
                <w:szCs w:val="20"/>
                <w:highlight w:val="none"/>
              </w:rPr>
            </w:pPr>
          </w:p>
        </w:tc>
        <w:tc>
          <w:tcPr>
            <w:tcW w:w="1078" w:type="dxa"/>
            <w:vMerge w:val="continue"/>
            <w:noWrap w:val="0"/>
            <w:vAlign w:val="center"/>
          </w:tcPr>
          <w:p w14:paraId="3F095E78">
            <w:pPr>
              <w:keepNext w:val="0"/>
              <w:keepLines w:val="0"/>
              <w:pageBreakBefore w:val="0"/>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color w:val="000000"/>
                <w:sz w:val="20"/>
                <w:szCs w:val="20"/>
                <w:highlight w:val="none"/>
              </w:rPr>
            </w:pPr>
          </w:p>
        </w:tc>
        <w:tc>
          <w:tcPr>
            <w:tcW w:w="1031" w:type="dxa"/>
            <w:vMerge w:val="continue"/>
            <w:noWrap w:val="0"/>
            <w:vAlign w:val="center"/>
          </w:tcPr>
          <w:p w14:paraId="2A7B69C8">
            <w:pPr>
              <w:keepNext w:val="0"/>
              <w:keepLines w:val="0"/>
              <w:pageBreakBefore w:val="0"/>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color w:val="000000"/>
                <w:sz w:val="20"/>
                <w:szCs w:val="20"/>
                <w:highlight w:val="none"/>
              </w:rPr>
            </w:pPr>
          </w:p>
        </w:tc>
        <w:tc>
          <w:tcPr>
            <w:tcW w:w="1197" w:type="dxa"/>
            <w:noWrap w:val="0"/>
            <w:vAlign w:val="center"/>
          </w:tcPr>
          <w:p w14:paraId="123924FC">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i w:val="0"/>
                <w:iCs w:val="0"/>
                <w:color w:val="000000"/>
                <w:kern w:val="0"/>
                <w:sz w:val="20"/>
                <w:szCs w:val="20"/>
                <w:u w:val="none"/>
                <w:lang w:val="en-US" w:eastAsia="zh-CN" w:bidi="ar"/>
              </w:rPr>
              <w:t>专项整治行动</w:t>
            </w:r>
          </w:p>
        </w:tc>
        <w:tc>
          <w:tcPr>
            <w:tcW w:w="1123" w:type="dxa"/>
            <w:noWrap w:val="0"/>
            <w:vAlign w:val="center"/>
          </w:tcPr>
          <w:p w14:paraId="04434E2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_GB2312" w:hAnsi="仿宋_GB2312" w:eastAsia="仿宋_GB2312" w:cs="仿宋_GB2312"/>
                <w:b w:val="0"/>
                <w:bCs w:val="0"/>
                <w:color w:val="000000"/>
                <w:sz w:val="20"/>
                <w:szCs w:val="20"/>
                <w:highlight w:val="none"/>
                <w:lang w:val="en-US"/>
              </w:rPr>
            </w:pPr>
            <w:r>
              <w:rPr>
                <w:rFonts w:hint="default" w:ascii="Arial" w:hAnsi="Arial" w:eastAsia="仿宋_GB2312" w:cs="Arial"/>
                <w:b w:val="0"/>
                <w:bCs w:val="0"/>
                <w:i w:val="0"/>
                <w:iCs w:val="0"/>
                <w:color w:val="000000"/>
                <w:kern w:val="0"/>
                <w:sz w:val="20"/>
                <w:szCs w:val="20"/>
                <w:u w:val="none"/>
                <w:lang w:val="en-US" w:eastAsia="zh-CN" w:bidi="ar"/>
              </w:rPr>
              <w:t>≧</w:t>
            </w:r>
            <w:r>
              <w:rPr>
                <w:rFonts w:hint="eastAsia" w:ascii="仿宋_GB2312" w:hAnsi="仿宋_GB2312" w:eastAsia="仿宋_GB2312" w:cs="仿宋_GB2312"/>
                <w:b w:val="0"/>
                <w:bCs w:val="0"/>
                <w:i w:val="0"/>
                <w:iCs w:val="0"/>
                <w:color w:val="000000"/>
                <w:kern w:val="0"/>
                <w:sz w:val="20"/>
                <w:szCs w:val="20"/>
                <w:u w:val="none"/>
                <w:lang w:val="en-US" w:eastAsia="zh-CN" w:bidi="ar"/>
              </w:rPr>
              <w:t>50次</w:t>
            </w:r>
          </w:p>
        </w:tc>
        <w:tc>
          <w:tcPr>
            <w:tcW w:w="1093" w:type="dxa"/>
            <w:noWrap w:val="0"/>
            <w:vAlign w:val="center"/>
          </w:tcPr>
          <w:p w14:paraId="528770C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_GB2312" w:hAnsi="仿宋_GB2312" w:eastAsia="仿宋_GB2312" w:cs="仿宋_GB2312"/>
                <w:b w:val="0"/>
                <w:bCs w:val="0"/>
                <w:color w:val="auto"/>
                <w:sz w:val="20"/>
                <w:szCs w:val="20"/>
                <w:highlight w:val="none"/>
                <w:lang w:val="en-US" w:eastAsia="zh-CN"/>
              </w:rPr>
            </w:pPr>
            <w:r>
              <w:rPr>
                <w:rFonts w:hint="eastAsia" w:ascii="仿宋_GB2312" w:hAnsi="仿宋_GB2312" w:eastAsia="仿宋_GB2312" w:cs="仿宋_GB2312"/>
                <w:b w:val="0"/>
                <w:bCs w:val="0"/>
                <w:color w:val="auto"/>
                <w:sz w:val="20"/>
                <w:szCs w:val="20"/>
                <w:highlight w:val="none"/>
                <w:lang w:val="en-US" w:eastAsia="zh-CN"/>
              </w:rPr>
              <w:t>60余次</w:t>
            </w:r>
          </w:p>
        </w:tc>
        <w:tc>
          <w:tcPr>
            <w:tcW w:w="943" w:type="dxa"/>
            <w:noWrap w:val="0"/>
            <w:vAlign w:val="center"/>
          </w:tcPr>
          <w:p w14:paraId="2D33552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5</w:t>
            </w:r>
          </w:p>
        </w:tc>
        <w:tc>
          <w:tcPr>
            <w:tcW w:w="827" w:type="dxa"/>
            <w:noWrap w:val="0"/>
            <w:vAlign w:val="center"/>
          </w:tcPr>
          <w:p w14:paraId="71A7F59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5</w:t>
            </w:r>
          </w:p>
        </w:tc>
        <w:tc>
          <w:tcPr>
            <w:tcW w:w="1482" w:type="dxa"/>
            <w:noWrap w:val="0"/>
            <w:vAlign w:val="center"/>
          </w:tcPr>
          <w:p w14:paraId="10C6C8F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42EB23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77" w:type="dxa"/>
            <w:vMerge w:val="continue"/>
            <w:noWrap w:val="0"/>
            <w:vAlign w:val="center"/>
          </w:tcPr>
          <w:p w14:paraId="40E49EF0">
            <w:pPr>
              <w:keepNext w:val="0"/>
              <w:keepLines w:val="0"/>
              <w:pageBreakBefore w:val="0"/>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color w:val="000000"/>
                <w:sz w:val="20"/>
                <w:szCs w:val="20"/>
                <w:highlight w:val="none"/>
              </w:rPr>
            </w:pPr>
          </w:p>
        </w:tc>
        <w:tc>
          <w:tcPr>
            <w:tcW w:w="1078" w:type="dxa"/>
            <w:vMerge w:val="continue"/>
            <w:noWrap w:val="0"/>
            <w:vAlign w:val="center"/>
          </w:tcPr>
          <w:p w14:paraId="7A3D7C89">
            <w:pPr>
              <w:keepNext w:val="0"/>
              <w:keepLines w:val="0"/>
              <w:pageBreakBefore w:val="0"/>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color w:val="000000"/>
                <w:sz w:val="20"/>
                <w:szCs w:val="20"/>
                <w:highlight w:val="none"/>
              </w:rPr>
            </w:pPr>
          </w:p>
        </w:tc>
        <w:tc>
          <w:tcPr>
            <w:tcW w:w="1031" w:type="dxa"/>
            <w:vMerge w:val="continue"/>
            <w:noWrap w:val="0"/>
            <w:vAlign w:val="center"/>
          </w:tcPr>
          <w:p w14:paraId="795A4DC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color w:val="000000"/>
                <w:sz w:val="20"/>
                <w:szCs w:val="20"/>
                <w:highlight w:val="none"/>
              </w:rPr>
            </w:pPr>
          </w:p>
        </w:tc>
        <w:tc>
          <w:tcPr>
            <w:tcW w:w="1197" w:type="dxa"/>
            <w:noWrap w:val="0"/>
            <w:vAlign w:val="center"/>
          </w:tcPr>
          <w:p w14:paraId="2DA4773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政策法规宣传活动</w:t>
            </w:r>
          </w:p>
        </w:tc>
        <w:tc>
          <w:tcPr>
            <w:tcW w:w="1123" w:type="dxa"/>
            <w:noWrap w:val="0"/>
            <w:vAlign w:val="center"/>
          </w:tcPr>
          <w:p w14:paraId="5474B01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b w:val="0"/>
                <w:bCs w:val="0"/>
                <w:color w:val="000000"/>
                <w:sz w:val="20"/>
                <w:szCs w:val="20"/>
                <w:highlight w:val="none"/>
              </w:rPr>
            </w:pPr>
            <w:r>
              <w:rPr>
                <w:rFonts w:hint="default" w:ascii="Arial" w:hAnsi="Arial" w:eastAsia="仿宋_GB2312" w:cs="Arial"/>
                <w:b w:val="0"/>
                <w:bCs w:val="0"/>
                <w:color w:val="000000"/>
                <w:sz w:val="20"/>
                <w:szCs w:val="20"/>
                <w:highlight w:val="none"/>
                <w:lang w:val="en-US" w:eastAsia="zh-CN"/>
              </w:rPr>
              <w:t>≧</w:t>
            </w:r>
            <w:r>
              <w:rPr>
                <w:rFonts w:hint="eastAsia" w:ascii="仿宋_GB2312" w:hAnsi="仿宋_GB2312" w:eastAsia="仿宋_GB2312" w:cs="仿宋_GB2312"/>
                <w:b w:val="0"/>
                <w:bCs w:val="0"/>
                <w:color w:val="000000"/>
                <w:sz w:val="20"/>
                <w:szCs w:val="20"/>
                <w:highlight w:val="none"/>
                <w:lang w:val="en-US" w:eastAsia="zh-CN"/>
              </w:rPr>
              <w:t>4次</w:t>
            </w:r>
          </w:p>
        </w:tc>
        <w:tc>
          <w:tcPr>
            <w:tcW w:w="1093" w:type="dxa"/>
            <w:noWrap w:val="0"/>
            <w:vAlign w:val="center"/>
          </w:tcPr>
          <w:p w14:paraId="4A6C19B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_GB2312" w:hAnsi="仿宋_GB2312" w:eastAsia="仿宋_GB2312" w:cs="仿宋_GB2312"/>
                <w:b w:val="0"/>
                <w:bCs w:val="0"/>
                <w:color w:val="000000"/>
                <w:sz w:val="20"/>
                <w:szCs w:val="20"/>
                <w:highlight w:val="none"/>
                <w:lang w:val="en-US" w:eastAsia="zh-CN"/>
              </w:rPr>
            </w:pPr>
            <w:r>
              <w:rPr>
                <w:rFonts w:hint="eastAsia" w:ascii="仿宋_GB2312" w:hAnsi="仿宋_GB2312" w:eastAsia="仿宋_GB2312" w:cs="仿宋_GB2312"/>
                <w:b w:val="0"/>
                <w:bCs w:val="0"/>
                <w:color w:val="000000"/>
                <w:sz w:val="20"/>
                <w:szCs w:val="20"/>
                <w:highlight w:val="none"/>
                <w:lang w:val="en-US" w:eastAsia="zh-CN"/>
              </w:rPr>
              <w:t>4次</w:t>
            </w:r>
          </w:p>
        </w:tc>
        <w:tc>
          <w:tcPr>
            <w:tcW w:w="943" w:type="dxa"/>
            <w:noWrap w:val="0"/>
            <w:vAlign w:val="center"/>
          </w:tcPr>
          <w:p w14:paraId="75D846D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5</w:t>
            </w:r>
          </w:p>
        </w:tc>
        <w:tc>
          <w:tcPr>
            <w:tcW w:w="827" w:type="dxa"/>
            <w:noWrap w:val="0"/>
            <w:vAlign w:val="center"/>
          </w:tcPr>
          <w:p w14:paraId="34F5DC2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5</w:t>
            </w:r>
          </w:p>
        </w:tc>
        <w:tc>
          <w:tcPr>
            <w:tcW w:w="1482" w:type="dxa"/>
            <w:noWrap w:val="0"/>
            <w:vAlign w:val="center"/>
          </w:tcPr>
          <w:p w14:paraId="3100C93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p>
        </w:tc>
      </w:tr>
      <w:tr w14:paraId="6240C5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77" w:type="dxa"/>
            <w:vMerge w:val="continue"/>
            <w:noWrap w:val="0"/>
            <w:vAlign w:val="center"/>
          </w:tcPr>
          <w:p w14:paraId="7305107F">
            <w:pPr>
              <w:keepNext w:val="0"/>
              <w:keepLines w:val="0"/>
              <w:pageBreakBefore w:val="0"/>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color w:val="000000"/>
                <w:sz w:val="20"/>
                <w:szCs w:val="20"/>
                <w:highlight w:val="none"/>
              </w:rPr>
            </w:pPr>
          </w:p>
        </w:tc>
        <w:tc>
          <w:tcPr>
            <w:tcW w:w="1078" w:type="dxa"/>
            <w:vMerge w:val="continue"/>
            <w:noWrap w:val="0"/>
            <w:vAlign w:val="center"/>
          </w:tcPr>
          <w:p w14:paraId="53C30B32">
            <w:pPr>
              <w:keepNext w:val="0"/>
              <w:keepLines w:val="0"/>
              <w:pageBreakBefore w:val="0"/>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color w:val="000000"/>
                <w:sz w:val="20"/>
                <w:szCs w:val="20"/>
                <w:highlight w:val="none"/>
              </w:rPr>
            </w:pPr>
          </w:p>
        </w:tc>
        <w:tc>
          <w:tcPr>
            <w:tcW w:w="1031" w:type="dxa"/>
            <w:vMerge w:val="restart"/>
            <w:noWrap w:val="0"/>
            <w:vAlign w:val="center"/>
          </w:tcPr>
          <w:p w14:paraId="0DB8DFF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质量指标</w:t>
            </w:r>
          </w:p>
        </w:tc>
        <w:tc>
          <w:tcPr>
            <w:tcW w:w="1197" w:type="dxa"/>
            <w:noWrap w:val="0"/>
            <w:vAlign w:val="center"/>
          </w:tcPr>
          <w:p w14:paraId="6ED9988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依法依规实施</w:t>
            </w:r>
          </w:p>
        </w:tc>
        <w:tc>
          <w:tcPr>
            <w:tcW w:w="1123" w:type="dxa"/>
            <w:noWrap w:val="0"/>
            <w:vAlign w:val="center"/>
          </w:tcPr>
          <w:p w14:paraId="2E86D8E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_GB2312" w:hAnsi="仿宋_GB2312" w:eastAsia="仿宋_GB2312" w:cs="仿宋_GB2312"/>
                <w:color w:val="000000"/>
                <w:sz w:val="20"/>
                <w:szCs w:val="20"/>
                <w:highlight w:val="none"/>
                <w:lang w:val="en-US"/>
              </w:rPr>
            </w:pPr>
            <w:r>
              <w:rPr>
                <w:rFonts w:hint="eastAsia" w:ascii="仿宋_GB2312" w:hAnsi="仿宋_GB2312" w:eastAsia="仿宋_GB2312" w:cs="仿宋_GB2312"/>
                <w:color w:val="000000"/>
                <w:sz w:val="20"/>
                <w:szCs w:val="20"/>
                <w:highlight w:val="none"/>
                <w:lang w:val="en-US" w:eastAsia="zh-CN"/>
              </w:rPr>
              <w:t>依法依规按程序实施</w:t>
            </w:r>
          </w:p>
        </w:tc>
        <w:tc>
          <w:tcPr>
            <w:tcW w:w="1093" w:type="dxa"/>
            <w:noWrap w:val="0"/>
            <w:vAlign w:val="center"/>
          </w:tcPr>
          <w:p w14:paraId="744048E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val="en-US" w:eastAsia="zh-CN"/>
              </w:rPr>
              <w:t>均依法依规按程序实施</w:t>
            </w:r>
          </w:p>
        </w:tc>
        <w:tc>
          <w:tcPr>
            <w:tcW w:w="943" w:type="dxa"/>
            <w:noWrap w:val="0"/>
            <w:vAlign w:val="center"/>
          </w:tcPr>
          <w:p w14:paraId="5416040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4</w:t>
            </w:r>
          </w:p>
        </w:tc>
        <w:tc>
          <w:tcPr>
            <w:tcW w:w="827" w:type="dxa"/>
            <w:noWrap w:val="0"/>
            <w:vAlign w:val="center"/>
          </w:tcPr>
          <w:p w14:paraId="57B7A56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4</w:t>
            </w:r>
          </w:p>
        </w:tc>
        <w:tc>
          <w:tcPr>
            <w:tcW w:w="1482" w:type="dxa"/>
            <w:noWrap w:val="0"/>
            <w:vAlign w:val="center"/>
          </w:tcPr>
          <w:p w14:paraId="6C9A694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594EC8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77" w:type="dxa"/>
            <w:vMerge w:val="continue"/>
            <w:noWrap w:val="0"/>
            <w:vAlign w:val="center"/>
          </w:tcPr>
          <w:p w14:paraId="4C965985">
            <w:pPr>
              <w:keepNext w:val="0"/>
              <w:keepLines w:val="0"/>
              <w:pageBreakBefore w:val="0"/>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color w:val="000000"/>
                <w:sz w:val="20"/>
                <w:szCs w:val="20"/>
                <w:highlight w:val="none"/>
              </w:rPr>
            </w:pPr>
          </w:p>
        </w:tc>
        <w:tc>
          <w:tcPr>
            <w:tcW w:w="1078" w:type="dxa"/>
            <w:vMerge w:val="continue"/>
            <w:noWrap w:val="0"/>
            <w:vAlign w:val="center"/>
          </w:tcPr>
          <w:p w14:paraId="596954EC">
            <w:pPr>
              <w:keepNext w:val="0"/>
              <w:keepLines w:val="0"/>
              <w:pageBreakBefore w:val="0"/>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color w:val="000000"/>
                <w:sz w:val="20"/>
                <w:szCs w:val="20"/>
                <w:highlight w:val="none"/>
              </w:rPr>
            </w:pPr>
          </w:p>
        </w:tc>
        <w:tc>
          <w:tcPr>
            <w:tcW w:w="1031" w:type="dxa"/>
            <w:vMerge w:val="continue"/>
            <w:noWrap w:val="0"/>
            <w:vAlign w:val="center"/>
          </w:tcPr>
          <w:p w14:paraId="2AD56D58">
            <w:pPr>
              <w:keepNext w:val="0"/>
              <w:keepLines w:val="0"/>
              <w:pageBreakBefore w:val="0"/>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color w:val="000000"/>
                <w:sz w:val="20"/>
                <w:szCs w:val="20"/>
                <w:highlight w:val="none"/>
              </w:rPr>
            </w:pPr>
          </w:p>
        </w:tc>
        <w:tc>
          <w:tcPr>
            <w:tcW w:w="1197" w:type="dxa"/>
            <w:noWrap w:val="0"/>
            <w:vAlign w:val="center"/>
          </w:tcPr>
          <w:p w14:paraId="7F7758F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投诉处理</w:t>
            </w:r>
          </w:p>
        </w:tc>
        <w:tc>
          <w:tcPr>
            <w:tcW w:w="1123" w:type="dxa"/>
            <w:noWrap w:val="0"/>
            <w:vAlign w:val="center"/>
          </w:tcPr>
          <w:p w14:paraId="71E49D6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及时有效处理回复</w:t>
            </w:r>
          </w:p>
        </w:tc>
        <w:tc>
          <w:tcPr>
            <w:tcW w:w="1093" w:type="dxa"/>
            <w:noWrap w:val="0"/>
            <w:vAlign w:val="center"/>
          </w:tcPr>
          <w:p w14:paraId="674051F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eastAsia="zh-CN"/>
              </w:rPr>
              <w:t>均</w:t>
            </w:r>
            <w:r>
              <w:rPr>
                <w:rFonts w:hint="eastAsia" w:ascii="仿宋_GB2312" w:hAnsi="仿宋_GB2312" w:eastAsia="仿宋_GB2312" w:cs="仿宋_GB2312"/>
                <w:color w:val="000000"/>
                <w:sz w:val="20"/>
                <w:szCs w:val="20"/>
                <w:highlight w:val="none"/>
              </w:rPr>
              <w:t>及时有效处理回复</w:t>
            </w:r>
          </w:p>
        </w:tc>
        <w:tc>
          <w:tcPr>
            <w:tcW w:w="943" w:type="dxa"/>
            <w:noWrap w:val="0"/>
            <w:vAlign w:val="center"/>
          </w:tcPr>
          <w:p w14:paraId="3EEC883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4</w:t>
            </w:r>
          </w:p>
        </w:tc>
        <w:tc>
          <w:tcPr>
            <w:tcW w:w="827" w:type="dxa"/>
            <w:noWrap w:val="0"/>
            <w:vAlign w:val="center"/>
          </w:tcPr>
          <w:p w14:paraId="40730D9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4</w:t>
            </w:r>
          </w:p>
        </w:tc>
        <w:tc>
          <w:tcPr>
            <w:tcW w:w="1482" w:type="dxa"/>
            <w:noWrap w:val="0"/>
            <w:vAlign w:val="center"/>
          </w:tcPr>
          <w:p w14:paraId="5B0F8A3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2178EC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77" w:type="dxa"/>
            <w:vMerge w:val="continue"/>
            <w:noWrap w:val="0"/>
            <w:vAlign w:val="center"/>
          </w:tcPr>
          <w:p w14:paraId="43E652C8">
            <w:pPr>
              <w:keepNext w:val="0"/>
              <w:keepLines w:val="0"/>
              <w:pageBreakBefore w:val="0"/>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color w:val="000000"/>
                <w:sz w:val="20"/>
                <w:szCs w:val="20"/>
                <w:highlight w:val="none"/>
              </w:rPr>
            </w:pPr>
          </w:p>
        </w:tc>
        <w:tc>
          <w:tcPr>
            <w:tcW w:w="1078" w:type="dxa"/>
            <w:vMerge w:val="continue"/>
            <w:noWrap w:val="0"/>
            <w:vAlign w:val="center"/>
          </w:tcPr>
          <w:p w14:paraId="6A2CC57A">
            <w:pPr>
              <w:keepNext w:val="0"/>
              <w:keepLines w:val="0"/>
              <w:pageBreakBefore w:val="0"/>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color w:val="000000"/>
                <w:sz w:val="20"/>
                <w:szCs w:val="20"/>
                <w:highlight w:val="none"/>
              </w:rPr>
            </w:pPr>
          </w:p>
        </w:tc>
        <w:tc>
          <w:tcPr>
            <w:tcW w:w="1031" w:type="dxa"/>
            <w:vMerge w:val="continue"/>
            <w:noWrap w:val="0"/>
            <w:vAlign w:val="center"/>
          </w:tcPr>
          <w:p w14:paraId="06D4043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color w:val="000000"/>
                <w:sz w:val="20"/>
                <w:szCs w:val="20"/>
                <w:highlight w:val="none"/>
              </w:rPr>
            </w:pPr>
          </w:p>
        </w:tc>
        <w:tc>
          <w:tcPr>
            <w:tcW w:w="1197" w:type="dxa"/>
            <w:noWrap w:val="0"/>
            <w:vAlign w:val="center"/>
          </w:tcPr>
          <w:p w14:paraId="4F19B12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lang w:val="en-US" w:eastAsia="zh-CN"/>
              </w:rPr>
              <w:t>文明执法</w:t>
            </w:r>
          </w:p>
        </w:tc>
        <w:tc>
          <w:tcPr>
            <w:tcW w:w="1123" w:type="dxa"/>
            <w:noWrap w:val="0"/>
            <w:vAlign w:val="center"/>
          </w:tcPr>
          <w:p w14:paraId="00D9080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lang w:val="en-US" w:eastAsia="zh-CN"/>
              </w:rPr>
              <w:t>文明执法，无违规投诉案件</w:t>
            </w:r>
          </w:p>
        </w:tc>
        <w:tc>
          <w:tcPr>
            <w:tcW w:w="1093" w:type="dxa"/>
            <w:noWrap w:val="0"/>
            <w:vAlign w:val="center"/>
          </w:tcPr>
          <w:p w14:paraId="3F12607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lang w:val="en-US" w:eastAsia="zh-CN"/>
              </w:rPr>
              <w:t>全年无违规投诉</w:t>
            </w:r>
          </w:p>
        </w:tc>
        <w:tc>
          <w:tcPr>
            <w:tcW w:w="943" w:type="dxa"/>
            <w:noWrap w:val="0"/>
            <w:vAlign w:val="center"/>
          </w:tcPr>
          <w:p w14:paraId="1D48DBF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5</w:t>
            </w:r>
          </w:p>
        </w:tc>
        <w:tc>
          <w:tcPr>
            <w:tcW w:w="827" w:type="dxa"/>
            <w:noWrap w:val="0"/>
            <w:vAlign w:val="center"/>
          </w:tcPr>
          <w:p w14:paraId="6F88E47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5</w:t>
            </w:r>
          </w:p>
        </w:tc>
        <w:tc>
          <w:tcPr>
            <w:tcW w:w="1482" w:type="dxa"/>
            <w:noWrap w:val="0"/>
            <w:vAlign w:val="center"/>
          </w:tcPr>
          <w:p w14:paraId="5E80E6A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0458B0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77" w:type="dxa"/>
            <w:vMerge w:val="continue"/>
            <w:noWrap w:val="0"/>
            <w:vAlign w:val="center"/>
          </w:tcPr>
          <w:p w14:paraId="2C461D80">
            <w:pPr>
              <w:keepNext w:val="0"/>
              <w:keepLines w:val="0"/>
              <w:pageBreakBefore w:val="0"/>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color w:val="000000"/>
                <w:sz w:val="20"/>
                <w:szCs w:val="20"/>
                <w:highlight w:val="none"/>
              </w:rPr>
            </w:pPr>
          </w:p>
        </w:tc>
        <w:tc>
          <w:tcPr>
            <w:tcW w:w="1078" w:type="dxa"/>
            <w:vMerge w:val="continue"/>
            <w:noWrap w:val="0"/>
            <w:vAlign w:val="center"/>
          </w:tcPr>
          <w:p w14:paraId="20B97FBA">
            <w:pPr>
              <w:keepNext w:val="0"/>
              <w:keepLines w:val="0"/>
              <w:pageBreakBefore w:val="0"/>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color w:val="000000"/>
                <w:sz w:val="20"/>
                <w:szCs w:val="20"/>
                <w:highlight w:val="none"/>
              </w:rPr>
            </w:pPr>
          </w:p>
        </w:tc>
        <w:tc>
          <w:tcPr>
            <w:tcW w:w="1031" w:type="dxa"/>
            <w:vMerge w:val="restart"/>
            <w:noWrap w:val="0"/>
            <w:vAlign w:val="center"/>
          </w:tcPr>
          <w:p w14:paraId="6C5CC37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时效指标</w:t>
            </w:r>
          </w:p>
        </w:tc>
        <w:tc>
          <w:tcPr>
            <w:tcW w:w="1197" w:type="dxa"/>
            <w:noWrap w:val="0"/>
            <w:vAlign w:val="center"/>
          </w:tcPr>
          <w:p w14:paraId="433CAA5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按时完成</w:t>
            </w:r>
          </w:p>
        </w:tc>
        <w:tc>
          <w:tcPr>
            <w:tcW w:w="1123" w:type="dxa"/>
            <w:noWrap w:val="0"/>
            <w:vAlign w:val="center"/>
          </w:tcPr>
          <w:p w14:paraId="2396F20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val="en-US" w:eastAsia="zh-CN"/>
              </w:rPr>
              <w:t>按年度工作计划实施</w:t>
            </w:r>
            <w:r>
              <w:rPr>
                <w:rFonts w:hint="eastAsia" w:ascii="仿宋_GB2312" w:hAnsi="仿宋_GB2312" w:eastAsia="仿宋_GB2312" w:cs="仿宋_GB2312"/>
                <w:color w:val="000000"/>
                <w:sz w:val="20"/>
                <w:szCs w:val="20"/>
                <w:highlight w:val="none"/>
              </w:rPr>
              <w:t>　</w:t>
            </w:r>
          </w:p>
        </w:tc>
        <w:tc>
          <w:tcPr>
            <w:tcW w:w="1093" w:type="dxa"/>
            <w:noWrap w:val="0"/>
            <w:vAlign w:val="center"/>
          </w:tcPr>
          <w:p w14:paraId="2D2AC07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均如期完成</w:t>
            </w:r>
          </w:p>
        </w:tc>
        <w:tc>
          <w:tcPr>
            <w:tcW w:w="943" w:type="dxa"/>
            <w:noWrap w:val="0"/>
            <w:vAlign w:val="center"/>
          </w:tcPr>
          <w:p w14:paraId="30DDA26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5</w:t>
            </w:r>
          </w:p>
        </w:tc>
        <w:tc>
          <w:tcPr>
            <w:tcW w:w="827" w:type="dxa"/>
            <w:noWrap w:val="0"/>
            <w:vAlign w:val="center"/>
          </w:tcPr>
          <w:p w14:paraId="66C605F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5</w:t>
            </w:r>
          </w:p>
        </w:tc>
        <w:tc>
          <w:tcPr>
            <w:tcW w:w="1482" w:type="dxa"/>
            <w:noWrap w:val="0"/>
            <w:vAlign w:val="center"/>
          </w:tcPr>
          <w:p w14:paraId="4F15F52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318ECA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77" w:type="dxa"/>
            <w:vMerge w:val="continue"/>
            <w:noWrap w:val="0"/>
            <w:vAlign w:val="center"/>
          </w:tcPr>
          <w:p w14:paraId="4F044EF2">
            <w:pPr>
              <w:keepNext w:val="0"/>
              <w:keepLines w:val="0"/>
              <w:pageBreakBefore w:val="0"/>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color w:val="000000"/>
                <w:sz w:val="20"/>
                <w:szCs w:val="20"/>
                <w:highlight w:val="none"/>
              </w:rPr>
            </w:pPr>
          </w:p>
        </w:tc>
        <w:tc>
          <w:tcPr>
            <w:tcW w:w="1078" w:type="dxa"/>
            <w:vMerge w:val="continue"/>
            <w:noWrap w:val="0"/>
            <w:vAlign w:val="center"/>
          </w:tcPr>
          <w:p w14:paraId="58C387C1">
            <w:pPr>
              <w:keepNext w:val="0"/>
              <w:keepLines w:val="0"/>
              <w:pageBreakBefore w:val="0"/>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color w:val="000000"/>
                <w:sz w:val="20"/>
                <w:szCs w:val="20"/>
                <w:highlight w:val="none"/>
              </w:rPr>
            </w:pPr>
          </w:p>
        </w:tc>
        <w:tc>
          <w:tcPr>
            <w:tcW w:w="1031" w:type="dxa"/>
            <w:vMerge w:val="continue"/>
            <w:noWrap w:val="0"/>
            <w:vAlign w:val="center"/>
          </w:tcPr>
          <w:p w14:paraId="3E0AC7CA">
            <w:pPr>
              <w:keepNext w:val="0"/>
              <w:keepLines w:val="0"/>
              <w:pageBreakBefore w:val="0"/>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color w:val="000000"/>
                <w:sz w:val="20"/>
                <w:szCs w:val="20"/>
                <w:highlight w:val="none"/>
              </w:rPr>
            </w:pPr>
          </w:p>
        </w:tc>
        <w:tc>
          <w:tcPr>
            <w:tcW w:w="1197" w:type="dxa"/>
            <w:noWrap w:val="0"/>
            <w:vAlign w:val="center"/>
          </w:tcPr>
          <w:p w14:paraId="00E367A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lang w:val="en-US" w:eastAsia="zh-CN"/>
              </w:rPr>
              <w:t>投诉案件处置时效</w:t>
            </w:r>
          </w:p>
        </w:tc>
        <w:tc>
          <w:tcPr>
            <w:tcW w:w="1123" w:type="dxa"/>
            <w:noWrap w:val="0"/>
            <w:vAlign w:val="center"/>
          </w:tcPr>
          <w:p w14:paraId="28EFA14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lang w:val="en-US" w:eastAsia="zh-CN"/>
              </w:rPr>
              <w:t>在规定时间内处置</w:t>
            </w:r>
          </w:p>
        </w:tc>
        <w:tc>
          <w:tcPr>
            <w:tcW w:w="1093" w:type="dxa"/>
            <w:noWrap w:val="0"/>
            <w:vAlign w:val="center"/>
          </w:tcPr>
          <w:p w14:paraId="36D9B9F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sz w:val="20"/>
                <w:szCs w:val="20"/>
                <w:lang w:val="en-US" w:eastAsia="zh-CN"/>
              </w:rPr>
              <w:t>均在规定时限内办结</w:t>
            </w:r>
          </w:p>
        </w:tc>
        <w:tc>
          <w:tcPr>
            <w:tcW w:w="943" w:type="dxa"/>
            <w:noWrap w:val="0"/>
            <w:vAlign w:val="center"/>
          </w:tcPr>
          <w:p w14:paraId="0450541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5</w:t>
            </w:r>
          </w:p>
        </w:tc>
        <w:tc>
          <w:tcPr>
            <w:tcW w:w="827" w:type="dxa"/>
            <w:noWrap w:val="0"/>
            <w:vAlign w:val="center"/>
          </w:tcPr>
          <w:p w14:paraId="7F5785D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5</w:t>
            </w:r>
          </w:p>
        </w:tc>
        <w:tc>
          <w:tcPr>
            <w:tcW w:w="1482" w:type="dxa"/>
            <w:noWrap w:val="0"/>
            <w:vAlign w:val="center"/>
          </w:tcPr>
          <w:p w14:paraId="6C3EB48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7439AB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6" w:hRule="atLeast"/>
          <w:jc w:val="center"/>
        </w:trPr>
        <w:tc>
          <w:tcPr>
            <w:tcW w:w="1077" w:type="dxa"/>
            <w:vMerge w:val="continue"/>
            <w:noWrap w:val="0"/>
            <w:vAlign w:val="center"/>
          </w:tcPr>
          <w:p w14:paraId="7DF67C1E">
            <w:pPr>
              <w:keepNext w:val="0"/>
              <w:keepLines w:val="0"/>
              <w:pageBreakBefore w:val="0"/>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color w:val="000000"/>
                <w:sz w:val="20"/>
                <w:szCs w:val="20"/>
                <w:highlight w:val="none"/>
              </w:rPr>
            </w:pPr>
          </w:p>
        </w:tc>
        <w:tc>
          <w:tcPr>
            <w:tcW w:w="1078" w:type="dxa"/>
            <w:vMerge w:val="continue"/>
            <w:noWrap w:val="0"/>
            <w:vAlign w:val="center"/>
          </w:tcPr>
          <w:p w14:paraId="7902BD00">
            <w:pPr>
              <w:keepNext w:val="0"/>
              <w:keepLines w:val="0"/>
              <w:pageBreakBefore w:val="0"/>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color w:val="000000"/>
                <w:sz w:val="20"/>
                <w:szCs w:val="20"/>
                <w:highlight w:val="none"/>
              </w:rPr>
            </w:pPr>
          </w:p>
        </w:tc>
        <w:tc>
          <w:tcPr>
            <w:tcW w:w="1031" w:type="dxa"/>
            <w:vMerge w:val="restart"/>
            <w:noWrap w:val="0"/>
            <w:vAlign w:val="center"/>
          </w:tcPr>
          <w:p w14:paraId="1EF5037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成本指标</w:t>
            </w:r>
          </w:p>
        </w:tc>
        <w:tc>
          <w:tcPr>
            <w:tcW w:w="1197" w:type="dxa"/>
            <w:noWrap w:val="0"/>
            <w:vAlign w:val="center"/>
          </w:tcPr>
          <w:p w14:paraId="35DD76F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color w:val="000000"/>
                <w:sz w:val="20"/>
                <w:szCs w:val="20"/>
                <w:highlight w:val="none"/>
                <w:lang w:eastAsia="zh-CN"/>
              </w:rPr>
            </w:pPr>
            <w:r>
              <w:rPr>
                <w:rFonts w:hint="eastAsia" w:ascii="仿宋_GB2312" w:hAnsi="仿宋_GB2312" w:eastAsia="仿宋_GB2312" w:cs="仿宋_GB2312"/>
                <w:color w:val="000000"/>
                <w:sz w:val="20"/>
                <w:szCs w:val="20"/>
                <w:highlight w:val="none"/>
                <w:lang w:eastAsia="zh-CN"/>
              </w:rPr>
              <w:t>项目实施成本</w:t>
            </w:r>
          </w:p>
        </w:tc>
        <w:tc>
          <w:tcPr>
            <w:tcW w:w="1123" w:type="dxa"/>
            <w:noWrap w:val="0"/>
            <w:vAlign w:val="center"/>
          </w:tcPr>
          <w:p w14:paraId="674FACA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控制在</w:t>
            </w:r>
            <w:r>
              <w:rPr>
                <w:rFonts w:hint="eastAsia" w:ascii="仿宋_GB2312" w:hAnsi="仿宋_GB2312" w:eastAsia="仿宋_GB2312" w:cs="仿宋_GB2312"/>
                <w:color w:val="000000"/>
                <w:sz w:val="20"/>
                <w:szCs w:val="20"/>
                <w:highlight w:val="none"/>
                <w:lang w:val="en-US" w:eastAsia="zh-CN"/>
              </w:rPr>
              <w:t>预算金额内</w:t>
            </w:r>
            <w:r>
              <w:rPr>
                <w:rFonts w:hint="eastAsia" w:ascii="仿宋_GB2312" w:hAnsi="仿宋_GB2312" w:eastAsia="仿宋_GB2312" w:cs="仿宋_GB2312"/>
                <w:color w:val="000000"/>
                <w:sz w:val="20"/>
                <w:szCs w:val="20"/>
                <w:highlight w:val="none"/>
              </w:rPr>
              <w:t>　</w:t>
            </w:r>
          </w:p>
        </w:tc>
        <w:tc>
          <w:tcPr>
            <w:tcW w:w="1093" w:type="dxa"/>
            <w:noWrap w:val="0"/>
            <w:vAlign w:val="center"/>
          </w:tcPr>
          <w:p w14:paraId="3AFD72F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未超预算</w:t>
            </w:r>
          </w:p>
        </w:tc>
        <w:tc>
          <w:tcPr>
            <w:tcW w:w="943" w:type="dxa"/>
            <w:noWrap w:val="0"/>
            <w:vAlign w:val="center"/>
          </w:tcPr>
          <w:p w14:paraId="4BE34D6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6</w:t>
            </w:r>
          </w:p>
        </w:tc>
        <w:tc>
          <w:tcPr>
            <w:tcW w:w="827" w:type="dxa"/>
            <w:noWrap w:val="0"/>
            <w:vAlign w:val="center"/>
          </w:tcPr>
          <w:p w14:paraId="2168600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6</w:t>
            </w:r>
          </w:p>
        </w:tc>
        <w:tc>
          <w:tcPr>
            <w:tcW w:w="1482" w:type="dxa"/>
            <w:noWrap w:val="0"/>
            <w:vAlign w:val="center"/>
          </w:tcPr>
          <w:p w14:paraId="373E532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1EE598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4" w:hRule="atLeast"/>
          <w:jc w:val="center"/>
        </w:trPr>
        <w:tc>
          <w:tcPr>
            <w:tcW w:w="1077" w:type="dxa"/>
            <w:vMerge w:val="continue"/>
            <w:noWrap w:val="0"/>
            <w:vAlign w:val="center"/>
          </w:tcPr>
          <w:p w14:paraId="118578CB">
            <w:pPr>
              <w:keepNext w:val="0"/>
              <w:keepLines w:val="0"/>
              <w:pageBreakBefore w:val="0"/>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color w:val="000000"/>
                <w:sz w:val="20"/>
                <w:szCs w:val="20"/>
                <w:highlight w:val="none"/>
              </w:rPr>
            </w:pPr>
          </w:p>
        </w:tc>
        <w:tc>
          <w:tcPr>
            <w:tcW w:w="1078" w:type="dxa"/>
            <w:vMerge w:val="continue"/>
            <w:noWrap w:val="0"/>
            <w:vAlign w:val="center"/>
          </w:tcPr>
          <w:p w14:paraId="79323252">
            <w:pPr>
              <w:keepNext w:val="0"/>
              <w:keepLines w:val="0"/>
              <w:pageBreakBefore w:val="0"/>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color w:val="000000"/>
                <w:sz w:val="20"/>
                <w:szCs w:val="20"/>
                <w:highlight w:val="none"/>
              </w:rPr>
            </w:pPr>
          </w:p>
        </w:tc>
        <w:tc>
          <w:tcPr>
            <w:tcW w:w="1031" w:type="dxa"/>
            <w:vMerge w:val="continue"/>
            <w:noWrap w:val="0"/>
            <w:vAlign w:val="center"/>
          </w:tcPr>
          <w:p w14:paraId="7509927B">
            <w:pPr>
              <w:keepNext w:val="0"/>
              <w:keepLines w:val="0"/>
              <w:pageBreakBefore w:val="0"/>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color w:val="000000"/>
                <w:sz w:val="20"/>
                <w:szCs w:val="20"/>
                <w:highlight w:val="none"/>
              </w:rPr>
            </w:pPr>
          </w:p>
        </w:tc>
        <w:tc>
          <w:tcPr>
            <w:tcW w:w="1197" w:type="dxa"/>
            <w:noWrap w:val="0"/>
            <w:vAlign w:val="center"/>
          </w:tcPr>
          <w:p w14:paraId="0C6191E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i w:val="0"/>
                <w:iCs w:val="0"/>
                <w:color w:val="000000"/>
                <w:kern w:val="0"/>
                <w:sz w:val="20"/>
                <w:szCs w:val="20"/>
                <w:u w:val="none"/>
                <w:lang w:val="en-US" w:eastAsia="zh-CN" w:bidi="ar"/>
              </w:rPr>
              <w:t>对社会发展造成负面影响</w:t>
            </w:r>
          </w:p>
        </w:tc>
        <w:tc>
          <w:tcPr>
            <w:tcW w:w="1123" w:type="dxa"/>
            <w:noWrap w:val="0"/>
            <w:vAlign w:val="center"/>
          </w:tcPr>
          <w:p w14:paraId="4FD19CF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val="en-US" w:eastAsia="zh-CN"/>
              </w:rPr>
              <w:t>无</w:t>
            </w:r>
            <w:r>
              <w:rPr>
                <w:rFonts w:hint="eastAsia" w:ascii="仿宋_GB2312" w:hAnsi="仿宋_GB2312" w:eastAsia="仿宋_GB2312" w:cs="仿宋_GB2312"/>
                <w:i w:val="0"/>
                <w:iCs w:val="0"/>
                <w:color w:val="000000"/>
                <w:kern w:val="0"/>
                <w:sz w:val="20"/>
                <w:szCs w:val="20"/>
                <w:u w:val="none"/>
                <w:lang w:val="en-US" w:eastAsia="zh-CN" w:bidi="ar"/>
              </w:rPr>
              <w:t>负面影响</w:t>
            </w:r>
          </w:p>
        </w:tc>
        <w:tc>
          <w:tcPr>
            <w:tcW w:w="1093" w:type="dxa"/>
            <w:noWrap w:val="0"/>
            <w:vAlign w:val="center"/>
          </w:tcPr>
          <w:p w14:paraId="6CD8B64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val="en-US" w:eastAsia="zh-CN"/>
              </w:rPr>
              <w:t>无</w:t>
            </w:r>
            <w:r>
              <w:rPr>
                <w:rFonts w:hint="eastAsia" w:ascii="仿宋_GB2312" w:hAnsi="仿宋_GB2312" w:eastAsia="仿宋_GB2312" w:cs="仿宋_GB2312"/>
                <w:i w:val="0"/>
                <w:iCs w:val="0"/>
                <w:color w:val="000000"/>
                <w:kern w:val="0"/>
                <w:sz w:val="20"/>
                <w:szCs w:val="20"/>
                <w:u w:val="none"/>
                <w:lang w:val="en-US" w:eastAsia="zh-CN" w:bidi="ar"/>
              </w:rPr>
              <w:t>负面影响</w:t>
            </w:r>
          </w:p>
        </w:tc>
        <w:tc>
          <w:tcPr>
            <w:tcW w:w="943" w:type="dxa"/>
            <w:noWrap w:val="0"/>
            <w:vAlign w:val="center"/>
          </w:tcPr>
          <w:p w14:paraId="50AFB67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3</w:t>
            </w:r>
          </w:p>
        </w:tc>
        <w:tc>
          <w:tcPr>
            <w:tcW w:w="827" w:type="dxa"/>
            <w:noWrap w:val="0"/>
            <w:vAlign w:val="center"/>
          </w:tcPr>
          <w:p w14:paraId="3FF6F1D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3</w:t>
            </w:r>
          </w:p>
        </w:tc>
        <w:tc>
          <w:tcPr>
            <w:tcW w:w="1482" w:type="dxa"/>
            <w:noWrap w:val="0"/>
            <w:vAlign w:val="center"/>
          </w:tcPr>
          <w:p w14:paraId="396301A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622CEF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77" w:type="dxa"/>
            <w:vMerge w:val="continue"/>
            <w:noWrap w:val="0"/>
            <w:vAlign w:val="center"/>
          </w:tcPr>
          <w:p w14:paraId="2C32065C">
            <w:pPr>
              <w:keepNext w:val="0"/>
              <w:keepLines w:val="0"/>
              <w:pageBreakBefore w:val="0"/>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color w:val="000000"/>
                <w:sz w:val="20"/>
                <w:szCs w:val="20"/>
                <w:highlight w:val="none"/>
              </w:rPr>
            </w:pPr>
          </w:p>
        </w:tc>
        <w:tc>
          <w:tcPr>
            <w:tcW w:w="1078" w:type="dxa"/>
            <w:vMerge w:val="continue"/>
            <w:noWrap w:val="0"/>
            <w:vAlign w:val="center"/>
          </w:tcPr>
          <w:p w14:paraId="169B994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color w:val="000000"/>
                <w:sz w:val="20"/>
                <w:szCs w:val="20"/>
                <w:highlight w:val="none"/>
              </w:rPr>
            </w:pPr>
          </w:p>
        </w:tc>
        <w:tc>
          <w:tcPr>
            <w:tcW w:w="1031" w:type="dxa"/>
            <w:vMerge w:val="continue"/>
            <w:noWrap w:val="0"/>
            <w:vAlign w:val="center"/>
          </w:tcPr>
          <w:p w14:paraId="036A78F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color w:val="000000"/>
                <w:sz w:val="20"/>
                <w:szCs w:val="20"/>
                <w:highlight w:val="none"/>
              </w:rPr>
            </w:pPr>
          </w:p>
        </w:tc>
        <w:tc>
          <w:tcPr>
            <w:tcW w:w="1197" w:type="dxa"/>
            <w:noWrap w:val="0"/>
            <w:vAlign w:val="center"/>
          </w:tcPr>
          <w:p w14:paraId="29107191">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i w:val="0"/>
                <w:iCs w:val="0"/>
                <w:color w:val="000000"/>
                <w:kern w:val="0"/>
                <w:sz w:val="20"/>
                <w:szCs w:val="20"/>
                <w:u w:val="none"/>
                <w:lang w:val="en-US" w:eastAsia="zh-CN" w:bidi="ar"/>
              </w:rPr>
              <w:t>对生态环境造成负面影响</w:t>
            </w:r>
          </w:p>
        </w:tc>
        <w:tc>
          <w:tcPr>
            <w:tcW w:w="1123" w:type="dxa"/>
            <w:noWrap w:val="0"/>
            <w:vAlign w:val="center"/>
          </w:tcPr>
          <w:p w14:paraId="2566F06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val="en-US" w:eastAsia="zh-CN"/>
              </w:rPr>
              <w:t>无</w:t>
            </w:r>
            <w:r>
              <w:rPr>
                <w:rFonts w:hint="eastAsia" w:ascii="仿宋_GB2312" w:hAnsi="仿宋_GB2312" w:eastAsia="仿宋_GB2312" w:cs="仿宋_GB2312"/>
                <w:i w:val="0"/>
                <w:iCs w:val="0"/>
                <w:color w:val="000000"/>
                <w:kern w:val="0"/>
                <w:sz w:val="20"/>
                <w:szCs w:val="20"/>
                <w:u w:val="none"/>
                <w:lang w:val="en-US" w:eastAsia="zh-CN" w:bidi="ar"/>
              </w:rPr>
              <w:t>负面影响</w:t>
            </w:r>
          </w:p>
        </w:tc>
        <w:tc>
          <w:tcPr>
            <w:tcW w:w="1093" w:type="dxa"/>
            <w:noWrap w:val="0"/>
            <w:vAlign w:val="center"/>
          </w:tcPr>
          <w:p w14:paraId="30A55A2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val="en-US" w:eastAsia="zh-CN"/>
              </w:rPr>
              <w:t>无</w:t>
            </w:r>
            <w:r>
              <w:rPr>
                <w:rFonts w:hint="eastAsia" w:ascii="仿宋_GB2312" w:hAnsi="仿宋_GB2312" w:eastAsia="仿宋_GB2312" w:cs="仿宋_GB2312"/>
                <w:i w:val="0"/>
                <w:iCs w:val="0"/>
                <w:color w:val="000000"/>
                <w:kern w:val="0"/>
                <w:sz w:val="20"/>
                <w:szCs w:val="20"/>
                <w:u w:val="none"/>
                <w:lang w:val="en-US" w:eastAsia="zh-CN" w:bidi="ar"/>
              </w:rPr>
              <w:t>负面影响</w:t>
            </w:r>
          </w:p>
        </w:tc>
        <w:tc>
          <w:tcPr>
            <w:tcW w:w="943" w:type="dxa"/>
            <w:noWrap w:val="0"/>
            <w:vAlign w:val="center"/>
          </w:tcPr>
          <w:p w14:paraId="59E5C17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3</w:t>
            </w:r>
          </w:p>
        </w:tc>
        <w:tc>
          <w:tcPr>
            <w:tcW w:w="827" w:type="dxa"/>
            <w:noWrap w:val="0"/>
            <w:vAlign w:val="center"/>
          </w:tcPr>
          <w:p w14:paraId="3A3F82C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val="en-US" w:eastAsia="zh-CN"/>
              </w:rPr>
              <w:t>3</w:t>
            </w:r>
          </w:p>
        </w:tc>
        <w:tc>
          <w:tcPr>
            <w:tcW w:w="1482" w:type="dxa"/>
            <w:noWrap w:val="0"/>
            <w:vAlign w:val="center"/>
          </w:tcPr>
          <w:p w14:paraId="6DDF93E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1F601D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77" w:type="dxa"/>
            <w:vMerge w:val="continue"/>
            <w:noWrap w:val="0"/>
            <w:vAlign w:val="center"/>
          </w:tcPr>
          <w:p w14:paraId="3D71CACC">
            <w:pPr>
              <w:keepNext w:val="0"/>
              <w:keepLines w:val="0"/>
              <w:pageBreakBefore w:val="0"/>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color w:val="000000"/>
                <w:sz w:val="20"/>
                <w:szCs w:val="20"/>
                <w:highlight w:val="none"/>
              </w:rPr>
            </w:pPr>
          </w:p>
        </w:tc>
        <w:tc>
          <w:tcPr>
            <w:tcW w:w="1078" w:type="dxa"/>
            <w:vMerge w:val="restart"/>
            <w:noWrap w:val="0"/>
            <w:vAlign w:val="center"/>
          </w:tcPr>
          <w:p w14:paraId="0B5F5F1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效益指标</w:t>
            </w:r>
          </w:p>
          <w:p w14:paraId="20A4B78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color w:val="000000"/>
                <w:sz w:val="20"/>
                <w:szCs w:val="20"/>
                <w:highlight w:val="none"/>
              </w:rPr>
            </w:pPr>
          </w:p>
          <w:p w14:paraId="6220723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（30分）</w:t>
            </w:r>
          </w:p>
          <w:p w14:paraId="13D9575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1031" w:type="dxa"/>
            <w:vMerge w:val="restart"/>
            <w:noWrap w:val="0"/>
            <w:vAlign w:val="center"/>
          </w:tcPr>
          <w:p w14:paraId="350CF62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经济效</w:t>
            </w:r>
          </w:p>
          <w:p w14:paraId="18B2398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益指标</w:t>
            </w:r>
          </w:p>
        </w:tc>
        <w:tc>
          <w:tcPr>
            <w:tcW w:w="1197" w:type="dxa"/>
            <w:noWrap w:val="0"/>
            <w:vAlign w:val="center"/>
          </w:tcPr>
          <w:p w14:paraId="3D162A9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lang w:val="en-US" w:eastAsia="zh-CN"/>
              </w:rPr>
              <w:t>产生一定的间接经济效益</w:t>
            </w:r>
          </w:p>
        </w:tc>
        <w:tc>
          <w:tcPr>
            <w:tcW w:w="1123" w:type="dxa"/>
            <w:noWrap w:val="0"/>
            <w:vAlign w:val="center"/>
          </w:tcPr>
          <w:p w14:paraId="6BE2D13C">
            <w:pPr>
              <w:keepNext w:val="0"/>
              <w:keepLines w:val="0"/>
              <w:pageBreakBefore w:val="0"/>
              <w:widowControl/>
              <w:numPr>
                <w:ilvl w:val="0"/>
                <w:numId w:val="0"/>
              </w:numPr>
              <w:kinsoku/>
              <w:wordWrap/>
              <w:overflowPunct/>
              <w:topLinePunct w:val="0"/>
              <w:autoSpaceDE/>
              <w:autoSpaceDN/>
              <w:bidi w:val="0"/>
              <w:adjustRightInd/>
              <w:snapToGrid/>
              <w:spacing w:line="280" w:lineRule="exact"/>
              <w:ind w:left="0" w:leftChars="0" w:firstLine="0" w:firstLineChars="0"/>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sz w:val="20"/>
                <w:szCs w:val="20"/>
                <w:lang w:val="en-US" w:eastAsia="zh-CN"/>
              </w:rPr>
              <w:t>在一定程度上降低城市治理费用</w:t>
            </w:r>
          </w:p>
        </w:tc>
        <w:tc>
          <w:tcPr>
            <w:tcW w:w="1093" w:type="dxa"/>
            <w:noWrap w:val="0"/>
            <w:vAlign w:val="center"/>
          </w:tcPr>
          <w:p w14:paraId="6FB7F87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b w:val="0"/>
                <w:bCs/>
                <w:color w:val="auto"/>
                <w:sz w:val="20"/>
                <w:szCs w:val="20"/>
                <w:lang w:val="en-US" w:eastAsia="zh-CN"/>
              </w:rPr>
              <w:t>加强了</w:t>
            </w:r>
            <w:r>
              <w:rPr>
                <w:rFonts w:hint="eastAsia" w:ascii="仿宋_GB2312" w:hAnsi="仿宋_GB2312" w:eastAsia="仿宋_GB2312" w:cs="仿宋_GB2312"/>
                <w:color w:val="auto"/>
                <w:sz w:val="20"/>
                <w:szCs w:val="20"/>
                <w:lang w:val="en-US" w:eastAsia="zh-CN"/>
              </w:rPr>
              <w:t>扬尘治理，间接减少了环境治理费用</w:t>
            </w:r>
          </w:p>
        </w:tc>
        <w:tc>
          <w:tcPr>
            <w:tcW w:w="943" w:type="dxa"/>
            <w:noWrap w:val="0"/>
            <w:vAlign w:val="center"/>
          </w:tcPr>
          <w:p w14:paraId="1303C21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3</w:t>
            </w:r>
          </w:p>
        </w:tc>
        <w:tc>
          <w:tcPr>
            <w:tcW w:w="827" w:type="dxa"/>
            <w:noWrap w:val="0"/>
            <w:vAlign w:val="center"/>
          </w:tcPr>
          <w:p w14:paraId="540B230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3</w:t>
            </w:r>
          </w:p>
        </w:tc>
        <w:tc>
          <w:tcPr>
            <w:tcW w:w="1482" w:type="dxa"/>
            <w:noWrap w:val="0"/>
            <w:vAlign w:val="center"/>
          </w:tcPr>
          <w:p w14:paraId="39F0BFF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0862AD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77" w:type="dxa"/>
            <w:vMerge w:val="continue"/>
            <w:noWrap w:val="0"/>
            <w:vAlign w:val="center"/>
          </w:tcPr>
          <w:p w14:paraId="34F689E1">
            <w:pPr>
              <w:keepNext w:val="0"/>
              <w:keepLines w:val="0"/>
              <w:pageBreakBefore w:val="0"/>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color w:val="000000"/>
                <w:sz w:val="20"/>
                <w:szCs w:val="20"/>
                <w:highlight w:val="none"/>
              </w:rPr>
            </w:pPr>
          </w:p>
        </w:tc>
        <w:tc>
          <w:tcPr>
            <w:tcW w:w="1078" w:type="dxa"/>
            <w:vMerge w:val="continue"/>
            <w:noWrap w:val="0"/>
            <w:vAlign w:val="center"/>
          </w:tcPr>
          <w:p w14:paraId="3B918DF9">
            <w:pPr>
              <w:keepNext w:val="0"/>
              <w:keepLines w:val="0"/>
              <w:pageBreakBefore w:val="0"/>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color w:val="000000"/>
                <w:sz w:val="20"/>
                <w:szCs w:val="20"/>
                <w:highlight w:val="none"/>
              </w:rPr>
            </w:pPr>
          </w:p>
        </w:tc>
        <w:tc>
          <w:tcPr>
            <w:tcW w:w="1031" w:type="dxa"/>
            <w:vMerge w:val="continue"/>
            <w:noWrap w:val="0"/>
            <w:vAlign w:val="center"/>
          </w:tcPr>
          <w:p w14:paraId="644AD148">
            <w:pPr>
              <w:keepNext w:val="0"/>
              <w:keepLines w:val="0"/>
              <w:pageBreakBefore w:val="0"/>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color w:val="000000"/>
                <w:sz w:val="20"/>
                <w:szCs w:val="20"/>
                <w:highlight w:val="none"/>
              </w:rPr>
            </w:pPr>
          </w:p>
        </w:tc>
        <w:tc>
          <w:tcPr>
            <w:tcW w:w="1197" w:type="dxa"/>
            <w:noWrap w:val="0"/>
            <w:vAlign w:val="center"/>
          </w:tcPr>
          <w:p w14:paraId="7E1BC45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lang w:val="en-US" w:eastAsia="zh-CN"/>
              </w:rPr>
              <w:t>产生一定的罚没收入</w:t>
            </w:r>
          </w:p>
        </w:tc>
        <w:tc>
          <w:tcPr>
            <w:tcW w:w="1123" w:type="dxa"/>
            <w:noWrap w:val="0"/>
            <w:vAlign w:val="center"/>
          </w:tcPr>
          <w:p w14:paraId="576F2EE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sz w:val="20"/>
                <w:szCs w:val="20"/>
                <w:lang w:val="en-US" w:eastAsia="zh-CN"/>
              </w:rPr>
              <w:t>完成非税收入征收计划</w:t>
            </w:r>
          </w:p>
        </w:tc>
        <w:tc>
          <w:tcPr>
            <w:tcW w:w="1093" w:type="dxa"/>
            <w:noWrap w:val="0"/>
            <w:vAlign w:val="center"/>
          </w:tcPr>
          <w:p w14:paraId="5794C6E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color w:val="000000"/>
                <w:sz w:val="20"/>
                <w:szCs w:val="20"/>
                <w:highlight w:val="none"/>
                <w:lang w:val="en" w:eastAsia="zh-CN"/>
              </w:rPr>
            </w:pPr>
            <w:r>
              <w:rPr>
                <w:rFonts w:hint="eastAsia" w:ascii="仿宋_GB2312" w:hAnsi="仿宋_GB2312" w:eastAsia="仿宋_GB2312" w:cs="仿宋_GB2312"/>
                <w:color w:val="000000"/>
                <w:sz w:val="20"/>
                <w:szCs w:val="20"/>
                <w:highlight w:val="none"/>
                <w:lang w:val="en" w:eastAsia="zh-CN"/>
              </w:rPr>
              <w:t>完成了年度非税收入计划</w:t>
            </w:r>
          </w:p>
        </w:tc>
        <w:tc>
          <w:tcPr>
            <w:tcW w:w="943" w:type="dxa"/>
            <w:noWrap w:val="0"/>
            <w:vAlign w:val="center"/>
          </w:tcPr>
          <w:p w14:paraId="3FB3395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2</w:t>
            </w:r>
          </w:p>
        </w:tc>
        <w:tc>
          <w:tcPr>
            <w:tcW w:w="827" w:type="dxa"/>
            <w:noWrap w:val="0"/>
            <w:vAlign w:val="center"/>
          </w:tcPr>
          <w:p w14:paraId="485D174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2</w:t>
            </w:r>
          </w:p>
        </w:tc>
        <w:tc>
          <w:tcPr>
            <w:tcW w:w="1482" w:type="dxa"/>
            <w:noWrap w:val="0"/>
            <w:vAlign w:val="center"/>
          </w:tcPr>
          <w:p w14:paraId="384DB4B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007057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77" w:type="dxa"/>
            <w:vMerge w:val="continue"/>
            <w:noWrap w:val="0"/>
            <w:vAlign w:val="center"/>
          </w:tcPr>
          <w:p w14:paraId="1785137D">
            <w:pPr>
              <w:keepNext w:val="0"/>
              <w:keepLines w:val="0"/>
              <w:pageBreakBefore w:val="0"/>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color w:val="000000"/>
                <w:sz w:val="20"/>
                <w:szCs w:val="20"/>
                <w:highlight w:val="none"/>
              </w:rPr>
            </w:pPr>
          </w:p>
        </w:tc>
        <w:tc>
          <w:tcPr>
            <w:tcW w:w="1078" w:type="dxa"/>
            <w:vMerge w:val="continue"/>
            <w:noWrap w:val="0"/>
            <w:vAlign w:val="center"/>
          </w:tcPr>
          <w:p w14:paraId="08A07671">
            <w:pPr>
              <w:keepNext w:val="0"/>
              <w:keepLines w:val="0"/>
              <w:pageBreakBefore w:val="0"/>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color w:val="000000"/>
                <w:sz w:val="20"/>
                <w:szCs w:val="20"/>
                <w:highlight w:val="none"/>
              </w:rPr>
            </w:pPr>
          </w:p>
        </w:tc>
        <w:tc>
          <w:tcPr>
            <w:tcW w:w="1031" w:type="dxa"/>
            <w:vMerge w:val="restart"/>
            <w:noWrap w:val="0"/>
            <w:vAlign w:val="center"/>
          </w:tcPr>
          <w:p w14:paraId="23A4AD4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社会效</w:t>
            </w:r>
          </w:p>
          <w:p w14:paraId="6C93729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益指标</w:t>
            </w:r>
          </w:p>
        </w:tc>
        <w:tc>
          <w:tcPr>
            <w:tcW w:w="1197" w:type="dxa"/>
            <w:noWrap w:val="0"/>
            <w:vAlign w:val="center"/>
          </w:tcPr>
          <w:p w14:paraId="317939F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color w:val="000000"/>
                <w:sz w:val="20"/>
                <w:szCs w:val="20"/>
                <w:highlight w:val="none"/>
                <w:lang w:eastAsia="zh-CN"/>
              </w:rPr>
            </w:pPr>
            <w:r>
              <w:rPr>
                <w:rFonts w:hint="eastAsia" w:ascii="仿宋_GB2312" w:hAnsi="仿宋_GB2312" w:eastAsia="仿宋_GB2312" w:cs="仿宋_GB2312"/>
                <w:color w:val="000000"/>
                <w:sz w:val="20"/>
                <w:szCs w:val="20"/>
              </w:rPr>
              <w:t>服务市民，助力国家卫生城市、文明城市</w:t>
            </w:r>
            <w:r>
              <w:rPr>
                <w:rFonts w:hint="eastAsia" w:ascii="仿宋_GB2312" w:hAnsi="仿宋_GB2312" w:eastAsia="仿宋_GB2312" w:cs="仿宋_GB2312"/>
                <w:color w:val="000000"/>
                <w:sz w:val="20"/>
                <w:szCs w:val="20"/>
                <w:lang w:eastAsia="zh-CN"/>
              </w:rPr>
              <w:t>建设</w:t>
            </w:r>
          </w:p>
        </w:tc>
        <w:tc>
          <w:tcPr>
            <w:tcW w:w="1123" w:type="dxa"/>
            <w:noWrap w:val="0"/>
            <w:vAlign w:val="center"/>
          </w:tcPr>
          <w:p w14:paraId="6F67A3A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rPr>
              <w:t>服务市民，助力国家卫生城市、文明城市</w:t>
            </w:r>
            <w:r>
              <w:rPr>
                <w:rFonts w:hint="eastAsia" w:ascii="仿宋_GB2312" w:hAnsi="仿宋_GB2312" w:eastAsia="仿宋_GB2312" w:cs="仿宋_GB2312"/>
                <w:color w:val="000000"/>
                <w:sz w:val="20"/>
                <w:szCs w:val="20"/>
                <w:lang w:eastAsia="zh-CN"/>
              </w:rPr>
              <w:t>建设</w:t>
            </w:r>
          </w:p>
        </w:tc>
        <w:tc>
          <w:tcPr>
            <w:tcW w:w="1093" w:type="dxa"/>
            <w:noWrap w:val="0"/>
            <w:vAlign w:val="center"/>
          </w:tcPr>
          <w:p w14:paraId="33DDE90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lang w:eastAsia="zh-CN"/>
              </w:rPr>
              <w:t>为</w:t>
            </w:r>
            <w:r>
              <w:rPr>
                <w:rFonts w:hint="eastAsia" w:ascii="仿宋_GB2312" w:hAnsi="仿宋_GB2312" w:eastAsia="仿宋_GB2312" w:cs="仿宋_GB2312"/>
                <w:color w:val="000000"/>
                <w:sz w:val="20"/>
                <w:szCs w:val="20"/>
              </w:rPr>
              <w:t>国家卫生城市、文明城市</w:t>
            </w:r>
            <w:r>
              <w:rPr>
                <w:rFonts w:hint="eastAsia" w:ascii="仿宋_GB2312" w:hAnsi="仿宋_GB2312" w:eastAsia="仿宋_GB2312" w:cs="仿宋_GB2312"/>
                <w:color w:val="000000"/>
                <w:sz w:val="20"/>
                <w:szCs w:val="20"/>
                <w:lang w:eastAsia="zh-CN"/>
              </w:rPr>
              <w:t>建设奠定了基础</w:t>
            </w:r>
          </w:p>
        </w:tc>
        <w:tc>
          <w:tcPr>
            <w:tcW w:w="943" w:type="dxa"/>
            <w:noWrap w:val="0"/>
            <w:vAlign w:val="center"/>
          </w:tcPr>
          <w:p w14:paraId="2839931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5</w:t>
            </w:r>
          </w:p>
        </w:tc>
        <w:tc>
          <w:tcPr>
            <w:tcW w:w="827" w:type="dxa"/>
            <w:noWrap w:val="0"/>
            <w:vAlign w:val="center"/>
          </w:tcPr>
          <w:p w14:paraId="11FE457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5</w:t>
            </w:r>
          </w:p>
        </w:tc>
        <w:tc>
          <w:tcPr>
            <w:tcW w:w="1482" w:type="dxa"/>
            <w:noWrap w:val="0"/>
            <w:vAlign w:val="center"/>
          </w:tcPr>
          <w:p w14:paraId="71539E7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73FE81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77" w:type="dxa"/>
            <w:vMerge w:val="continue"/>
            <w:noWrap w:val="0"/>
            <w:vAlign w:val="center"/>
          </w:tcPr>
          <w:p w14:paraId="24D30A0D">
            <w:pPr>
              <w:keepNext w:val="0"/>
              <w:keepLines w:val="0"/>
              <w:pageBreakBefore w:val="0"/>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color w:val="000000"/>
                <w:sz w:val="20"/>
                <w:szCs w:val="20"/>
                <w:highlight w:val="none"/>
              </w:rPr>
            </w:pPr>
          </w:p>
        </w:tc>
        <w:tc>
          <w:tcPr>
            <w:tcW w:w="1078" w:type="dxa"/>
            <w:vMerge w:val="continue"/>
            <w:noWrap w:val="0"/>
            <w:vAlign w:val="center"/>
          </w:tcPr>
          <w:p w14:paraId="0BEC52A0">
            <w:pPr>
              <w:keepNext w:val="0"/>
              <w:keepLines w:val="0"/>
              <w:pageBreakBefore w:val="0"/>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color w:val="000000"/>
                <w:sz w:val="20"/>
                <w:szCs w:val="20"/>
                <w:highlight w:val="none"/>
              </w:rPr>
            </w:pPr>
          </w:p>
        </w:tc>
        <w:tc>
          <w:tcPr>
            <w:tcW w:w="1031" w:type="dxa"/>
            <w:vMerge w:val="continue"/>
            <w:noWrap w:val="0"/>
            <w:vAlign w:val="center"/>
          </w:tcPr>
          <w:p w14:paraId="783CEA71">
            <w:pPr>
              <w:keepNext w:val="0"/>
              <w:keepLines w:val="0"/>
              <w:pageBreakBefore w:val="0"/>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color w:val="000000"/>
                <w:sz w:val="20"/>
                <w:szCs w:val="20"/>
                <w:highlight w:val="none"/>
              </w:rPr>
            </w:pPr>
          </w:p>
        </w:tc>
        <w:tc>
          <w:tcPr>
            <w:tcW w:w="1197" w:type="dxa"/>
            <w:noWrap w:val="0"/>
            <w:vAlign w:val="center"/>
          </w:tcPr>
          <w:p w14:paraId="6CFAC00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lang w:val="en-US" w:eastAsia="zh-CN"/>
              </w:rPr>
              <w:t>提升城市整体形象</w:t>
            </w:r>
          </w:p>
        </w:tc>
        <w:tc>
          <w:tcPr>
            <w:tcW w:w="1123" w:type="dxa"/>
            <w:noWrap w:val="0"/>
            <w:vAlign w:val="center"/>
          </w:tcPr>
          <w:p w14:paraId="5916615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lang w:val="en-US" w:eastAsia="zh-CN"/>
              </w:rPr>
              <w:t>加强市容市貌管理</w:t>
            </w:r>
          </w:p>
        </w:tc>
        <w:tc>
          <w:tcPr>
            <w:tcW w:w="1093" w:type="dxa"/>
            <w:noWrap w:val="0"/>
            <w:vAlign w:val="center"/>
          </w:tcPr>
          <w:p w14:paraId="11164D5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lang w:val="en-US" w:eastAsia="zh-CN"/>
              </w:rPr>
              <w:t>城市整体形象不断提升，改善了市民居住环境。</w:t>
            </w:r>
          </w:p>
        </w:tc>
        <w:tc>
          <w:tcPr>
            <w:tcW w:w="943" w:type="dxa"/>
            <w:noWrap w:val="0"/>
            <w:vAlign w:val="center"/>
          </w:tcPr>
          <w:p w14:paraId="205921C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5</w:t>
            </w:r>
          </w:p>
        </w:tc>
        <w:tc>
          <w:tcPr>
            <w:tcW w:w="827" w:type="dxa"/>
            <w:noWrap w:val="0"/>
            <w:vAlign w:val="center"/>
          </w:tcPr>
          <w:p w14:paraId="784B6AA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5</w:t>
            </w:r>
          </w:p>
        </w:tc>
        <w:tc>
          <w:tcPr>
            <w:tcW w:w="1482" w:type="dxa"/>
            <w:noWrap w:val="0"/>
            <w:vAlign w:val="center"/>
          </w:tcPr>
          <w:p w14:paraId="35D5332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5777F1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77" w:type="dxa"/>
            <w:vMerge w:val="continue"/>
            <w:noWrap w:val="0"/>
            <w:vAlign w:val="center"/>
          </w:tcPr>
          <w:p w14:paraId="1611D09F">
            <w:pPr>
              <w:keepNext w:val="0"/>
              <w:keepLines w:val="0"/>
              <w:pageBreakBefore w:val="0"/>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color w:val="000000"/>
                <w:sz w:val="20"/>
                <w:szCs w:val="20"/>
                <w:highlight w:val="none"/>
              </w:rPr>
            </w:pPr>
          </w:p>
        </w:tc>
        <w:tc>
          <w:tcPr>
            <w:tcW w:w="1078" w:type="dxa"/>
            <w:vMerge w:val="continue"/>
            <w:noWrap w:val="0"/>
            <w:vAlign w:val="center"/>
          </w:tcPr>
          <w:p w14:paraId="694C5367">
            <w:pPr>
              <w:keepNext w:val="0"/>
              <w:keepLines w:val="0"/>
              <w:pageBreakBefore w:val="0"/>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color w:val="000000"/>
                <w:sz w:val="20"/>
                <w:szCs w:val="20"/>
                <w:highlight w:val="none"/>
              </w:rPr>
            </w:pPr>
          </w:p>
        </w:tc>
        <w:tc>
          <w:tcPr>
            <w:tcW w:w="1031" w:type="dxa"/>
            <w:vMerge w:val="restart"/>
            <w:noWrap w:val="0"/>
            <w:vAlign w:val="center"/>
          </w:tcPr>
          <w:p w14:paraId="01B6846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生态效</w:t>
            </w:r>
          </w:p>
          <w:p w14:paraId="27D33CC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益指标</w:t>
            </w:r>
          </w:p>
        </w:tc>
        <w:tc>
          <w:tcPr>
            <w:tcW w:w="1197" w:type="dxa"/>
            <w:noWrap w:val="0"/>
            <w:vAlign w:val="center"/>
          </w:tcPr>
          <w:p w14:paraId="069B7B6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lang w:val="en-US" w:eastAsia="zh-CN"/>
              </w:rPr>
              <w:t>城区扬尘治理</w:t>
            </w:r>
          </w:p>
        </w:tc>
        <w:tc>
          <w:tcPr>
            <w:tcW w:w="1123" w:type="dxa"/>
            <w:noWrap w:val="0"/>
            <w:vAlign w:val="center"/>
          </w:tcPr>
          <w:p w14:paraId="50E8520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sz w:val="20"/>
                <w:szCs w:val="20"/>
                <w:lang w:eastAsia="zh-CN"/>
              </w:rPr>
              <w:t>基建场地污染源整治，</w:t>
            </w:r>
            <w:r>
              <w:rPr>
                <w:rFonts w:hint="eastAsia" w:ascii="仿宋_GB2312" w:hAnsi="仿宋_GB2312" w:eastAsia="仿宋_GB2312" w:cs="仿宋_GB2312"/>
                <w:sz w:val="20"/>
                <w:szCs w:val="20"/>
                <w:lang w:val="en-US" w:eastAsia="zh-CN"/>
              </w:rPr>
              <w:t>有效改善城市环境。</w:t>
            </w:r>
          </w:p>
        </w:tc>
        <w:tc>
          <w:tcPr>
            <w:tcW w:w="1093" w:type="dxa"/>
            <w:noWrap w:val="0"/>
            <w:vAlign w:val="center"/>
          </w:tcPr>
          <w:p w14:paraId="2D4B4AE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sz w:val="20"/>
                <w:szCs w:val="20"/>
              </w:rPr>
              <w:t>严格管控污染源</w:t>
            </w:r>
            <w:r>
              <w:rPr>
                <w:rFonts w:hint="eastAsia" w:ascii="仿宋_GB2312" w:hAnsi="仿宋_GB2312" w:eastAsia="仿宋_GB2312" w:cs="仿宋_GB2312"/>
                <w:sz w:val="20"/>
                <w:szCs w:val="20"/>
                <w:lang w:eastAsia="zh-CN"/>
              </w:rPr>
              <w:t>，</w:t>
            </w:r>
            <w:r>
              <w:rPr>
                <w:rFonts w:hint="eastAsia" w:ascii="仿宋_GB2312" w:hAnsi="仿宋_GB2312" w:eastAsia="仿宋_GB2312" w:cs="仿宋_GB2312"/>
                <w:sz w:val="20"/>
                <w:szCs w:val="20"/>
                <w:lang w:val="en-US" w:eastAsia="zh-CN"/>
              </w:rPr>
              <w:t>减少了城市污染源。</w:t>
            </w:r>
          </w:p>
        </w:tc>
        <w:tc>
          <w:tcPr>
            <w:tcW w:w="943" w:type="dxa"/>
            <w:noWrap w:val="0"/>
            <w:vAlign w:val="center"/>
          </w:tcPr>
          <w:p w14:paraId="6F62022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5</w:t>
            </w:r>
          </w:p>
        </w:tc>
        <w:tc>
          <w:tcPr>
            <w:tcW w:w="827" w:type="dxa"/>
            <w:noWrap w:val="0"/>
            <w:vAlign w:val="center"/>
          </w:tcPr>
          <w:p w14:paraId="6A9FAD9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4</w:t>
            </w:r>
          </w:p>
        </w:tc>
        <w:tc>
          <w:tcPr>
            <w:tcW w:w="1482" w:type="dxa"/>
            <w:noWrap w:val="0"/>
            <w:vAlign w:val="center"/>
          </w:tcPr>
          <w:p w14:paraId="698B638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_GB2312" w:hAnsi="仿宋_GB2312" w:eastAsia="仿宋_GB2312" w:cs="仿宋_GB2312"/>
                <w:color w:val="000000"/>
                <w:sz w:val="20"/>
                <w:szCs w:val="20"/>
                <w:highlight w:val="none"/>
                <w:lang w:val="en-US"/>
              </w:rPr>
            </w:pPr>
            <w:r>
              <w:rPr>
                <w:rFonts w:hint="eastAsia" w:ascii="仿宋_GB2312" w:hAnsi="仿宋_GB2312" w:eastAsia="仿宋_GB2312" w:cs="仿宋_GB2312"/>
                <w:color w:val="000000"/>
                <w:sz w:val="20"/>
                <w:szCs w:val="20"/>
                <w:lang w:val="en-US" w:eastAsia="zh-CN"/>
              </w:rPr>
              <w:t>部分</w:t>
            </w:r>
            <w:r>
              <w:rPr>
                <w:rFonts w:hint="eastAsia" w:ascii="仿宋_GB2312" w:hAnsi="仿宋_GB2312" w:eastAsia="仿宋_GB2312" w:cs="仿宋_GB2312"/>
                <w:sz w:val="20"/>
                <w:szCs w:val="20"/>
                <w:lang w:eastAsia="zh-CN"/>
              </w:rPr>
              <w:t>基建场地</w:t>
            </w:r>
            <w:r>
              <w:rPr>
                <w:rFonts w:hint="eastAsia" w:ascii="仿宋_GB2312" w:hAnsi="仿宋_GB2312" w:eastAsia="仿宋_GB2312" w:cs="仿宋_GB2312"/>
                <w:color w:val="000000"/>
                <w:sz w:val="20"/>
                <w:szCs w:val="20"/>
                <w:lang w:val="en-US" w:eastAsia="zh-CN"/>
              </w:rPr>
              <w:t>扬尘治理有待加强监管，下一步加强巡查，切实管控好污染源。</w:t>
            </w:r>
          </w:p>
        </w:tc>
      </w:tr>
      <w:tr w14:paraId="197B73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77" w:type="dxa"/>
            <w:vMerge w:val="continue"/>
            <w:noWrap w:val="0"/>
            <w:vAlign w:val="center"/>
          </w:tcPr>
          <w:p w14:paraId="19F29B84">
            <w:pPr>
              <w:keepNext w:val="0"/>
              <w:keepLines w:val="0"/>
              <w:pageBreakBefore w:val="0"/>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color w:val="000000"/>
                <w:sz w:val="20"/>
                <w:szCs w:val="20"/>
                <w:highlight w:val="none"/>
              </w:rPr>
            </w:pPr>
          </w:p>
        </w:tc>
        <w:tc>
          <w:tcPr>
            <w:tcW w:w="1078" w:type="dxa"/>
            <w:vMerge w:val="continue"/>
            <w:noWrap w:val="0"/>
            <w:vAlign w:val="center"/>
          </w:tcPr>
          <w:p w14:paraId="630B4080">
            <w:pPr>
              <w:keepNext w:val="0"/>
              <w:keepLines w:val="0"/>
              <w:pageBreakBefore w:val="0"/>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color w:val="000000"/>
                <w:sz w:val="20"/>
                <w:szCs w:val="20"/>
                <w:highlight w:val="none"/>
              </w:rPr>
            </w:pPr>
          </w:p>
        </w:tc>
        <w:tc>
          <w:tcPr>
            <w:tcW w:w="1031" w:type="dxa"/>
            <w:vMerge w:val="continue"/>
            <w:noWrap w:val="0"/>
            <w:vAlign w:val="center"/>
          </w:tcPr>
          <w:p w14:paraId="088DA885">
            <w:pPr>
              <w:keepNext w:val="0"/>
              <w:keepLines w:val="0"/>
              <w:pageBreakBefore w:val="0"/>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color w:val="000000"/>
                <w:sz w:val="20"/>
                <w:szCs w:val="20"/>
                <w:highlight w:val="none"/>
              </w:rPr>
            </w:pPr>
          </w:p>
        </w:tc>
        <w:tc>
          <w:tcPr>
            <w:tcW w:w="1197" w:type="dxa"/>
            <w:noWrap w:val="0"/>
            <w:vAlign w:val="center"/>
          </w:tcPr>
          <w:p w14:paraId="7251D8C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_GB2312" w:hAnsi="仿宋_GB2312" w:eastAsia="仿宋_GB2312" w:cs="仿宋_GB2312"/>
                <w:color w:val="000000"/>
                <w:sz w:val="20"/>
                <w:szCs w:val="20"/>
                <w:highlight w:val="none"/>
                <w:lang w:val="en-US"/>
              </w:rPr>
            </w:pPr>
            <w:r>
              <w:rPr>
                <w:rFonts w:hint="eastAsia" w:ascii="仿宋_GB2312" w:hAnsi="仿宋_GB2312" w:eastAsia="仿宋_GB2312" w:cs="仿宋_GB2312"/>
                <w:color w:val="000000"/>
                <w:sz w:val="20"/>
                <w:szCs w:val="20"/>
                <w:lang w:val="en-US" w:eastAsia="zh-CN"/>
              </w:rPr>
              <w:t>营造秀美、整洁、安宁的城市环境</w:t>
            </w:r>
          </w:p>
        </w:tc>
        <w:tc>
          <w:tcPr>
            <w:tcW w:w="1123" w:type="dxa"/>
            <w:noWrap w:val="0"/>
            <w:vAlign w:val="center"/>
          </w:tcPr>
          <w:p w14:paraId="60A9D24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rPr>
              <w:t>改善人居环境，营造秀美、整洁、安宁的城市环境</w:t>
            </w:r>
          </w:p>
        </w:tc>
        <w:tc>
          <w:tcPr>
            <w:tcW w:w="1093" w:type="dxa"/>
            <w:noWrap w:val="0"/>
            <w:vAlign w:val="center"/>
          </w:tcPr>
          <w:p w14:paraId="73ADEFC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rPr>
              <w:t>市容秩序</w:t>
            </w:r>
            <w:r>
              <w:rPr>
                <w:rFonts w:hint="eastAsia" w:ascii="仿宋_GB2312" w:hAnsi="仿宋_GB2312" w:eastAsia="仿宋_GB2312" w:cs="仿宋_GB2312"/>
                <w:color w:val="000000"/>
                <w:sz w:val="20"/>
                <w:szCs w:val="20"/>
                <w:lang w:eastAsia="zh-CN"/>
              </w:rPr>
              <w:t>、</w:t>
            </w:r>
            <w:r>
              <w:rPr>
                <w:rFonts w:hint="eastAsia" w:ascii="仿宋_GB2312" w:hAnsi="仿宋_GB2312" w:eastAsia="仿宋_GB2312" w:cs="仿宋_GB2312"/>
                <w:color w:val="000000"/>
                <w:sz w:val="20"/>
                <w:szCs w:val="20"/>
              </w:rPr>
              <w:t>环境</w:t>
            </w:r>
            <w:r>
              <w:rPr>
                <w:rFonts w:hint="eastAsia" w:ascii="仿宋_GB2312" w:hAnsi="仿宋_GB2312" w:eastAsia="仿宋_GB2312" w:cs="仿宋_GB2312"/>
                <w:color w:val="000000"/>
                <w:sz w:val="20"/>
                <w:szCs w:val="20"/>
                <w:lang w:val="en-US" w:eastAsia="zh-CN"/>
              </w:rPr>
              <w:t>不断提升</w:t>
            </w:r>
          </w:p>
        </w:tc>
        <w:tc>
          <w:tcPr>
            <w:tcW w:w="943" w:type="dxa"/>
            <w:noWrap w:val="0"/>
            <w:vAlign w:val="center"/>
          </w:tcPr>
          <w:p w14:paraId="73677A1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5</w:t>
            </w:r>
          </w:p>
        </w:tc>
        <w:tc>
          <w:tcPr>
            <w:tcW w:w="827" w:type="dxa"/>
            <w:noWrap w:val="0"/>
            <w:vAlign w:val="center"/>
          </w:tcPr>
          <w:p w14:paraId="0974EA0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5</w:t>
            </w:r>
          </w:p>
        </w:tc>
        <w:tc>
          <w:tcPr>
            <w:tcW w:w="1482" w:type="dxa"/>
            <w:noWrap w:val="0"/>
            <w:vAlign w:val="center"/>
          </w:tcPr>
          <w:p w14:paraId="18ACC5F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2AE1FE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77" w:type="dxa"/>
            <w:vMerge w:val="continue"/>
            <w:noWrap w:val="0"/>
            <w:vAlign w:val="center"/>
          </w:tcPr>
          <w:p w14:paraId="33D1BE5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color w:val="000000"/>
                <w:sz w:val="20"/>
                <w:szCs w:val="20"/>
                <w:highlight w:val="none"/>
              </w:rPr>
            </w:pPr>
          </w:p>
        </w:tc>
        <w:tc>
          <w:tcPr>
            <w:tcW w:w="1078" w:type="dxa"/>
            <w:vMerge w:val="continue"/>
            <w:noWrap w:val="0"/>
            <w:vAlign w:val="center"/>
          </w:tcPr>
          <w:p w14:paraId="17D55F9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color w:val="000000"/>
                <w:sz w:val="20"/>
                <w:szCs w:val="20"/>
                <w:highlight w:val="none"/>
              </w:rPr>
            </w:pPr>
          </w:p>
        </w:tc>
        <w:tc>
          <w:tcPr>
            <w:tcW w:w="1031" w:type="dxa"/>
            <w:noWrap w:val="0"/>
            <w:vAlign w:val="center"/>
          </w:tcPr>
          <w:p w14:paraId="59506A5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可持续影响指标</w:t>
            </w:r>
          </w:p>
        </w:tc>
        <w:tc>
          <w:tcPr>
            <w:tcW w:w="1197" w:type="dxa"/>
            <w:noWrap w:val="0"/>
            <w:vAlign w:val="center"/>
          </w:tcPr>
          <w:p w14:paraId="5763C47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rPr>
              <w:t>进一步建立健全城管执法机制，助力省域副中心城市建设</w:t>
            </w:r>
          </w:p>
        </w:tc>
        <w:tc>
          <w:tcPr>
            <w:tcW w:w="1123" w:type="dxa"/>
            <w:noWrap w:val="0"/>
            <w:vAlign w:val="center"/>
          </w:tcPr>
          <w:p w14:paraId="43F65A4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rPr>
              <w:t>进一步建立健全城管执法机制，助力省域副中心城市建设</w:t>
            </w:r>
          </w:p>
        </w:tc>
        <w:tc>
          <w:tcPr>
            <w:tcW w:w="1093" w:type="dxa"/>
            <w:noWrap w:val="0"/>
            <w:vAlign w:val="center"/>
          </w:tcPr>
          <w:p w14:paraId="06BA557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lang w:eastAsia="zh-CN"/>
              </w:rPr>
              <w:t>有效</w:t>
            </w:r>
            <w:r>
              <w:rPr>
                <w:rFonts w:hint="eastAsia" w:ascii="仿宋_GB2312" w:hAnsi="仿宋_GB2312" w:eastAsia="仿宋_GB2312" w:cs="仿宋_GB2312"/>
                <w:color w:val="000000"/>
                <w:sz w:val="20"/>
                <w:szCs w:val="20"/>
              </w:rPr>
              <w:t>助力</w:t>
            </w:r>
            <w:r>
              <w:rPr>
                <w:rFonts w:hint="eastAsia" w:ascii="仿宋_GB2312" w:hAnsi="仿宋_GB2312" w:eastAsia="仿宋_GB2312" w:cs="仿宋_GB2312"/>
                <w:color w:val="000000"/>
                <w:sz w:val="20"/>
                <w:szCs w:val="20"/>
                <w:lang w:eastAsia="zh-CN"/>
              </w:rPr>
              <w:t>了</w:t>
            </w:r>
            <w:r>
              <w:rPr>
                <w:rFonts w:hint="eastAsia" w:ascii="仿宋_GB2312" w:hAnsi="仿宋_GB2312" w:eastAsia="仿宋_GB2312" w:cs="仿宋_GB2312"/>
                <w:color w:val="000000"/>
                <w:sz w:val="20"/>
                <w:szCs w:val="20"/>
              </w:rPr>
              <w:t>省域副中心城市建设</w:t>
            </w:r>
          </w:p>
        </w:tc>
        <w:tc>
          <w:tcPr>
            <w:tcW w:w="943" w:type="dxa"/>
            <w:noWrap w:val="0"/>
            <w:vAlign w:val="center"/>
          </w:tcPr>
          <w:p w14:paraId="7C96E17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5</w:t>
            </w:r>
          </w:p>
        </w:tc>
        <w:tc>
          <w:tcPr>
            <w:tcW w:w="827" w:type="dxa"/>
            <w:noWrap w:val="0"/>
            <w:vAlign w:val="center"/>
          </w:tcPr>
          <w:p w14:paraId="363C03B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5</w:t>
            </w:r>
          </w:p>
        </w:tc>
        <w:tc>
          <w:tcPr>
            <w:tcW w:w="1482" w:type="dxa"/>
            <w:noWrap w:val="0"/>
            <w:vAlign w:val="center"/>
          </w:tcPr>
          <w:p w14:paraId="664AE3B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7BDE4D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77" w:type="dxa"/>
            <w:vMerge w:val="continue"/>
            <w:noWrap w:val="0"/>
            <w:vAlign w:val="center"/>
          </w:tcPr>
          <w:p w14:paraId="29C6A8F0">
            <w:pPr>
              <w:keepNext w:val="0"/>
              <w:keepLines w:val="0"/>
              <w:pageBreakBefore w:val="0"/>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color w:val="000000"/>
                <w:sz w:val="20"/>
                <w:szCs w:val="20"/>
                <w:highlight w:val="none"/>
              </w:rPr>
            </w:pPr>
          </w:p>
        </w:tc>
        <w:tc>
          <w:tcPr>
            <w:tcW w:w="1078" w:type="dxa"/>
            <w:noWrap w:val="0"/>
            <w:vAlign w:val="center"/>
          </w:tcPr>
          <w:p w14:paraId="0AE0CBF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满意度</w:t>
            </w:r>
          </w:p>
          <w:p w14:paraId="1B8E362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指标</w:t>
            </w:r>
          </w:p>
          <w:p w14:paraId="0359A2F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（10分）</w:t>
            </w:r>
          </w:p>
        </w:tc>
        <w:tc>
          <w:tcPr>
            <w:tcW w:w="1031" w:type="dxa"/>
            <w:noWrap w:val="0"/>
            <w:vAlign w:val="center"/>
          </w:tcPr>
          <w:p w14:paraId="59D2FEB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服务对象满意度指标</w:t>
            </w:r>
          </w:p>
        </w:tc>
        <w:tc>
          <w:tcPr>
            <w:tcW w:w="1197" w:type="dxa"/>
            <w:noWrap w:val="0"/>
            <w:vAlign w:val="center"/>
          </w:tcPr>
          <w:p w14:paraId="61D2471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服务对象满意度</w:t>
            </w:r>
          </w:p>
        </w:tc>
        <w:tc>
          <w:tcPr>
            <w:tcW w:w="1123" w:type="dxa"/>
            <w:noWrap w:val="0"/>
            <w:vAlign w:val="center"/>
          </w:tcPr>
          <w:p w14:paraId="0A97C37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≥95</w:t>
            </w:r>
            <w:r>
              <w:rPr>
                <w:rFonts w:hint="eastAsia" w:ascii="仿宋_GB2312" w:hAnsi="仿宋_GB2312" w:eastAsia="仿宋_GB2312" w:cs="仿宋_GB2312"/>
                <w:color w:val="000000"/>
                <w:sz w:val="20"/>
                <w:szCs w:val="20"/>
                <w:highlight w:val="none"/>
                <w:lang w:val="en-US" w:eastAsia="zh-CN"/>
              </w:rPr>
              <w:t>%</w:t>
            </w:r>
          </w:p>
        </w:tc>
        <w:tc>
          <w:tcPr>
            <w:tcW w:w="1093" w:type="dxa"/>
            <w:noWrap w:val="0"/>
            <w:vAlign w:val="center"/>
          </w:tcPr>
          <w:p w14:paraId="2630725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97%</w:t>
            </w:r>
          </w:p>
        </w:tc>
        <w:tc>
          <w:tcPr>
            <w:tcW w:w="943" w:type="dxa"/>
            <w:noWrap w:val="0"/>
            <w:vAlign w:val="center"/>
          </w:tcPr>
          <w:p w14:paraId="0A63B3B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10</w:t>
            </w:r>
          </w:p>
        </w:tc>
        <w:tc>
          <w:tcPr>
            <w:tcW w:w="827" w:type="dxa"/>
            <w:noWrap w:val="0"/>
            <w:vAlign w:val="center"/>
          </w:tcPr>
          <w:p w14:paraId="640505B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10</w:t>
            </w:r>
          </w:p>
        </w:tc>
        <w:tc>
          <w:tcPr>
            <w:tcW w:w="1482" w:type="dxa"/>
            <w:noWrap w:val="0"/>
            <w:vAlign w:val="center"/>
          </w:tcPr>
          <w:p w14:paraId="4A5A974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76B53F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 w:hRule="atLeast"/>
          <w:jc w:val="center"/>
        </w:trPr>
        <w:tc>
          <w:tcPr>
            <w:tcW w:w="6599" w:type="dxa"/>
            <w:gridSpan w:val="6"/>
            <w:noWrap w:val="0"/>
            <w:vAlign w:val="center"/>
          </w:tcPr>
          <w:p w14:paraId="0D140BF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总分</w:t>
            </w:r>
          </w:p>
        </w:tc>
        <w:tc>
          <w:tcPr>
            <w:tcW w:w="943" w:type="dxa"/>
            <w:noWrap w:val="0"/>
            <w:vAlign w:val="center"/>
          </w:tcPr>
          <w:p w14:paraId="184B653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100</w:t>
            </w:r>
          </w:p>
        </w:tc>
        <w:tc>
          <w:tcPr>
            <w:tcW w:w="827" w:type="dxa"/>
            <w:noWrap w:val="0"/>
            <w:vAlign w:val="center"/>
          </w:tcPr>
          <w:p w14:paraId="7C779AC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99</w:t>
            </w:r>
          </w:p>
        </w:tc>
        <w:tc>
          <w:tcPr>
            <w:tcW w:w="1482" w:type="dxa"/>
            <w:noWrap w:val="0"/>
            <w:vAlign w:val="center"/>
          </w:tcPr>
          <w:p w14:paraId="174CBD1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bl>
    <w:p w14:paraId="2ECF0ACC">
      <w:pPr>
        <w:widowControl/>
        <w:spacing w:line="600" w:lineRule="exact"/>
        <w:jc w:val="left"/>
        <w:rPr>
          <w:rFonts w:hint="eastAsia" w:ascii="CESI仿宋-GB2312" w:hAnsi="CESI仿宋-GB2312" w:eastAsia="CESI仿宋-GB2312" w:cs="CESI仿宋-GB2312"/>
          <w:color w:val="auto"/>
          <w:sz w:val="22"/>
          <w:szCs w:val="22"/>
          <w:lang w:eastAsia="zh-CN"/>
        </w:rPr>
      </w:pPr>
      <w:r>
        <w:rPr>
          <w:rFonts w:hint="eastAsia" w:ascii="CESI仿宋-GB2312" w:hAnsi="CESI仿宋-GB2312" w:eastAsia="CESI仿宋-GB2312" w:cs="CESI仿宋-GB2312"/>
          <w:sz w:val="22"/>
          <w:szCs w:val="22"/>
        </w:rPr>
        <w:t>填表人：</w:t>
      </w:r>
      <w:r>
        <w:rPr>
          <w:rFonts w:hint="eastAsia" w:ascii="CESI仿宋-GB2312" w:hAnsi="CESI仿宋-GB2312" w:eastAsia="CESI仿宋-GB2312" w:cs="CESI仿宋-GB2312"/>
          <w:color w:val="auto"/>
          <w:sz w:val="22"/>
          <w:szCs w:val="22"/>
          <w:lang w:val="en-US" w:eastAsia="zh-CN"/>
        </w:rPr>
        <w:t xml:space="preserve">徐建  </w:t>
      </w:r>
      <w:r>
        <w:rPr>
          <w:rFonts w:hint="eastAsia" w:ascii="CESI仿宋-GB2312" w:hAnsi="CESI仿宋-GB2312" w:eastAsia="CESI仿宋-GB2312" w:cs="CESI仿宋-GB2312"/>
          <w:sz w:val="22"/>
          <w:szCs w:val="22"/>
        </w:rPr>
        <w:t>填报日期：</w:t>
      </w:r>
      <w:r>
        <w:rPr>
          <w:rFonts w:hint="eastAsia" w:ascii="CESI仿宋-GB2312" w:hAnsi="CESI仿宋-GB2312" w:eastAsia="CESI仿宋-GB2312" w:cs="CESI仿宋-GB2312"/>
          <w:sz w:val="22"/>
          <w:szCs w:val="22"/>
          <w:lang w:val="en-US" w:eastAsia="zh-CN"/>
        </w:rPr>
        <w:t>2026.6.15</w:t>
      </w:r>
      <w:r>
        <w:rPr>
          <w:rFonts w:hint="eastAsia" w:ascii="CESI仿宋-GB2312" w:hAnsi="CESI仿宋-GB2312" w:eastAsia="CESI仿宋-GB2312" w:cs="CESI仿宋-GB2312"/>
          <w:sz w:val="22"/>
          <w:szCs w:val="22"/>
        </w:rPr>
        <w:t xml:space="preserve"> </w:t>
      </w:r>
      <w:r>
        <w:rPr>
          <w:rFonts w:hint="eastAsia" w:ascii="CESI仿宋-GB2312" w:hAnsi="CESI仿宋-GB2312" w:eastAsia="CESI仿宋-GB2312" w:cs="CESI仿宋-GB2312"/>
          <w:sz w:val="22"/>
          <w:szCs w:val="22"/>
          <w:lang w:val="en-US" w:eastAsia="zh-CN"/>
        </w:rPr>
        <w:t xml:space="preserve"> </w:t>
      </w:r>
      <w:r>
        <w:rPr>
          <w:rFonts w:hint="eastAsia" w:ascii="CESI仿宋-GB2312" w:hAnsi="CESI仿宋-GB2312" w:eastAsia="CESI仿宋-GB2312" w:cs="CESI仿宋-GB2312"/>
          <w:sz w:val="22"/>
          <w:szCs w:val="22"/>
        </w:rPr>
        <w:t>联系电话：</w:t>
      </w:r>
      <w:r>
        <w:rPr>
          <w:rFonts w:hint="eastAsia" w:ascii="CESI仿宋-GB2312" w:hAnsi="CESI仿宋-GB2312" w:eastAsia="CESI仿宋-GB2312" w:cs="CESI仿宋-GB2312"/>
          <w:sz w:val="22"/>
          <w:szCs w:val="22"/>
          <w:lang w:val="en-US" w:eastAsia="zh-CN"/>
        </w:rPr>
        <w:t>0730-8227298</w:t>
      </w:r>
      <w:r>
        <w:rPr>
          <w:rFonts w:hint="eastAsia" w:ascii="CESI仿宋-GB2312" w:hAnsi="CESI仿宋-GB2312" w:eastAsia="CESI仿宋-GB2312" w:cs="CESI仿宋-GB2312"/>
          <w:sz w:val="22"/>
          <w:szCs w:val="22"/>
        </w:rPr>
        <w:t xml:space="preserve"> </w:t>
      </w:r>
      <w:r>
        <w:rPr>
          <w:rFonts w:hint="eastAsia" w:ascii="CESI仿宋-GB2312" w:hAnsi="CESI仿宋-GB2312" w:eastAsia="CESI仿宋-GB2312" w:cs="CESI仿宋-GB2312"/>
          <w:sz w:val="22"/>
          <w:szCs w:val="22"/>
          <w:lang w:val="en-US" w:eastAsia="zh-CN"/>
        </w:rPr>
        <w:t xml:space="preserve"> </w:t>
      </w:r>
      <w:r>
        <w:rPr>
          <w:rFonts w:hint="eastAsia" w:ascii="CESI仿宋-GB2312" w:hAnsi="CESI仿宋-GB2312" w:eastAsia="CESI仿宋-GB2312" w:cs="CESI仿宋-GB2312"/>
          <w:sz w:val="22"/>
          <w:szCs w:val="22"/>
        </w:rPr>
        <w:t>单位负责人：</w:t>
      </w:r>
      <w:r>
        <w:rPr>
          <w:rFonts w:hint="eastAsia" w:ascii="CESI仿宋-GB2312" w:hAnsi="CESI仿宋-GB2312" w:eastAsia="CESI仿宋-GB2312" w:cs="CESI仿宋-GB2312"/>
          <w:color w:val="auto"/>
          <w:sz w:val="22"/>
          <w:szCs w:val="22"/>
          <w:lang w:eastAsia="zh-CN"/>
        </w:rPr>
        <w:t>郭沫农</w:t>
      </w:r>
    </w:p>
    <w:p w14:paraId="0517B2FB">
      <w:pPr>
        <w:widowControl/>
        <w:spacing w:line="600" w:lineRule="exact"/>
        <w:jc w:val="left"/>
        <w:rPr>
          <w:rFonts w:hint="eastAsia" w:ascii="黑体" w:hAnsi="黑体" w:eastAsia="黑体" w:cs="黑体"/>
          <w:sz w:val="32"/>
          <w:szCs w:val="32"/>
          <w:highlight w:val="none"/>
        </w:rPr>
      </w:pPr>
    </w:p>
    <w:p w14:paraId="78BF08CA">
      <w:pPr>
        <w:widowControl/>
        <w:spacing w:line="600" w:lineRule="exact"/>
        <w:jc w:val="left"/>
        <w:rPr>
          <w:rFonts w:hint="default" w:ascii="Times New Roman" w:hAnsi="Times New Roman" w:eastAsia="黑体" w:cs="Times New Roman"/>
          <w:sz w:val="32"/>
          <w:szCs w:val="32"/>
          <w:highlight w:val="none"/>
          <w:lang w:val="en-US" w:eastAsia="zh-CN"/>
        </w:rPr>
      </w:pPr>
      <w:r>
        <w:rPr>
          <w:rFonts w:hint="eastAsia" w:ascii="黑体" w:hAnsi="黑体" w:eastAsia="黑体" w:cs="黑体"/>
          <w:sz w:val="32"/>
          <w:szCs w:val="32"/>
          <w:highlight w:val="none"/>
        </w:rPr>
        <w:t>附件</w:t>
      </w:r>
      <w:r>
        <w:rPr>
          <w:rFonts w:hint="eastAsia" w:ascii="黑体" w:hAnsi="黑体" w:eastAsia="黑体" w:cs="黑体"/>
          <w:sz w:val="32"/>
          <w:szCs w:val="32"/>
          <w:highlight w:val="none"/>
          <w:lang w:val="en-US" w:eastAsia="zh-CN"/>
        </w:rPr>
        <w:t>1-2</w:t>
      </w:r>
    </w:p>
    <w:p w14:paraId="03BB1850">
      <w:pPr>
        <w:widowControl/>
        <w:spacing w:line="600" w:lineRule="exact"/>
        <w:jc w:val="center"/>
        <w:rPr>
          <w:rFonts w:hint="eastAsia" w:ascii="方正小标宋简体" w:hAnsi="方正小标宋简体" w:eastAsia="方正小标宋简体" w:cs="方正小标宋简体"/>
          <w:color w:val="000000"/>
          <w:sz w:val="36"/>
          <w:szCs w:val="36"/>
          <w:highlight w:val="none"/>
        </w:rPr>
      </w:pPr>
      <w:r>
        <w:rPr>
          <w:rFonts w:hint="eastAsia" w:ascii="方正小标宋简体" w:hAnsi="方正小标宋简体" w:eastAsia="方正小标宋简体" w:cs="方正小标宋简体"/>
          <w:color w:val="000000"/>
          <w:sz w:val="36"/>
          <w:szCs w:val="36"/>
          <w:highlight w:val="none"/>
        </w:rPr>
        <w:t>202</w:t>
      </w:r>
      <w:r>
        <w:rPr>
          <w:rFonts w:hint="eastAsia" w:ascii="方正小标宋简体" w:hAnsi="方正小标宋简体" w:eastAsia="方正小标宋简体" w:cs="方正小标宋简体"/>
          <w:color w:val="000000"/>
          <w:sz w:val="36"/>
          <w:szCs w:val="36"/>
          <w:highlight w:val="none"/>
          <w:lang w:val="en-US" w:eastAsia="zh-CN"/>
        </w:rPr>
        <w:t>5</w:t>
      </w:r>
      <w:r>
        <w:rPr>
          <w:rFonts w:hint="eastAsia" w:ascii="方正小标宋简体" w:hAnsi="方正小标宋简体" w:eastAsia="方正小标宋简体" w:cs="方正小标宋简体"/>
          <w:color w:val="000000"/>
          <w:sz w:val="36"/>
          <w:szCs w:val="36"/>
          <w:highlight w:val="none"/>
        </w:rPr>
        <w:t>年度项目支出绩效自评表</w:t>
      </w:r>
    </w:p>
    <w:p w14:paraId="5BA6D271">
      <w:pPr>
        <w:pStyle w:val="2"/>
        <w:rPr>
          <w:rFonts w:hint="eastAsia"/>
          <w:sz w:val="20"/>
          <w:szCs w:val="20"/>
        </w:rPr>
      </w:pPr>
    </w:p>
    <w:tbl>
      <w:tblPr>
        <w:tblStyle w:val="8"/>
        <w:tblW w:w="9851" w:type="dxa"/>
        <w:jc w:val="center"/>
        <w:tblLayout w:type="autofit"/>
        <w:tblCellMar>
          <w:top w:w="0" w:type="dxa"/>
          <w:left w:w="108" w:type="dxa"/>
          <w:bottom w:w="0" w:type="dxa"/>
          <w:right w:w="108" w:type="dxa"/>
        </w:tblCellMar>
      </w:tblPr>
      <w:tblGrid>
        <w:gridCol w:w="1080"/>
        <w:gridCol w:w="1080"/>
        <w:gridCol w:w="1080"/>
        <w:gridCol w:w="1184"/>
        <w:gridCol w:w="1050"/>
        <w:gridCol w:w="1110"/>
        <w:gridCol w:w="976"/>
        <w:gridCol w:w="873"/>
        <w:gridCol w:w="1418"/>
      </w:tblGrid>
      <w:tr w14:paraId="3533D715">
        <w:tblPrEx>
          <w:tblCellMar>
            <w:top w:w="0" w:type="dxa"/>
            <w:left w:w="108" w:type="dxa"/>
            <w:bottom w:w="0" w:type="dxa"/>
            <w:right w:w="108" w:type="dxa"/>
          </w:tblCellMar>
        </w:tblPrEx>
        <w:trPr>
          <w:jc w:val="center"/>
        </w:trPr>
        <w:tc>
          <w:tcPr>
            <w:tcW w:w="1080" w:type="dxa"/>
            <w:tcBorders>
              <w:top w:val="single" w:color="auto" w:sz="4" w:space="0"/>
              <w:left w:val="single" w:color="auto" w:sz="4" w:space="0"/>
              <w:bottom w:val="single" w:color="auto" w:sz="4" w:space="0"/>
              <w:right w:val="single" w:color="auto" w:sz="4" w:space="0"/>
            </w:tcBorders>
            <w:noWrap w:val="0"/>
            <w:vAlign w:val="center"/>
          </w:tcPr>
          <w:p w14:paraId="7839F51B">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项目支</w:t>
            </w:r>
          </w:p>
          <w:p w14:paraId="27EF9A47">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出名称</w:t>
            </w:r>
          </w:p>
        </w:tc>
        <w:tc>
          <w:tcPr>
            <w:tcW w:w="8771" w:type="dxa"/>
            <w:gridSpan w:val="8"/>
            <w:tcBorders>
              <w:top w:val="single" w:color="auto" w:sz="4" w:space="0"/>
              <w:left w:val="single" w:color="auto" w:sz="4" w:space="0"/>
              <w:bottom w:val="single" w:color="auto" w:sz="4" w:space="0"/>
              <w:right w:val="single" w:color="auto" w:sz="4" w:space="0"/>
            </w:tcBorders>
            <w:noWrap w:val="0"/>
            <w:vAlign w:val="center"/>
          </w:tcPr>
          <w:p w14:paraId="0731E4F3">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0"/>
                <w:szCs w:val="20"/>
                <w:highlight w:val="none"/>
              </w:rPr>
            </w:pPr>
            <w:r>
              <w:rPr>
                <w:rFonts w:hint="default" w:ascii="仿宋_GB2312" w:hAnsi="仿宋_GB2312" w:eastAsia="仿宋_GB2312" w:cs="仿宋_GB2312"/>
                <w:sz w:val="20"/>
                <w:szCs w:val="20"/>
                <w:lang w:val="en-US" w:eastAsia="zh-CN"/>
              </w:rPr>
              <w:t>协管员经费</w:t>
            </w:r>
            <w:r>
              <w:rPr>
                <w:rFonts w:hint="eastAsia" w:ascii="仿宋_GB2312" w:hAnsi="仿宋_GB2312" w:eastAsia="仿宋_GB2312" w:cs="仿宋_GB2312"/>
                <w:color w:val="000000"/>
                <w:sz w:val="20"/>
                <w:szCs w:val="20"/>
                <w:highlight w:val="none"/>
              </w:rPr>
              <w:t>　</w:t>
            </w:r>
          </w:p>
        </w:tc>
      </w:tr>
      <w:tr w14:paraId="2A9065A6">
        <w:tblPrEx>
          <w:tblCellMar>
            <w:top w:w="0" w:type="dxa"/>
            <w:left w:w="108" w:type="dxa"/>
            <w:bottom w:w="0" w:type="dxa"/>
            <w:right w:w="108" w:type="dxa"/>
          </w:tblCellMar>
        </w:tblPrEx>
        <w:trPr>
          <w:trHeight w:val="460" w:hRule="atLeast"/>
          <w:jc w:val="center"/>
        </w:trPr>
        <w:tc>
          <w:tcPr>
            <w:tcW w:w="1080" w:type="dxa"/>
            <w:tcBorders>
              <w:top w:val="single" w:color="auto" w:sz="4" w:space="0"/>
              <w:left w:val="single" w:color="auto" w:sz="4" w:space="0"/>
              <w:bottom w:val="single" w:color="auto" w:sz="4" w:space="0"/>
              <w:right w:val="single" w:color="auto" w:sz="4" w:space="0"/>
            </w:tcBorders>
            <w:noWrap w:val="0"/>
            <w:vAlign w:val="center"/>
          </w:tcPr>
          <w:p w14:paraId="1A5BB1A9">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主管部门</w:t>
            </w:r>
          </w:p>
        </w:tc>
        <w:tc>
          <w:tcPr>
            <w:tcW w:w="4394" w:type="dxa"/>
            <w:gridSpan w:val="4"/>
            <w:tcBorders>
              <w:top w:val="single" w:color="auto" w:sz="4" w:space="0"/>
              <w:left w:val="single" w:color="auto" w:sz="4" w:space="0"/>
              <w:bottom w:val="single" w:color="auto" w:sz="4" w:space="0"/>
              <w:right w:val="single" w:color="auto" w:sz="4" w:space="0"/>
            </w:tcBorders>
            <w:noWrap w:val="0"/>
            <w:vAlign w:val="center"/>
          </w:tcPr>
          <w:p w14:paraId="525C57AB">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lang w:val="en-US" w:eastAsia="zh-CN"/>
              </w:rPr>
              <w:t>岳阳市城市管理和综合执法局</w:t>
            </w:r>
          </w:p>
        </w:tc>
        <w:tc>
          <w:tcPr>
            <w:tcW w:w="1110" w:type="dxa"/>
            <w:tcBorders>
              <w:top w:val="single" w:color="auto" w:sz="4" w:space="0"/>
              <w:left w:val="single" w:color="auto" w:sz="4" w:space="0"/>
              <w:bottom w:val="single" w:color="auto" w:sz="4" w:space="0"/>
              <w:right w:val="single" w:color="auto" w:sz="4" w:space="0"/>
            </w:tcBorders>
            <w:noWrap w:val="0"/>
            <w:vAlign w:val="center"/>
          </w:tcPr>
          <w:p w14:paraId="547C0F33">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rPr>
              <w:t>实施单位</w:t>
            </w:r>
          </w:p>
        </w:tc>
        <w:tc>
          <w:tcPr>
            <w:tcW w:w="3267" w:type="dxa"/>
            <w:gridSpan w:val="3"/>
            <w:tcBorders>
              <w:top w:val="single" w:color="auto" w:sz="4" w:space="0"/>
              <w:left w:val="single" w:color="auto" w:sz="4" w:space="0"/>
              <w:bottom w:val="single" w:color="auto" w:sz="4" w:space="0"/>
              <w:right w:val="single" w:color="auto" w:sz="4" w:space="0"/>
            </w:tcBorders>
            <w:noWrap w:val="0"/>
            <w:vAlign w:val="center"/>
          </w:tcPr>
          <w:p w14:paraId="7F2B8468">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rPr>
              <w:t>岳阳市城市管理综合行政执法支队</w:t>
            </w:r>
          </w:p>
        </w:tc>
      </w:tr>
      <w:tr w14:paraId="214D3924">
        <w:tblPrEx>
          <w:tblCellMar>
            <w:top w:w="0" w:type="dxa"/>
            <w:left w:w="108" w:type="dxa"/>
            <w:bottom w:w="0" w:type="dxa"/>
            <w:right w:w="108" w:type="dxa"/>
          </w:tblCellMar>
        </w:tblPrEx>
        <w:trPr>
          <w:jc w:val="center"/>
        </w:trPr>
        <w:tc>
          <w:tcPr>
            <w:tcW w:w="1080" w:type="dxa"/>
            <w:vMerge w:val="restart"/>
            <w:tcBorders>
              <w:top w:val="single" w:color="auto" w:sz="4" w:space="0"/>
              <w:left w:val="single" w:color="auto" w:sz="4" w:space="0"/>
              <w:bottom w:val="single" w:color="auto" w:sz="4" w:space="0"/>
              <w:right w:val="single" w:color="auto" w:sz="4" w:space="0"/>
            </w:tcBorders>
            <w:noWrap w:val="0"/>
            <w:vAlign w:val="center"/>
          </w:tcPr>
          <w:p w14:paraId="3440C4B7">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项目资金</w:t>
            </w:r>
            <w:r>
              <w:rPr>
                <w:rFonts w:hint="eastAsia" w:ascii="仿宋_GB2312" w:hAnsi="仿宋_GB2312" w:eastAsia="仿宋_GB2312" w:cs="仿宋_GB2312"/>
                <w:color w:val="000000"/>
                <w:sz w:val="20"/>
                <w:szCs w:val="20"/>
                <w:highlight w:val="none"/>
              </w:rPr>
              <w:br w:type="textWrapping"/>
            </w:r>
            <w:r>
              <w:rPr>
                <w:rFonts w:hint="eastAsia" w:ascii="仿宋_GB2312" w:hAnsi="仿宋_GB2312" w:eastAsia="仿宋_GB2312" w:cs="仿宋_GB2312"/>
                <w:color w:val="000000"/>
                <w:sz w:val="20"/>
                <w:szCs w:val="20"/>
                <w:highlight w:val="none"/>
              </w:rPr>
              <w:t>（万元）</w:t>
            </w:r>
          </w:p>
        </w:tc>
        <w:tc>
          <w:tcPr>
            <w:tcW w:w="2160" w:type="dxa"/>
            <w:gridSpan w:val="2"/>
            <w:tcBorders>
              <w:top w:val="single" w:color="auto" w:sz="4" w:space="0"/>
              <w:left w:val="single" w:color="auto" w:sz="4" w:space="0"/>
              <w:bottom w:val="single" w:color="auto" w:sz="4" w:space="0"/>
              <w:right w:val="single" w:color="auto" w:sz="4" w:space="0"/>
            </w:tcBorders>
            <w:noWrap w:val="0"/>
            <w:vAlign w:val="center"/>
          </w:tcPr>
          <w:p w14:paraId="6E0DCC20">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1184" w:type="dxa"/>
            <w:tcBorders>
              <w:top w:val="single" w:color="auto" w:sz="4" w:space="0"/>
              <w:left w:val="single" w:color="auto" w:sz="4" w:space="0"/>
              <w:bottom w:val="single" w:color="auto" w:sz="4" w:space="0"/>
              <w:right w:val="single" w:color="auto" w:sz="4" w:space="0"/>
            </w:tcBorders>
            <w:noWrap w:val="0"/>
            <w:vAlign w:val="center"/>
          </w:tcPr>
          <w:p w14:paraId="12513775">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年初</w:t>
            </w:r>
          </w:p>
          <w:p w14:paraId="41F92381">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预算数</w:t>
            </w:r>
          </w:p>
        </w:tc>
        <w:tc>
          <w:tcPr>
            <w:tcW w:w="1050" w:type="dxa"/>
            <w:tcBorders>
              <w:top w:val="single" w:color="auto" w:sz="4" w:space="0"/>
              <w:left w:val="single" w:color="auto" w:sz="4" w:space="0"/>
              <w:bottom w:val="single" w:color="auto" w:sz="4" w:space="0"/>
              <w:right w:val="single" w:color="auto" w:sz="4" w:space="0"/>
            </w:tcBorders>
            <w:noWrap w:val="0"/>
            <w:vAlign w:val="center"/>
          </w:tcPr>
          <w:p w14:paraId="57A35DDC">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全年</w:t>
            </w:r>
          </w:p>
          <w:p w14:paraId="5E3C1F04">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预算数</w:t>
            </w:r>
          </w:p>
        </w:tc>
        <w:tc>
          <w:tcPr>
            <w:tcW w:w="1110" w:type="dxa"/>
            <w:tcBorders>
              <w:top w:val="single" w:color="auto" w:sz="4" w:space="0"/>
              <w:left w:val="single" w:color="auto" w:sz="4" w:space="0"/>
              <w:bottom w:val="single" w:color="auto" w:sz="4" w:space="0"/>
              <w:right w:val="single" w:color="auto" w:sz="4" w:space="0"/>
            </w:tcBorders>
            <w:noWrap w:val="0"/>
            <w:vAlign w:val="center"/>
          </w:tcPr>
          <w:p w14:paraId="2CC8B1F0">
            <w:pPr>
              <w:keepNext w:val="0"/>
              <w:keepLines w:val="0"/>
              <w:pageBreakBefore w:val="0"/>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全年</w:t>
            </w:r>
          </w:p>
          <w:p w14:paraId="375D3EF0">
            <w:pPr>
              <w:keepNext w:val="0"/>
              <w:keepLines w:val="0"/>
              <w:pageBreakBefore w:val="0"/>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执行数</w:t>
            </w:r>
          </w:p>
        </w:tc>
        <w:tc>
          <w:tcPr>
            <w:tcW w:w="976" w:type="dxa"/>
            <w:tcBorders>
              <w:top w:val="single" w:color="auto" w:sz="4" w:space="0"/>
              <w:left w:val="single" w:color="auto" w:sz="4" w:space="0"/>
              <w:bottom w:val="single" w:color="auto" w:sz="4" w:space="0"/>
              <w:right w:val="single" w:color="auto" w:sz="4" w:space="0"/>
            </w:tcBorders>
            <w:noWrap w:val="0"/>
            <w:vAlign w:val="center"/>
          </w:tcPr>
          <w:p w14:paraId="6D730332">
            <w:pPr>
              <w:keepNext w:val="0"/>
              <w:keepLines w:val="0"/>
              <w:pageBreakBefore w:val="0"/>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分值</w:t>
            </w:r>
          </w:p>
        </w:tc>
        <w:tc>
          <w:tcPr>
            <w:tcW w:w="873" w:type="dxa"/>
            <w:tcBorders>
              <w:top w:val="single" w:color="auto" w:sz="4" w:space="0"/>
              <w:left w:val="single" w:color="auto" w:sz="4" w:space="0"/>
              <w:bottom w:val="single" w:color="auto" w:sz="4" w:space="0"/>
              <w:right w:val="single" w:color="auto" w:sz="4" w:space="0"/>
            </w:tcBorders>
            <w:noWrap w:val="0"/>
            <w:vAlign w:val="center"/>
          </w:tcPr>
          <w:p w14:paraId="4040397A">
            <w:pPr>
              <w:keepNext w:val="0"/>
              <w:keepLines w:val="0"/>
              <w:pageBreakBefore w:val="0"/>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执行率</w:t>
            </w:r>
          </w:p>
        </w:tc>
        <w:tc>
          <w:tcPr>
            <w:tcW w:w="1418" w:type="dxa"/>
            <w:tcBorders>
              <w:top w:val="single" w:color="auto" w:sz="4" w:space="0"/>
              <w:left w:val="single" w:color="auto" w:sz="4" w:space="0"/>
              <w:bottom w:val="single" w:color="auto" w:sz="4" w:space="0"/>
              <w:right w:val="single" w:color="auto" w:sz="4" w:space="0"/>
            </w:tcBorders>
            <w:noWrap w:val="0"/>
            <w:vAlign w:val="center"/>
          </w:tcPr>
          <w:p w14:paraId="16534DFB">
            <w:pPr>
              <w:keepNext w:val="0"/>
              <w:keepLines w:val="0"/>
              <w:pageBreakBefore w:val="0"/>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得分</w:t>
            </w:r>
          </w:p>
        </w:tc>
      </w:tr>
      <w:tr w14:paraId="0C61C9C6">
        <w:tblPrEx>
          <w:tblCellMar>
            <w:top w:w="0" w:type="dxa"/>
            <w:left w:w="108" w:type="dxa"/>
            <w:bottom w:w="0" w:type="dxa"/>
            <w:right w:w="108" w:type="dxa"/>
          </w:tblCellMar>
        </w:tblPrEx>
        <w:trPr>
          <w:trHeight w:val="430" w:hRule="atLeast"/>
          <w:jc w:val="center"/>
        </w:trPr>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5501850F">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rPr>
            </w:pPr>
          </w:p>
        </w:tc>
        <w:tc>
          <w:tcPr>
            <w:tcW w:w="2160" w:type="dxa"/>
            <w:gridSpan w:val="2"/>
            <w:tcBorders>
              <w:top w:val="single" w:color="auto" w:sz="4" w:space="0"/>
              <w:left w:val="single" w:color="auto" w:sz="4" w:space="0"/>
              <w:bottom w:val="single" w:color="auto" w:sz="4" w:space="0"/>
              <w:right w:val="single" w:color="auto" w:sz="4" w:space="0"/>
            </w:tcBorders>
            <w:noWrap w:val="0"/>
            <w:vAlign w:val="center"/>
          </w:tcPr>
          <w:p w14:paraId="132F059D">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年度资金总额　</w:t>
            </w:r>
          </w:p>
        </w:tc>
        <w:tc>
          <w:tcPr>
            <w:tcW w:w="1184" w:type="dxa"/>
            <w:tcBorders>
              <w:top w:val="single" w:color="auto" w:sz="4" w:space="0"/>
              <w:left w:val="single" w:color="auto" w:sz="4" w:space="0"/>
              <w:bottom w:val="single" w:color="auto" w:sz="4" w:space="0"/>
              <w:right w:val="single" w:color="auto" w:sz="4" w:space="0"/>
            </w:tcBorders>
            <w:noWrap w:val="0"/>
            <w:vAlign w:val="center"/>
          </w:tcPr>
          <w:p w14:paraId="4819D3FC">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180.00</w:t>
            </w:r>
          </w:p>
        </w:tc>
        <w:tc>
          <w:tcPr>
            <w:tcW w:w="1050" w:type="dxa"/>
            <w:tcBorders>
              <w:top w:val="single" w:color="auto" w:sz="4" w:space="0"/>
              <w:left w:val="single" w:color="auto" w:sz="4" w:space="0"/>
              <w:bottom w:val="single" w:color="auto" w:sz="4" w:space="0"/>
              <w:right w:val="single" w:color="auto" w:sz="4" w:space="0"/>
            </w:tcBorders>
            <w:noWrap w:val="0"/>
            <w:vAlign w:val="center"/>
          </w:tcPr>
          <w:p w14:paraId="53B166EA">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val="en-US" w:eastAsia="zh-CN"/>
              </w:rPr>
              <w:t>187.59</w:t>
            </w:r>
          </w:p>
        </w:tc>
        <w:tc>
          <w:tcPr>
            <w:tcW w:w="1110" w:type="dxa"/>
            <w:tcBorders>
              <w:top w:val="single" w:color="auto" w:sz="4" w:space="0"/>
              <w:left w:val="single" w:color="auto" w:sz="4" w:space="0"/>
              <w:bottom w:val="single" w:color="auto" w:sz="4" w:space="0"/>
              <w:right w:val="single" w:color="auto" w:sz="4" w:space="0"/>
            </w:tcBorders>
            <w:noWrap w:val="0"/>
            <w:vAlign w:val="center"/>
          </w:tcPr>
          <w:p w14:paraId="4EA7F5E4">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val="en-US" w:eastAsia="zh-CN"/>
              </w:rPr>
              <w:t>187.59</w:t>
            </w:r>
          </w:p>
        </w:tc>
        <w:tc>
          <w:tcPr>
            <w:tcW w:w="976" w:type="dxa"/>
            <w:tcBorders>
              <w:top w:val="single" w:color="auto" w:sz="4" w:space="0"/>
              <w:left w:val="single" w:color="auto" w:sz="4" w:space="0"/>
              <w:bottom w:val="single" w:color="auto" w:sz="4" w:space="0"/>
              <w:right w:val="single" w:color="auto" w:sz="4" w:space="0"/>
            </w:tcBorders>
            <w:noWrap w:val="0"/>
            <w:vAlign w:val="center"/>
          </w:tcPr>
          <w:p w14:paraId="5E617EA6">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10</w:t>
            </w:r>
          </w:p>
        </w:tc>
        <w:tc>
          <w:tcPr>
            <w:tcW w:w="873" w:type="dxa"/>
            <w:tcBorders>
              <w:top w:val="single" w:color="auto" w:sz="4" w:space="0"/>
              <w:left w:val="single" w:color="auto" w:sz="4" w:space="0"/>
              <w:bottom w:val="single" w:color="auto" w:sz="4" w:space="0"/>
              <w:right w:val="single" w:color="auto" w:sz="4" w:space="0"/>
            </w:tcBorders>
            <w:noWrap w:val="0"/>
            <w:vAlign w:val="center"/>
          </w:tcPr>
          <w:p w14:paraId="3A79568B">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100%</w:t>
            </w:r>
          </w:p>
        </w:tc>
        <w:tc>
          <w:tcPr>
            <w:tcW w:w="1418" w:type="dxa"/>
            <w:tcBorders>
              <w:top w:val="single" w:color="auto" w:sz="4" w:space="0"/>
              <w:left w:val="single" w:color="auto" w:sz="4" w:space="0"/>
              <w:bottom w:val="single" w:color="auto" w:sz="4" w:space="0"/>
              <w:right w:val="single" w:color="auto" w:sz="4" w:space="0"/>
            </w:tcBorders>
            <w:noWrap w:val="0"/>
            <w:vAlign w:val="center"/>
          </w:tcPr>
          <w:p w14:paraId="2AAEF61A">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 xml:space="preserve"> 10</w:t>
            </w:r>
          </w:p>
        </w:tc>
      </w:tr>
      <w:tr w14:paraId="193A6EE4">
        <w:tblPrEx>
          <w:tblCellMar>
            <w:top w:w="0" w:type="dxa"/>
            <w:left w:w="108" w:type="dxa"/>
            <w:bottom w:w="0" w:type="dxa"/>
            <w:right w:w="108" w:type="dxa"/>
          </w:tblCellMar>
        </w:tblPrEx>
        <w:trPr>
          <w:trHeight w:val="430" w:hRule="atLeast"/>
          <w:jc w:val="center"/>
        </w:trPr>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72E710E7">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rPr>
            </w:pPr>
          </w:p>
        </w:tc>
        <w:tc>
          <w:tcPr>
            <w:tcW w:w="2160" w:type="dxa"/>
            <w:gridSpan w:val="2"/>
            <w:tcBorders>
              <w:top w:val="single" w:color="auto" w:sz="4" w:space="0"/>
              <w:left w:val="single" w:color="auto" w:sz="4" w:space="0"/>
              <w:bottom w:val="single" w:color="auto" w:sz="4" w:space="0"/>
              <w:right w:val="single" w:color="auto" w:sz="4" w:space="0"/>
            </w:tcBorders>
            <w:noWrap w:val="0"/>
            <w:vAlign w:val="center"/>
          </w:tcPr>
          <w:p w14:paraId="10CF3019">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其中：当年财政拨款　</w:t>
            </w:r>
          </w:p>
        </w:tc>
        <w:tc>
          <w:tcPr>
            <w:tcW w:w="1184" w:type="dxa"/>
            <w:tcBorders>
              <w:top w:val="single" w:color="auto" w:sz="4" w:space="0"/>
              <w:left w:val="single" w:color="auto" w:sz="4" w:space="0"/>
              <w:bottom w:val="single" w:color="auto" w:sz="4" w:space="0"/>
              <w:right w:val="single" w:color="auto" w:sz="4" w:space="0"/>
            </w:tcBorders>
            <w:noWrap w:val="0"/>
            <w:vAlign w:val="center"/>
          </w:tcPr>
          <w:p w14:paraId="71B5B1B9">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180.00</w:t>
            </w:r>
          </w:p>
        </w:tc>
        <w:tc>
          <w:tcPr>
            <w:tcW w:w="1050" w:type="dxa"/>
            <w:tcBorders>
              <w:top w:val="single" w:color="auto" w:sz="4" w:space="0"/>
              <w:left w:val="single" w:color="auto" w:sz="4" w:space="0"/>
              <w:bottom w:val="single" w:color="auto" w:sz="4" w:space="0"/>
              <w:right w:val="single" w:color="auto" w:sz="4" w:space="0"/>
            </w:tcBorders>
            <w:noWrap w:val="0"/>
            <w:vAlign w:val="center"/>
          </w:tcPr>
          <w:p w14:paraId="2A7DB1C4">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val="en-US" w:eastAsia="zh-CN"/>
              </w:rPr>
              <w:t>187.59</w:t>
            </w:r>
          </w:p>
        </w:tc>
        <w:tc>
          <w:tcPr>
            <w:tcW w:w="1110" w:type="dxa"/>
            <w:tcBorders>
              <w:top w:val="single" w:color="auto" w:sz="4" w:space="0"/>
              <w:left w:val="single" w:color="auto" w:sz="4" w:space="0"/>
              <w:bottom w:val="single" w:color="auto" w:sz="4" w:space="0"/>
              <w:right w:val="single" w:color="auto" w:sz="4" w:space="0"/>
            </w:tcBorders>
            <w:noWrap w:val="0"/>
            <w:vAlign w:val="center"/>
          </w:tcPr>
          <w:p w14:paraId="5DFF59DB">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val="en-US" w:eastAsia="zh-CN"/>
              </w:rPr>
              <w:t>187.59</w:t>
            </w:r>
          </w:p>
        </w:tc>
        <w:tc>
          <w:tcPr>
            <w:tcW w:w="976" w:type="dxa"/>
            <w:tcBorders>
              <w:top w:val="single" w:color="auto" w:sz="4" w:space="0"/>
              <w:left w:val="single" w:color="auto" w:sz="4" w:space="0"/>
              <w:bottom w:val="single" w:color="auto" w:sz="4" w:space="0"/>
              <w:right w:val="single" w:color="auto" w:sz="4" w:space="0"/>
            </w:tcBorders>
            <w:noWrap w:val="0"/>
            <w:vAlign w:val="center"/>
          </w:tcPr>
          <w:p w14:paraId="682DF3ED">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873" w:type="dxa"/>
            <w:tcBorders>
              <w:top w:val="single" w:color="auto" w:sz="4" w:space="0"/>
              <w:left w:val="single" w:color="auto" w:sz="4" w:space="0"/>
              <w:bottom w:val="single" w:color="auto" w:sz="4" w:space="0"/>
              <w:right w:val="single" w:color="auto" w:sz="4" w:space="0"/>
            </w:tcBorders>
            <w:noWrap w:val="0"/>
            <w:vAlign w:val="center"/>
          </w:tcPr>
          <w:p w14:paraId="49882A41">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1418" w:type="dxa"/>
            <w:tcBorders>
              <w:top w:val="single" w:color="auto" w:sz="4" w:space="0"/>
              <w:left w:val="single" w:color="auto" w:sz="4" w:space="0"/>
              <w:bottom w:val="single" w:color="auto" w:sz="4" w:space="0"/>
              <w:right w:val="single" w:color="auto" w:sz="4" w:space="0"/>
            </w:tcBorders>
            <w:noWrap w:val="0"/>
            <w:vAlign w:val="center"/>
          </w:tcPr>
          <w:p w14:paraId="0823D6CB">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496D8FD5">
        <w:tblPrEx>
          <w:tblCellMar>
            <w:top w:w="0" w:type="dxa"/>
            <w:left w:w="108" w:type="dxa"/>
            <w:bottom w:w="0" w:type="dxa"/>
            <w:right w:w="108" w:type="dxa"/>
          </w:tblCellMar>
        </w:tblPrEx>
        <w:trPr>
          <w:trHeight w:val="350" w:hRule="atLeast"/>
          <w:jc w:val="center"/>
        </w:trPr>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669C2671">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rPr>
            </w:pPr>
          </w:p>
        </w:tc>
        <w:tc>
          <w:tcPr>
            <w:tcW w:w="2160" w:type="dxa"/>
            <w:gridSpan w:val="2"/>
            <w:tcBorders>
              <w:top w:val="single" w:color="auto" w:sz="4" w:space="0"/>
              <w:left w:val="single" w:color="auto" w:sz="4" w:space="0"/>
              <w:bottom w:val="single" w:color="auto" w:sz="4" w:space="0"/>
              <w:right w:val="single" w:color="auto" w:sz="4" w:space="0"/>
            </w:tcBorders>
            <w:noWrap w:val="0"/>
            <w:vAlign w:val="center"/>
          </w:tcPr>
          <w:p w14:paraId="53825CF1">
            <w:pPr>
              <w:keepNext w:val="0"/>
              <w:keepLines w:val="0"/>
              <w:pageBreakBefore w:val="0"/>
              <w:widowControl/>
              <w:kinsoku/>
              <w:wordWrap/>
              <w:overflowPunct/>
              <w:topLinePunct w:val="0"/>
              <w:autoSpaceDE/>
              <w:autoSpaceDN/>
              <w:bidi w:val="0"/>
              <w:adjustRightInd/>
              <w:snapToGrid/>
              <w:spacing w:line="300" w:lineRule="exact"/>
              <w:ind w:firstLine="600" w:firstLineChars="300"/>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上年结转资金　</w:t>
            </w:r>
          </w:p>
        </w:tc>
        <w:tc>
          <w:tcPr>
            <w:tcW w:w="1184" w:type="dxa"/>
            <w:tcBorders>
              <w:top w:val="single" w:color="auto" w:sz="4" w:space="0"/>
              <w:left w:val="single" w:color="auto" w:sz="4" w:space="0"/>
              <w:bottom w:val="single" w:color="auto" w:sz="4" w:space="0"/>
              <w:right w:val="single" w:color="auto" w:sz="4" w:space="0"/>
            </w:tcBorders>
            <w:noWrap w:val="0"/>
            <w:vAlign w:val="center"/>
          </w:tcPr>
          <w:p w14:paraId="79475751">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1050" w:type="dxa"/>
            <w:tcBorders>
              <w:top w:val="single" w:color="auto" w:sz="4" w:space="0"/>
              <w:left w:val="single" w:color="auto" w:sz="4" w:space="0"/>
              <w:bottom w:val="single" w:color="auto" w:sz="4" w:space="0"/>
              <w:right w:val="single" w:color="auto" w:sz="4" w:space="0"/>
            </w:tcBorders>
            <w:noWrap w:val="0"/>
            <w:vAlign w:val="center"/>
          </w:tcPr>
          <w:p w14:paraId="74C47CCB">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1110" w:type="dxa"/>
            <w:tcBorders>
              <w:top w:val="single" w:color="auto" w:sz="4" w:space="0"/>
              <w:left w:val="single" w:color="auto" w:sz="4" w:space="0"/>
              <w:bottom w:val="single" w:color="auto" w:sz="4" w:space="0"/>
              <w:right w:val="single" w:color="auto" w:sz="4" w:space="0"/>
            </w:tcBorders>
            <w:noWrap w:val="0"/>
            <w:vAlign w:val="center"/>
          </w:tcPr>
          <w:p w14:paraId="13B1C66A">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976" w:type="dxa"/>
            <w:tcBorders>
              <w:top w:val="single" w:color="auto" w:sz="4" w:space="0"/>
              <w:left w:val="single" w:color="auto" w:sz="4" w:space="0"/>
              <w:bottom w:val="single" w:color="auto" w:sz="4" w:space="0"/>
              <w:right w:val="single" w:color="auto" w:sz="4" w:space="0"/>
            </w:tcBorders>
            <w:noWrap w:val="0"/>
            <w:vAlign w:val="center"/>
          </w:tcPr>
          <w:p w14:paraId="36712FF5">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873" w:type="dxa"/>
            <w:tcBorders>
              <w:top w:val="single" w:color="auto" w:sz="4" w:space="0"/>
              <w:left w:val="single" w:color="auto" w:sz="4" w:space="0"/>
              <w:bottom w:val="single" w:color="auto" w:sz="4" w:space="0"/>
              <w:right w:val="single" w:color="auto" w:sz="4" w:space="0"/>
            </w:tcBorders>
            <w:noWrap w:val="0"/>
            <w:vAlign w:val="center"/>
          </w:tcPr>
          <w:p w14:paraId="78DF121D">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1418" w:type="dxa"/>
            <w:tcBorders>
              <w:top w:val="single" w:color="auto" w:sz="4" w:space="0"/>
              <w:left w:val="single" w:color="auto" w:sz="4" w:space="0"/>
              <w:bottom w:val="single" w:color="auto" w:sz="4" w:space="0"/>
              <w:right w:val="single" w:color="auto" w:sz="4" w:space="0"/>
            </w:tcBorders>
            <w:noWrap w:val="0"/>
            <w:vAlign w:val="center"/>
          </w:tcPr>
          <w:p w14:paraId="01A3B576">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2A5D16E9">
        <w:tblPrEx>
          <w:tblCellMar>
            <w:top w:w="0" w:type="dxa"/>
            <w:left w:w="108" w:type="dxa"/>
            <w:bottom w:w="0" w:type="dxa"/>
            <w:right w:w="108" w:type="dxa"/>
          </w:tblCellMar>
        </w:tblPrEx>
        <w:trPr>
          <w:trHeight w:val="380" w:hRule="atLeast"/>
          <w:jc w:val="center"/>
        </w:trPr>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0D23F816">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rPr>
            </w:pPr>
          </w:p>
        </w:tc>
        <w:tc>
          <w:tcPr>
            <w:tcW w:w="2160" w:type="dxa"/>
            <w:gridSpan w:val="2"/>
            <w:tcBorders>
              <w:top w:val="single" w:color="auto" w:sz="4" w:space="0"/>
              <w:left w:val="single" w:color="auto" w:sz="4" w:space="0"/>
              <w:bottom w:val="single" w:color="auto" w:sz="4" w:space="0"/>
              <w:right w:val="single" w:color="auto" w:sz="4" w:space="0"/>
            </w:tcBorders>
            <w:noWrap w:val="0"/>
            <w:vAlign w:val="center"/>
          </w:tcPr>
          <w:p w14:paraId="3243DC2B">
            <w:pPr>
              <w:keepNext w:val="0"/>
              <w:keepLines w:val="0"/>
              <w:pageBreakBefore w:val="0"/>
              <w:widowControl/>
              <w:kinsoku/>
              <w:wordWrap/>
              <w:overflowPunct/>
              <w:topLinePunct w:val="0"/>
              <w:autoSpaceDE/>
              <w:autoSpaceDN/>
              <w:bidi w:val="0"/>
              <w:adjustRightInd/>
              <w:snapToGrid/>
              <w:spacing w:line="300" w:lineRule="exact"/>
              <w:ind w:firstLine="600" w:firstLineChars="300"/>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其他资金</w:t>
            </w:r>
          </w:p>
        </w:tc>
        <w:tc>
          <w:tcPr>
            <w:tcW w:w="1184" w:type="dxa"/>
            <w:tcBorders>
              <w:top w:val="single" w:color="auto" w:sz="4" w:space="0"/>
              <w:left w:val="single" w:color="auto" w:sz="4" w:space="0"/>
              <w:bottom w:val="single" w:color="auto" w:sz="4" w:space="0"/>
              <w:right w:val="single" w:color="auto" w:sz="4" w:space="0"/>
            </w:tcBorders>
            <w:noWrap w:val="0"/>
            <w:vAlign w:val="center"/>
          </w:tcPr>
          <w:p w14:paraId="638A6EC2">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1050" w:type="dxa"/>
            <w:tcBorders>
              <w:top w:val="single" w:color="auto" w:sz="4" w:space="0"/>
              <w:left w:val="single" w:color="auto" w:sz="4" w:space="0"/>
              <w:bottom w:val="single" w:color="auto" w:sz="4" w:space="0"/>
              <w:right w:val="single" w:color="auto" w:sz="4" w:space="0"/>
            </w:tcBorders>
            <w:noWrap w:val="0"/>
            <w:vAlign w:val="center"/>
          </w:tcPr>
          <w:p w14:paraId="1173691E">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1110" w:type="dxa"/>
            <w:tcBorders>
              <w:top w:val="single" w:color="auto" w:sz="4" w:space="0"/>
              <w:left w:val="single" w:color="auto" w:sz="4" w:space="0"/>
              <w:bottom w:val="single" w:color="auto" w:sz="4" w:space="0"/>
              <w:right w:val="single" w:color="auto" w:sz="4" w:space="0"/>
            </w:tcBorders>
            <w:noWrap w:val="0"/>
            <w:vAlign w:val="center"/>
          </w:tcPr>
          <w:p w14:paraId="26CBB1BD">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976" w:type="dxa"/>
            <w:tcBorders>
              <w:top w:val="single" w:color="auto" w:sz="4" w:space="0"/>
              <w:left w:val="single" w:color="auto" w:sz="4" w:space="0"/>
              <w:bottom w:val="single" w:color="auto" w:sz="4" w:space="0"/>
              <w:right w:val="single" w:color="auto" w:sz="4" w:space="0"/>
            </w:tcBorders>
            <w:noWrap w:val="0"/>
            <w:vAlign w:val="center"/>
          </w:tcPr>
          <w:p w14:paraId="776E5F0A">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873" w:type="dxa"/>
            <w:tcBorders>
              <w:top w:val="single" w:color="auto" w:sz="4" w:space="0"/>
              <w:left w:val="single" w:color="auto" w:sz="4" w:space="0"/>
              <w:bottom w:val="single" w:color="auto" w:sz="4" w:space="0"/>
              <w:right w:val="single" w:color="auto" w:sz="4" w:space="0"/>
            </w:tcBorders>
            <w:noWrap w:val="0"/>
            <w:vAlign w:val="center"/>
          </w:tcPr>
          <w:p w14:paraId="2292CF02">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1418" w:type="dxa"/>
            <w:tcBorders>
              <w:top w:val="single" w:color="auto" w:sz="4" w:space="0"/>
              <w:left w:val="single" w:color="auto" w:sz="4" w:space="0"/>
              <w:bottom w:val="single" w:color="auto" w:sz="4" w:space="0"/>
              <w:right w:val="single" w:color="auto" w:sz="4" w:space="0"/>
            </w:tcBorders>
            <w:noWrap w:val="0"/>
            <w:vAlign w:val="center"/>
          </w:tcPr>
          <w:p w14:paraId="483FB7B0">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0CE1E9E5">
        <w:tblPrEx>
          <w:tblCellMar>
            <w:top w:w="0" w:type="dxa"/>
            <w:left w:w="108" w:type="dxa"/>
            <w:bottom w:w="0" w:type="dxa"/>
            <w:right w:w="108" w:type="dxa"/>
          </w:tblCellMar>
        </w:tblPrEx>
        <w:trPr>
          <w:trHeight w:val="395" w:hRule="atLeast"/>
          <w:jc w:val="center"/>
        </w:trPr>
        <w:tc>
          <w:tcPr>
            <w:tcW w:w="1080" w:type="dxa"/>
            <w:vMerge w:val="restart"/>
            <w:tcBorders>
              <w:top w:val="single" w:color="auto" w:sz="4" w:space="0"/>
              <w:left w:val="single" w:color="auto" w:sz="4" w:space="0"/>
              <w:bottom w:val="single" w:color="auto" w:sz="4" w:space="0"/>
              <w:right w:val="single" w:color="auto" w:sz="4" w:space="0"/>
            </w:tcBorders>
            <w:noWrap w:val="0"/>
            <w:vAlign w:val="center"/>
          </w:tcPr>
          <w:p w14:paraId="39E47F33">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年度总体目标</w:t>
            </w:r>
          </w:p>
        </w:tc>
        <w:tc>
          <w:tcPr>
            <w:tcW w:w="4394" w:type="dxa"/>
            <w:gridSpan w:val="4"/>
            <w:tcBorders>
              <w:top w:val="single" w:color="auto" w:sz="4" w:space="0"/>
              <w:left w:val="single" w:color="auto" w:sz="4" w:space="0"/>
              <w:bottom w:val="single" w:color="auto" w:sz="4" w:space="0"/>
              <w:right w:val="single" w:color="auto" w:sz="4" w:space="0"/>
            </w:tcBorders>
            <w:noWrap w:val="0"/>
            <w:vAlign w:val="center"/>
          </w:tcPr>
          <w:p w14:paraId="63BDB758">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预期目标</w:t>
            </w:r>
          </w:p>
        </w:tc>
        <w:tc>
          <w:tcPr>
            <w:tcW w:w="4377" w:type="dxa"/>
            <w:gridSpan w:val="4"/>
            <w:tcBorders>
              <w:top w:val="single" w:color="auto" w:sz="4" w:space="0"/>
              <w:left w:val="single" w:color="auto" w:sz="4" w:space="0"/>
              <w:bottom w:val="single" w:color="auto" w:sz="4" w:space="0"/>
              <w:right w:val="single" w:color="auto" w:sz="4" w:space="0"/>
            </w:tcBorders>
            <w:noWrap w:val="0"/>
            <w:vAlign w:val="center"/>
          </w:tcPr>
          <w:p w14:paraId="36C58052">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实际完成情况　</w:t>
            </w:r>
          </w:p>
        </w:tc>
      </w:tr>
      <w:tr w14:paraId="22CB2F17">
        <w:tblPrEx>
          <w:tblCellMar>
            <w:top w:w="0" w:type="dxa"/>
            <w:left w:w="108" w:type="dxa"/>
            <w:bottom w:w="0" w:type="dxa"/>
            <w:right w:w="108" w:type="dxa"/>
          </w:tblCellMar>
        </w:tblPrEx>
        <w:trPr>
          <w:trHeight w:val="1355" w:hRule="atLeast"/>
          <w:jc w:val="center"/>
        </w:trPr>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554CCD51">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rPr>
            </w:pPr>
          </w:p>
        </w:tc>
        <w:tc>
          <w:tcPr>
            <w:tcW w:w="4394" w:type="dxa"/>
            <w:gridSpan w:val="4"/>
            <w:tcBorders>
              <w:top w:val="single" w:color="auto" w:sz="4" w:space="0"/>
              <w:left w:val="single" w:color="auto" w:sz="4" w:space="0"/>
              <w:bottom w:val="single" w:color="auto" w:sz="4" w:space="0"/>
              <w:right w:val="single" w:color="auto" w:sz="4" w:space="0"/>
            </w:tcBorders>
            <w:noWrap w:val="0"/>
            <w:vAlign w:val="center"/>
          </w:tcPr>
          <w:p w14:paraId="637FB85B">
            <w:pPr>
              <w:keepNext w:val="0"/>
              <w:keepLines w:val="0"/>
              <w:pageBreakBefore w:val="0"/>
              <w:widowControl/>
              <w:kinsoku/>
              <w:wordWrap/>
              <w:overflowPunct/>
              <w:topLinePunct w:val="0"/>
              <w:autoSpaceDE/>
              <w:autoSpaceDN/>
              <w:bidi w:val="0"/>
              <w:adjustRightInd/>
              <w:snapToGrid/>
              <w:spacing w:line="300" w:lineRule="exact"/>
              <w:ind w:firstLine="400" w:firstLineChars="200"/>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加强协管员业务培训，提升综合素质，在燃气、扬尘、住建领域、广告园林、市政设施、固废处置执法等方面配合执法人员为市民创造秀美、整洁、安宁的城市环境。</w:t>
            </w:r>
          </w:p>
        </w:tc>
        <w:tc>
          <w:tcPr>
            <w:tcW w:w="4377" w:type="dxa"/>
            <w:gridSpan w:val="4"/>
            <w:tcBorders>
              <w:top w:val="single" w:color="auto" w:sz="4" w:space="0"/>
              <w:left w:val="single" w:color="auto" w:sz="4" w:space="0"/>
              <w:bottom w:val="single" w:color="auto" w:sz="4" w:space="0"/>
              <w:right w:val="single" w:color="auto" w:sz="4" w:space="0"/>
            </w:tcBorders>
            <w:noWrap w:val="0"/>
            <w:vAlign w:val="center"/>
          </w:tcPr>
          <w:p w14:paraId="37D16792">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lang w:eastAsia="zh-CN"/>
              </w:rPr>
              <w:t>通过专项培训及跟班作业训练，</w:t>
            </w:r>
            <w:r>
              <w:rPr>
                <w:rFonts w:hint="eastAsia" w:ascii="仿宋_GB2312" w:hAnsi="仿宋_GB2312" w:eastAsia="仿宋_GB2312" w:cs="仿宋_GB2312"/>
                <w:color w:val="000000"/>
                <w:sz w:val="20"/>
                <w:szCs w:val="20"/>
              </w:rPr>
              <w:t>协管员在支队执法人员的带领下，能独立处理好各种执法事件</w:t>
            </w:r>
            <w:r>
              <w:rPr>
                <w:rFonts w:hint="eastAsia" w:ascii="仿宋_GB2312" w:hAnsi="仿宋_GB2312" w:eastAsia="仿宋_GB2312" w:cs="仿宋_GB2312"/>
                <w:color w:val="000000"/>
                <w:sz w:val="20"/>
                <w:szCs w:val="20"/>
                <w:lang w:eastAsia="zh-CN"/>
              </w:rPr>
              <w:t>辅助工作</w:t>
            </w:r>
            <w:r>
              <w:rPr>
                <w:rFonts w:hint="eastAsia" w:ascii="仿宋_GB2312" w:hAnsi="仿宋_GB2312" w:eastAsia="仿宋_GB2312" w:cs="仿宋_GB2312"/>
                <w:color w:val="000000"/>
                <w:sz w:val="20"/>
                <w:szCs w:val="20"/>
              </w:rPr>
              <w:t>，</w:t>
            </w:r>
            <w:r>
              <w:rPr>
                <w:rFonts w:hint="eastAsia" w:ascii="仿宋_GB2312" w:hAnsi="仿宋_GB2312" w:eastAsia="仿宋_GB2312" w:cs="仿宋_GB2312"/>
                <w:color w:val="000000"/>
                <w:sz w:val="20"/>
                <w:szCs w:val="20"/>
                <w:lang w:eastAsia="zh-CN"/>
              </w:rPr>
              <w:t>管辖范围内</w:t>
            </w:r>
            <w:r>
              <w:rPr>
                <w:rFonts w:hint="eastAsia" w:ascii="仿宋_GB2312" w:hAnsi="仿宋_GB2312" w:eastAsia="仿宋_GB2312" w:cs="仿宋_GB2312"/>
                <w:color w:val="000000"/>
                <w:sz w:val="20"/>
                <w:szCs w:val="20"/>
              </w:rPr>
              <w:t>市容秩序治理得井然有序，给市民</w:t>
            </w:r>
            <w:r>
              <w:rPr>
                <w:rFonts w:hint="eastAsia" w:ascii="仿宋_GB2312" w:hAnsi="仿宋_GB2312" w:eastAsia="仿宋_GB2312" w:cs="仿宋_GB2312"/>
                <w:color w:val="000000"/>
                <w:sz w:val="20"/>
                <w:szCs w:val="20"/>
                <w:lang w:val="en-US" w:eastAsia="zh-CN"/>
              </w:rPr>
              <w:t>营造了</w:t>
            </w:r>
            <w:r>
              <w:rPr>
                <w:rFonts w:hint="eastAsia" w:ascii="仿宋_GB2312" w:hAnsi="仿宋_GB2312" w:eastAsia="仿宋_GB2312" w:cs="仿宋_GB2312"/>
                <w:color w:val="000000"/>
                <w:sz w:val="20"/>
                <w:szCs w:val="20"/>
              </w:rPr>
              <w:t>秀美整洁的环境。　</w:t>
            </w:r>
          </w:p>
        </w:tc>
      </w:tr>
      <w:tr w14:paraId="4A735A6A">
        <w:tblPrEx>
          <w:tblCellMar>
            <w:top w:w="0" w:type="dxa"/>
            <w:left w:w="108" w:type="dxa"/>
            <w:bottom w:w="0" w:type="dxa"/>
            <w:right w:w="108" w:type="dxa"/>
          </w:tblCellMar>
        </w:tblPrEx>
        <w:trPr>
          <w:jc w:val="center"/>
        </w:trPr>
        <w:tc>
          <w:tcPr>
            <w:tcW w:w="1080" w:type="dxa"/>
            <w:vMerge w:val="restart"/>
            <w:tcBorders>
              <w:top w:val="single" w:color="auto" w:sz="4" w:space="0"/>
              <w:left w:val="single" w:color="auto" w:sz="4" w:space="0"/>
              <w:bottom w:val="single" w:color="auto" w:sz="4" w:space="0"/>
              <w:right w:val="single" w:color="auto" w:sz="4" w:space="0"/>
            </w:tcBorders>
            <w:noWrap w:val="0"/>
            <w:vAlign w:val="center"/>
          </w:tcPr>
          <w:p w14:paraId="14E1B2A1">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绩</w:t>
            </w:r>
          </w:p>
          <w:p w14:paraId="0832AC55">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效</w:t>
            </w:r>
          </w:p>
          <w:p w14:paraId="0FDE13EB">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指</w:t>
            </w:r>
          </w:p>
          <w:p w14:paraId="45CC303C">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标</w:t>
            </w:r>
          </w:p>
        </w:tc>
        <w:tc>
          <w:tcPr>
            <w:tcW w:w="1080" w:type="dxa"/>
            <w:tcBorders>
              <w:top w:val="single" w:color="auto" w:sz="4" w:space="0"/>
              <w:left w:val="single" w:color="auto" w:sz="4" w:space="0"/>
              <w:bottom w:val="single" w:color="auto" w:sz="4" w:space="0"/>
              <w:right w:val="single" w:color="auto" w:sz="4" w:space="0"/>
            </w:tcBorders>
            <w:noWrap w:val="0"/>
            <w:vAlign w:val="center"/>
          </w:tcPr>
          <w:p w14:paraId="7D055D41">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一级指标</w:t>
            </w:r>
          </w:p>
        </w:tc>
        <w:tc>
          <w:tcPr>
            <w:tcW w:w="1080" w:type="dxa"/>
            <w:tcBorders>
              <w:top w:val="single" w:color="auto" w:sz="4" w:space="0"/>
              <w:left w:val="single" w:color="auto" w:sz="4" w:space="0"/>
              <w:bottom w:val="single" w:color="auto" w:sz="4" w:space="0"/>
              <w:right w:val="single" w:color="auto" w:sz="4" w:space="0"/>
            </w:tcBorders>
            <w:noWrap w:val="0"/>
            <w:vAlign w:val="center"/>
          </w:tcPr>
          <w:p w14:paraId="524A5B8E">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二级指标</w:t>
            </w:r>
          </w:p>
        </w:tc>
        <w:tc>
          <w:tcPr>
            <w:tcW w:w="1184" w:type="dxa"/>
            <w:tcBorders>
              <w:top w:val="single" w:color="auto" w:sz="4" w:space="0"/>
              <w:left w:val="single" w:color="auto" w:sz="4" w:space="0"/>
              <w:bottom w:val="single" w:color="auto" w:sz="4" w:space="0"/>
              <w:right w:val="single" w:color="auto" w:sz="4" w:space="0"/>
            </w:tcBorders>
            <w:noWrap w:val="0"/>
            <w:vAlign w:val="center"/>
          </w:tcPr>
          <w:p w14:paraId="34414354">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三级指标</w:t>
            </w:r>
          </w:p>
        </w:tc>
        <w:tc>
          <w:tcPr>
            <w:tcW w:w="1050" w:type="dxa"/>
            <w:tcBorders>
              <w:top w:val="single" w:color="auto" w:sz="4" w:space="0"/>
              <w:left w:val="single" w:color="auto" w:sz="4" w:space="0"/>
              <w:bottom w:val="single" w:color="auto" w:sz="4" w:space="0"/>
              <w:right w:val="single" w:color="auto" w:sz="4" w:space="0"/>
            </w:tcBorders>
            <w:noWrap w:val="0"/>
            <w:vAlign w:val="center"/>
          </w:tcPr>
          <w:p w14:paraId="777C6238">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年度</w:t>
            </w:r>
          </w:p>
          <w:p w14:paraId="097AADC1">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指标值</w:t>
            </w:r>
          </w:p>
        </w:tc>
        <w:tc>
          <w:tcPr>
            <w:tcW w:w="1110" w:type="dxa"/>
            <w:tcBorders>
              <w:top w:val="single" w:color="auto" w:sz="4" w:space="0"/>
              <w:left w:val="single" w:color="auto" w:sz="4" w:space="0"/>
              <w:bottom w:val="single" w:color="auto" w:sz="4" w:space="0"/>
              <w:right w:val="single" w:color="auto" w:sz="4" w:space="0"/>
            </w:tcBorders>
            <w:noWrap w:val="0"/>
            <w:vAlign w:val="center"/>
          </w:tcPr>
          <w:p w14:paraId="11A47925">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实际</w:t>
            </w:r>
          </w:p>
          <w:p w14:paraId="3EF71696">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完成值</w:t>
            </w:r>
          </w:p>
        </w:tc>
        <w:tc>
          <w:tcPr>
            <w:tcW w:w="976" w:type="dxa"/>
            <w:tcBorders>
              <w:top w:val="single" w:color="auto" w:sz="4" w:space="0"/>
              <w:left w:val="single" w:color="auto" w:sz="4" w:space="0"/>
              <w:bottom w:val="single" w:color="auto" w:sz="4" w:space="0"/>
              <w:right w:val="single" w:color="auto" w:sz="4" w:space="0"/>
            </w:tcBorders>
            <w:noWrap w:val="0"/>
            <w:vAlign w:val="center"/>
          </w:tcPr>
          <w:p w14:paraId="0C3557FA">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分值</w:t>
            </w:r>
          </w:p>
        </w:tc>
        <w:tc>
          <w:tcPr>
            <w:tcW w:w="873" w:type="dxa"/>
            <w:tcBorders>
              <w:top w:val="single" w:color="auto" w:sz="4" w:space="0"/>
              <w:left w:val="single" w:color="auto" w:sz="4" w:space="0"/>
              <w:bottom w:val="single" w:color="auto" w:sz="4" w:space="0"/>
              <w:right w:val="single" w:color="auto" w:sz="4" w:space="0"/>
            </w:tcBorders>
            <w:noWrap w:val="0"/>
            <w:vAlign w:val="center"/>
          </w:tcPr>
          <w:p w14:paraId="4A80BAFA">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得分</w:t>
            </w:r>
          </w:p>
        </w:tc>
        <w:tc>
          <w:tcPr>
            <w:tcW w:w="1418" w:type="dxa"/>
            <w:tcBorders>
              <w:top w:val="single" w:color="auto" w:sz="4" w:space="0"/>
              <w:left w:val="single" w:color="auto" w:sz="4" w:space="0"/>
              <w:bottom w:val="single" w:color="auto" w:sz="4" w:space="0"/>
              <w:right w:val="single" w:color="auto" w:sz="4" w:space="0"/>
            </w:tcBorders>
            <w:noWrap w:val="0"/>
            <w:vAlign w:val="center"/>
          </w:tcPr>
          <w:p w14:paraId="7393840C">
            <w:pPr>
              <w:keepNext w:val="0"/>
              <w:keepLines w:val="0"/>
              <w:pageBreakBefore w:val="0"/>
              <w:widowControl/>
              <w:kinsoku/>
              <w:wordWrap/>
              <w:overflowPunct/>
              <w:topLinePunct w:val="0"/>
              <w:autoSpaceDE/>
              <w:autoSpaceDN/>
              <w:bidi w:val="0"/>
              <w:adjustRightInd/>
              <w:snapToGrid/>
              <w:spacing w:line="300" w:lineRule="exact"/>
              <w:jc w:val="both"/>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偏差原因分析及改进措施</w:t>
            </w:r>
          </w:p>
        </w:tc>
      </w:tr>
      <w:tr w14:paraId="2F957A88">
        <w:tblPrEx>
          <w:tblCellMar>
            <w:top w:w="0" w:type="dxa"/>
            <w:left w:w="108" w:type="dxa"/>
            <w:bottom w:w="0" w:type="dxa"/>
            <w:right w:w="108" w:type="dxa"/>
          </w:tblCellMar>
        </w:tblPrEx>
        <w:trPr>
          <w:jc w:val="center"/>
        </w:trPr>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61117CA4">
            <w:pPr>
              <w:keepNext w:val="0"/>
              <w:keepLines w:val="0"/>
              <w:pageBreakBefore w:val="0"/>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rPr>
            </w:pPr>
          </w:p>
        </w:tc>
        <w:tc>
          <w:tcPr>
            <w:tcW w:w="1080" w:type="dxa"/>
            <w:vMerge w:val="restart"/>
            <w:tcBorders>
              <w:top w:val="single" w:color="auto" w:sz="4" w:space="0"/>
              <w:left w:val="single" w:color="auto" w:sz="4" w:space="0"/>
              <w:bottom w:val="single" w:color="auto" w:sz="4" w:space="0"/>
              <w:right w:val="single" w:color="auto" w:sz="4" w:space="0"/>
            </w:tcBorders>
            <w:noWrap w:val="0"/>
            <w:vAlign w:val="center"/>
          </w:tcPr>
          <w:p w14:paraId="4C1C62F9">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产出指标</w:t>
            </w:r>
          </w:p>
          <w:p w14:paraId="222A74EA">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0"/>
                <w:szCs w:val="20"/>
                <w:highlight w:val="none"/>
              </w:rPr>
            </w:pPr>
          </w:p>
          <w:p w14:paraId="6CAB0A05">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(50分)</w:t>
            </w:r>
          </w:p>
        </w:tc>
        <w:tc>
          <w:tcPr>
            <w:tcW w:w="1080" w:type="dxa"/>
            <w:vMerge w:val="restart"/>
            <w:tcBorders>
              <w:top w:val="single" w:color="auto" w:sz="4" w:space="0"/>
              <w:left w:val="single" w:color="auto" w:sz="4" w:space="0"/>
              <w:bottom w:val="single" w:color="auto" w:sz="4" w:space="0"/>
              <w:right w:val="single" w:color="auto" w:sz="4" w:space="0"/>
            </w:tcBorders>
            <w:noWrap w:val="0"/>
            <w:vAlign w:val="center"/>
          </w:tcPr>
          <w:p w14:paraId="7D847EB2">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数量指标</w:t>
            </w:r>
          </w:p>
        </w:tc>
        <w:tc>
          <w:tcPr>
            <w:tcW w:w="1184" w:type="dxa"/>
            <w:tcBorders>
              <w:top w:val="single" w:color="auto" w:sz="4" w:space="0"/>
              <w:left w:val="single" w:color="auto" w:sz="4" w:space="0"/>
              <w:bottom w:val="single" w:color="auto" w:sz="4" w:space="0"/>
              <w:right w:val="single" w:color="auto" w:sz="4" w:space="0"/>
            </w:tcBorders>
            <w:noWrap w:val="0"/>
            <w:vAlign w:val="center"/>
          </w:tcPr>
          <w:p w14:paraId="6BAAD869">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有固定协管队伍</w:t>
            </w:r>
          </w:p>
        </w:tc>
        <w:tc>
          <w:tcPr>
            <w:tcW w:w="1050" w:type="dxa"/>
            <w:tcBorders>
              <w:top w:val="single" w:color="auto" w:sz="4" w:space="0"/>
              <w:left w:val="single" w:color="auto" w:sz="4" w:space="0"/>
              <w:bottom w:val="single" w:color="auto" w:sz="4" w:space="0"/>
              <w:right w:val="single" w:color="auto" w:sz="4" w:space="0"/>
            </w:tcBorders>
            <w:noWrap w:val="0"/>
            <w:vAlign w:val="center"/>
          </w:tcPr>
          <w:p w14:paraId="3FD6DEB1">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40人</w:t>
            </w:r>
          </w:p>
        </w:tc>
        <w:tc>
          <w:tcPr>
            <w:tcW w:w="1110" w:type="dxa"/>
            <w:tcBorders>
              <w:top w:val="single" w:color="auto" w:sz="4" w:space="0"/>
              <w:left w:val="single" w:color="auto" w:sz="4" w:space="0"/>
              <w:bottom w:val="single" w:color="auto" w:sz="4" w:space="0"/>
              <w:right w:val="single" w:color="auto" w:sz="4" w:space="0"/>
            </w:tcBorders>
            <w:noWrap w:val="0"/>
            <w:vAlign w:val="center"/>
          </w:tcPr>
          <w:p w14:paraId="3F91049B">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40人</w:t>
            </w:r>
          </w:p>
        </w:tc>
        <w:tc>
          <w:tcPr>
            <w:tcW w:w="976" w:type="dxa"/>
            <w:tcBorders>
              <w:top w:val="single" w:color="auto" w:sz="4" w:space="0"/>
              <w:left w:val="single" w:color="auto" w:sz="4" w:space="0"/>
              <w:bottom w:val="single" w:color="auto" w:sz="4" w:space="0"/>
              <w:right w:val="single" w:color="auto" w:sz="4" w:space="0"/>
            </w:tcBorders>
            <w:noWrap w:val="0"/>
            <w:vAlign w:val="center"/>
          </w:tcPr>
          <w:p w14:paraId="3E517F82">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5</w:t>
            </w:r>
          </w:p>
        </w:tc>
        <w:tc>
          <w:tcPr>
            <w:tcW w:w="873" w:type="dxa"/>
            <w:tcBorders>
              <w:top w:val="single" w:color="auto" w:sz="4" w:space="0"/>
              <w:left w:val="single" w:color="auto" w:sz="4" w:space="0"/>
              <w:bottom w:val="single" w:color="auto" w:sz="4" w:space="0"/>
              <w:right w:val="single" w:color="auto" w:sz="4" w:space="0"/>
            </w:tcBorders>
            <w:noWrap w:val="0"/>
            <w:vAlign w:val="center"/>
          </w:tcPr>
          <w:p w14:paraId="1D597696">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val="en-US" w:eastAsia="zh-CN"/>
              </w:rPr>
              <w:t>5</w:t>
            </w:r>
          </w:p>
        </w:tc>
        <w:tc>
          <w:tcPr>
            <w:tcW w:w="1418" w:type="dxa"/>
            <w:tcBorders>
              <w:top w:val="single" w:color="auto" w:sz="4" w:space="0"/>
              <w:left w:val="single" w:color="auto" w:sz="4" w:space="0"/>
              <w:bottom w:val="single" w:color="auto" w:sz="4" w:space="0"/>
              <w:right w:val="single" w:color="auto" w:sz="4" w:space="0"/>
            </w:tcBorders>
            <w:noWrap w:val="0"/>
            <w:vAlign w:val="center"/>
          </w:tcPr>
          <w:p w14:paraId="11C607A3">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rPr>
            </w:pPr>
          </w:p>
        </w:tc>
      </w:tr>
      <w:tr w14:paraId="6BE626D9">
        <w:tblPrEx>
          <w:tblCellMar>
            <w:top w:w="0" w:type="dxa"/>
            <w:left w:w="108" w:type="dxa"/>
            <w:bottom w:w="0" w:type="dxa"/>
            <w:right w:w="108" w:type="dxa"/>
          </w:tblCellMar>
        </w:tblPrEx>
        <w:trPr>
          <w:trHeight w:val="550" w:hRule="atLeast"/>
          <w:jc w:val="center"/>
        </w:trPr>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5361FE49">
            <w:pPr>
              <w:keepNext w:val="0"/>
              <w:keepLines w:val="0"/>
              <w:pageBreakBefore w:val="0"/>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rPr>
            </w:pPr>
          </w:p>
        </w:tc>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2611650A">
            <w:pPr>
              <w:keepNext w:val="0"/>
              <w:keepLines w:val="0"/>
              <w:pageBreakBefore w:val="0"/>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rPr>
            </w:pPr>
          </w:p>
        </w:tc>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0926F1B9">
            <w:pPr>
              <w:keepNext w:val="0"/>
              <w:keepLines w:val="0"/>
              <w:pageBreakBefore w:val="0"/>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0"/>
                <w:szCs w:val="20"/>
                <w:highlight w:val="none"/>
              </w:rPr>
            </w:pPr>
          </w:p>
        </w:tc>
        <w:tc>
          <w:tcPr>
            <w:tcW w:w="1184" w:type="dxa"/>
            <w:tcBorders>
              <w:top w:val="single" w:color="auto" w:sz="4" w:space="0"/>
              <w:left w:val="single" w:color="auto" w:sz="4" w:space="0"/>
              <w:bottom w:val="single" w:color="auto" w:sz="4" w:space="0"/>
              <w:right w:val="single" w:color="auto" w:sz="4" w:space="0"/>
            </w:tcBorders>
            <w:noWrap w:val="0"/>
            <w:vAlign w:val="center"/>
          </w:tcPr>
          <w:p w14:paraId="7B70D89F">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0"/>
                <w:szCs w:val="20"/>
                <w:highlight w:val="none"/>
                <w:lang w:eastAsia="zh-CN"/>
              </w:rPr>
            </w:pPr>
            <w:r>
              <w:rPr>
                <w:rFonts w:hint="eastAsia" w:ascii="仿宋_GB2312" w:hAnsi="仿宋_GB2312" w:eastAsia="仿宋_GB2312" w:cs="仿宋_GB2312"/>
                <w:color w:val="000000"/>
                <w:sz w:val="20"/>
                <w:szCs w:val="20"/>
                <w:highlight w:val="none"/>
                <w:lang w:eastAsia="zh-CN"/>
              </w:rPr>
              <w:t>考核</w:t>
            </w:r>
          </w:p>
        </w:tc>
        <w:tc>
          <w:tcPr>
            <w:tcW w:w="1050" w:type="dxa"/>
            <w:tcBorders>
              <w:top w:val="single" w:color="auto" w:sz="4" w:space="0"/>
              <w:left w:val="single" w:color="auto" w:sz="4" w:space="0"/>
              <w:bottom w:val="single" w:color="auto" w:sz="4" w:space="0"/>
              <w:right w:val="single" w:color="auto" w:sz="4" w:space="0"/>
            </w:tcBorders>
            <w:noWrap w:val="0"/>
            <w:vAlign w:val="center"/>
          </w:tcPr>
          <w:p w14:paraId="08A7CDFB">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2次</w:t>
            </w:r>
          </w:p>
        </w:tc>
        <w:tc>
          <w:tcPr>
            <w:tcW w:w="1110" w:type="dxa"/>
            <w:tcBorders>
              <w:top w:val="single" w:color="auto" w:sz="4" w:space="0"/>
              <w:left w:val="single" w:color="auto" w:sz="4" w:space="0"/>
              <w:bottom w:val="single" w:color="auto" w:sz="4" w:space="0"/>
              <w:right w:val="single" w:color="auto" w:sz="4" w:space="0"/>
            </w:tcBorders>
            <w:noWrap w:val="0"/>
            <w:vAlign w:val="center"/>
          </w:tcPr>
          <w:p w14:paraId="6BF62D78">
            <w:pPr>
              <w:keepNext w:val="0"/>
              <w:keepLines w:val="0"/>
              <w:pageBreakBefore w:val="0"/>
              <w:widowControl/>
              <w:kinsoku/>
              <w:wordWrap/>
              <w:overflowPunct/>
              <w:topLinePunct w:val="0"/>
              <w:autoSpaceDE/>
              <w:autoSpaceDN/>
              <w:bidi w:val="0"/>
              <w:adjustRightInd/>
              <w:snapToGrid/>
              <w:spacing w:line="300" w:lineRule="exact"/>
              <w:ind w:firstLine="200" w:firstLineChars="100"/>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2次</w:t>
            </w:r>
          </w:p>
        </w:tc>
        <w:tc>
          <w:tcPr>
            <w:tcW w:w="976" w:type="dxa"/>
            <w:tcBorders>
              <w:top w:val="single" w:color="auto" w:sz="4" w:space="0"/>
              <w:left w:val="single" w:color="auto" w:sz="4" w:space="0"/>
              <w:bottom w:val="single" w:color="auto" w:sz="4" w:space="0"/>
              <w:right w:val="single" w:color="auto" w:sz="4" w:space="0"/>
            </w:tcBorders>
            <w:noWrap w:val="0"/>
            <w:vAlign w:val="center"/>
          </w:tcPr>
          <w:p w14:paraId="6F9518C0">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5</w:t>
            </w:r>
          </w:p>
        </w:tc>
        <w:tc>
          <w:tcPr>
            <w:tcW w:w="873" w:type="dxa"/>
            <w:tcBorders>
              <w:top w:val="single" w:color="auto" w:sz="4" w:space="0"/>
              <w:left w:val="single" w:color="auto" w:sz="4" w:space="0"/>
              <w:bottom w:val="single" w:color="auto" w:sz="4" w:space="0"/>
              <w:right w:val="single" w:color="auto" w:sz="4" w:space="0"/>
            </w:tcBorders>
            <w:noWrap w:val="0"/>
            <w:vAlign w:val="center"/>
          </w:tcPr>
          <w:p w14:paraId="71B9C87D">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5</w:t>
            </w:r>
          </w:p>
        </w:tc>
        <w:tc>
          <w:tcPr>
            <w:tcW w:w="1418" w:type="dxa"/>
            <w:tcBorders>
              <w:top w:val="single" w:color="auto" w:sz="4" w:space="0"/>
              <w:left w:val="single" w:color="auto" w:sz="4" w:space="0"/>
              <w:bottom w:val="single" w:color="auto" w:sz="4" w:space="0"/>
              <w:right w:val="single" w:color="auto" w:sz="4" w:space="0"/>
            </w:tcBorders>
            <w:noWrap w:val="0"/>
            <w:vAlign w:val="center"/>
          </w:tcPr>
          <w:p w14:paraId="205E9AA0">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rPr>
            </w:pPr>
          </w:p>
        </w:tc>
      </w:tr>
      <w:tr w14:paraId="43C21323">
        <w:tblPrEx>
          <w:tblCellMar>
            <w:top w:w="0" w:type="dxa"/>
            <w:left w:w="108" w:type="dxa"/>
            <w:bottom w:w="0" w:type="dxa"/>
            <w:right w:w="108" w:type="dxa"/>
          </w:tblCellMar>
        </w:tblPrEx>
        <w:trPr>
          <w:trHeight w:val="550" w:hRule="atLeast"/>
          <w:jc w:val="center"/>
        </w:trPr>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4D30D261">
            <w:pPr>
              <w:keepNext w:val="0"/>
              <w:keepLines w:val="0"/>
              <w:pageBreakBefore w:val="0"/>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rPr>
            </w:pPr>
          </w:p>
        </w:tc>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19C205FA">
            <w:pPr>
              <w:keepNext w:val="0"/>
              <w:keepLines w:val="0"/>
              <w:pageBreakBefore w:val="0"/>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rPr>
            </w:pPr>
          </w:p>
        </w:tc>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5C834B55">
            <w:pPr>
              <w:keepNext w:val="0"/>
              <w:keepLines w:val="0"/>
              <w:pageBreakBefore w:val="0"/>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0"/>
                <w:szCs w:val="20"/>
                <w:highlight w:val="none"/>
              </w:rPr>
            </w:pPr>
          </w:p>
        </w:tc>
        <w:tc>
          <w:tcPr>
            <w:tcW w:w="1184" w:type="dxa"/>
            <w:tcBorders>
              <w:top w:val="single" w:color="auto" w:sz="4" w:space="0"/>
              <w:left w:val="single" w:color="auto" w:sz="4" w:space="0"/>
              <w:bottom w:val="single" w:color="auto" w:sz="4" w:space="0"/>
              <w:right w:val="single" w:color="auto" w:sz="4" w:space="0"/>
            </w:tcBorders>
            <w:noWrap w:val="0"/>
            <w:vAlign w:val="center"/>
          </w:tcPr>
          <w:p w14:paraId="3AE1332E">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业务培训</w:t>
            </w:r>
          </w:p>
        </w:tc>
        <w:tc>
          <w:tcPr>
            <w:tcW w:w="1050" w:type="dxa"/>
            <w:tcBorders>
              <w:top w:val="single" w:color="auto" w:sz="4" w:space="0"/>
              <w:left w:val="single" w:color="auto" w:sz="4" w:space="0"/>
              <w:bottom w:val="single" w:color="auto" w:sz="4" w:space="0"/>
              <w:right w:val="single" w:color="auto" w:sz="4" w:space="0"/>
            </w:tcBorders>
            <w:noWrap w:val="0"/>
            <w:vAlign w:val="center"/>
          </w:tcPr>
          <w:p w14:paraId="12E438A1">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≥2次/年</w:t>
            </w:r>
          </w:p>
        </w:tc>
        <w:tc>
          <w:tcPr>
            <w:tcW w:w="1110" w:type="dxa"/>
            <w:tcBorders>
              <w:top w:val="single" w:color="auto" w:sz="4" w:space="0"/>
              <w:left w:val="single" w:color="auto" w:sz="4" w:space="0"/>
              <w:bottom w:val="single" w:color="auto" w:sz="4" w:space="0"/>
              <w:right w:val="single" w:color="auto" w:sz="4" w:space="0"/>
            </w:tcBorders>
            <w:noWrap w:val="0"/>
            <w:vAlign w:val="center"/>
          </w:tcPr>
          <w:p w14:paraId="53DF9ACD">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3次</w:t>
            </w:r>
          </w:p>
        </w:tc>
        <w:tc>
          <w:tcPr>
            <w:tcW w:w="976" w:type="dxa"/>
            <w:tcBorders>
              <w:top w:val="single" w:color="auto" w:sz="4" w:space="0"/>
              <w:left w:val="single" w:color="auto" w:sz="4" w:space="0"/>
              <w:bottom w:val="single" w:color="auto" w:sz="4" w:space="0"/>
              <w:right w:val="single" w:color="auto" w:sz="4" w:space="0"/>
            </w:tcBorders>
            <w:noWrap w:val="0"/>
            <w:vAlign w:val="center"/>
          </w:tcPr>
          <w:p w14:paraId="543C603F">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6</w:t>
            </w:r>
          </w:p>
        </w:tc>
        <w:tc>
          <w:tcPr>
            <w:tcW w:w="873" w:type="dxa"/>
            <w:tcBorders>
              <w:top w:val="single" w:color="auto" w:sz="4" w:space="0"/>
              <w:left w:val="single" w:color="auto" w:sz="4" w:space="0"/>
              <w:bottom w:val="single" w:color="auto" w:sz="4" w:space="0"/>
              <w:right w:val="single" w:color="auto" w:sz="4" w:space="0"/>
            </w:tcBorders>
            <w:noWrap w:val="0"/>
            <w:vAlign w:val="center"/>
          </w:tcPr>
          <w:p w14:paraId="4CBB7323">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6</w:t>
            </w:r>
          </w:p>
        </w:tc>
        <w:tc>
          <w:tcPr>
            <w:tcW w:w="1418" w:type="dxa"/>
            <w:tcBorders>
              <w:top w:val="single" w:color="auto" w:sz="4" w:space="0"/>
              <w:left w:val="single" w:color="auto" w:sz="4" w:space="0"/>
              <w:bottom w:val="single" w:color="auto" w:sz="4" w:space="0"/>
              <w:right w:val="single" w:color="auto" w:sz="4" w:space="0"/>
            </w:tcBorders>
            <w:noWrap w:val="0"/>
            <w:vAlign w:val="center"/>
          </w:tcPr>
          <w:p w14:paraId="648327FB">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lang w:eastAsia="zh-CN"/>
              </w:rPr>
            </w:pPr>
          </w:p>
        </w:tc>
      </w:tr>
      <w:tr w14:paraId="197986B3">
        <w:tblPrEx>
          <w:tblCellMar>
            <w:top w:w="0" w:type="dxa"/>
            <w:left w:w="108" w:type="dxa"/>
            <w:bottom w:w="0" w:type="dxa"/>
            <w:right w:w="108" w:type="dxa"/>
          </w:tblCellMar>
        </w:tblPrEx>
        <w:trPr>
          <w:jc w:val="center"/>
        </w:trPr>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4934525B">
            <w:pPr>
              <w:keepNext w:val="0"/>
              <w:keepLines w:val="0"/>
              <w:pageBreakBefore w:val="0"/>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rPr>
            </w:pPr>
          </w:p>
        </w:tc>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11BAC79B">
            <w:pPr>
              <w:keepNext w:val="0"/>
              <w:keepLines w:val="0"/>
              <w:pageBreakBefore w:val="0"/>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rPr>
            </w:pPr>
          </w:p>
        </w:tc>
        <w:tc>
          <w:tcPr>
            <w:tcW w:w="1080" w:type="dxa"/>
            <w:vMerge w:val="restart"/>
            <w:tcBorders>
              <w:top w:val="single" w:color="auto" w:sz="4" w:space="0"/>
              <w:left w:val="single" w:color="auto" w:sz="4" w:space="0"/>
              <w:bottom w:val="single" w:color="auto" w:sz="4" w:space="0"/>
              <w:right w:val="single" w:color="auto" w:sz="4" w:space="0"/>
            </w:tcBorders>
            <w:noWrap w:val="0"/>
            <w:vAlign w:val="center"/>
          </w:tcPr>
          <w:p w14:paraId="52AEE03C">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质量指标</w:t>
            </w:r>
          </w:p>
        </w:tc>
        <w:tc>
          <w:tcPr>
            <w:tcW w:w="1184" w:type="dxa"/>
            <w:tcBorders>
              <w:top w:val="single" w:color="auto" w:sz="4" w:space="0"/>
              <w:left w:val="single" w:color="auto" w:sz="4" w:space="0"/>
              <w:bottom w:val="single" w:color="auto" w:sz="4" w:space="0"/>
              <w:right w:val="single" w:color="auto" w:sz="4" w:space="0"/>
            </w:tcBorders>
            <w:noWrap w:val="0"/>
            <w:vAlign w:val="center"/>
          </w:tcPr>
          <w:p w14:paraId="74B79BBF">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lang w:eastAsia="zh-CN"/>
              </w:rPr>
            </w:pPr>
            <w:r>
              <w:rPr>
                <w:rFonts w:hint="eastAsia" w:ascii="仿宋_GB2312" w:hAnsi="仿宋_GB2312" w:eastAsia="仿宋_GB2312" w:cs="仿宋_GB2312"/>
                <w:color w:val="000000"/>
                <w:sz w:val="20"/>
                <w:szCs w:val="20"/>
                <w:highlight w:val="none"/>
              </w:rPr>
              <w:t>协管员管理</w:t>
            </w:r>
            <w:r>
              <w:rPr>
                <w:rFonts w:hint="eastAsia" w:ascii="仿宋_GB2312" w:hAnsi="仿宋_GB2312" w:eastAsia="仿宋_GB2312" w:cs="仿宋_GB2312"/>
                <w:color w:val="000000"/>
                <w:sz w:val="20"/>
                <w:szCs w:val="20"/>
                <w:highlight w:val="none"/>
                <w:lang w:eastAsia="zh-CN"/>
              </w:rPr>
              <w:t>及考核</w:t>
            </w:r>
          </w:p>
        </w:tc>
        <w:tc>
          <w:tcPr>
            <w:tcW w:w="1050" w:type="dxa"/>
            <w:tcBorders>
              <w:top w:val="single" w:color="auto" w:sz="4" w:space="0"/>
              <w:left w:val="single" w:color="auto" w:sz="4" w:space="0"/>
              <w:bottom w:val="single" w:color="auto" w:sz="4" w:space="0"/>
              <w:right w:val="single" w:color="auto" w:sz="4" w:space="0"/>
            </w:tcBorders>
            <w:noWrap w:val="0"/>
            <w:vAlign w:val="center"/>
          </w:tcPr>
          <w:p w14:paraId="160FE5DC">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职责分明、考核合格</w:t>
            </w:r>
          </w:p>
        </w:tc>
        <w:tc>
          <w:tcPr>
            <w:tcW w:w="1110" w:type="dxa"/>
            <w:tcBorders>
              <w:top w:val="single" w:color="auto" w:sz="4" w:space="0"/>
              <w:left w:val="single" w:color="auto" w:sz="4" w:space="0"/>
              <w:bottom w:val="single" w:color="auto" w:sz="4" w:space="0"/>
              <w:right w:val="single" w:color="auto" w:sz="4" w:space="0"/>
            </w:tcBorders>
            <w:noWrap w:val="0"/>
            <w:vAlign w:val="center"/>
          </w:tcPr>
          <w:p w14:paraId="24E05494">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业务考核合格</w:t>
            </w:r>
          </w:p>
        </w:tc>
        <w:tc>
          <w:tcPr>
            <w:tcW w:w="976" w:type="dxa"/>
            <w:tcBorders>
              <w:top w:val="single" w:color="auto" w:sz="4" w:space="0"/>
              <w:left w:val="single" w:color="auto" w:sz="4" w:space="0"/>
              <w:bottom w:val="single" w:color="auto" w:sz="4" w:space="0"/>
              <w:right w:val="single" w:color="auto" w:sz="4" w:space="0"/>
            </w:tcBorders>
            <w:noWrap w:val="0"/>
            <w:vAlign w:val="center"/>
          </w:tcPr>
          <w:p w14:paraId="04578BC2">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6</w:t>
            </w:r>
          </w:p>
        </w:tc>
        <w:tc>
          <w:tcPr>
            <w:tcW w:w="873" w:type="dxa"/>
            <w:tcBorders>
              <w:top w:val="single" w:color="auto" w:sz="4" w:space="0"/>
              <w:left w:val="single" w:color="auto" w:sz="4" w:space="0"/>
              <w:bottom w:val="single" w:color="auto" w:sz="4" w:space="0"/>
              <w:right w:val="single" w:color="auto" w:sz="4" w:space="0"/>
            </w:tcBorders>
            <w:noWrap w:val="0"/>
            <w:vAlign w:val="center"/>
          </w:tcPr>
          <w:p w14:paraId="248C6F00">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6</w:t>
            </w:r>
          </w:p>
        </w:tc>
        <w:tc>
          <w:tcPr>
            <w:tcW w:w="1418" w:type="dxa"/>
            <w:tcBorders>
              <w:top w:val="single" w:color="auto" w:sz="4" w:space="0"/>
              <w:left w:val="single" w:color="auto" w:sz="4" w:space="0"/>
              <w:bottom w:val="single" w:color="auto" w:sz="4" w:space="0"/>
              <w:right w:val="single" w:color="auto" w:sz="4" w:space="0"/>
            </w:tcBorders>
            <w:noWrap w:val="0"/>
            <w:vAlign w:val="center"/>
          </w:tcPr>
          <w:p w14:paraId="21E7754D">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00245FC2">
        <w:tblPrEx>
          <w:tblCellMar>
            <w:top w:w="0" w:type="dxa"/>
            <w:left w:w="108" w:type="dxa"/>
            <w:bottom w:w="0" w:type="dxa"/>
            <w:right w:w="108" w:type="dxa"/>
          </w:tblCellMar>
        </w:tblPrEx>
        <w:trPr>
          <w:jc w:val="center"/>
        </w:trPr>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6A5CAD70">
            <w:pPr>
              <w:keepNext w:val="0"/>
              <w:keepLines w:val="0"/>
              <w:pageBreakBefore w:val="0"/>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rPr>
            </w:pPr>
          </w:p>
        </w:tc>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751991AB">
            <w:pPr>
              <w:keepNext w:val="0"/>
              <w:keepLines w:val="0"/>
              <w:pageBreakBefore w:val="0"/>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rPr>
            </w:pPr>
          </w:p>
        </w:tc>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07E22CF8">
            <w:pPr>
              <w:keepNext w:val="0"/>
              <w:keepLines w:val="0"/>
              <w:pageBreakBefore w:val="0"/>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0"/>
                <w:szCs w:val="20"/>
                <w:highlight w:val="none"/>
              </w:rPr>
            </w:pPr>
          </w:p>
        </w:tc>
        <w:tc>
          <w:tcPr>
            <w:tcW w:w="1184" w:type="dxa"/>
            <w:tcBorders>
              <w:top w:val="single" w:color="auto" w:sz="4" w:space="0"/>
              <w:left w:val="single" w:color="auto" w:sz="4" w:space="0"/>
              <w:bottom w:val="single" w:color="auto" w:sz="4" w:space="0"/>
              <w:right w:val="single" w:color="auto" w:sz="4" w:space="0"/>
            </w:tcBorders>
            <w:noWrap w:val="0"/>
            <w:vAlign w:val="center"/>
          </w:tcPr>
          <w:p w14:paraId="0D918937">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辅助执法</w:t>
            </w:r>
          </w:p>
        </w:tc>
        <w:tc>
          <w:tcPr>
            <w:tcW w:w="1050" w:type="dxa"/>
            <w:tcBorders>
              <w:top w:val="single" w:color="auto" w:sz="4" w:space="0"/>
              <w:left w:val="single" w:color="auto" w:sz="4" w:space="0"/>
              <w:bottom w:val="single" w:color="auto" w:sz="4" w:space="0"/>
              <w:right w:val="single" w:color="auto" w:sz="4" w:space="0"/>
            </w:tcBorders>
            <w:noWrap w:val="0"/>
            <w:vAlign w:val="center"/>
          </w:tcPr>
          <w:p w14:paraId="3EBC59A8">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无负面舆情</w:t>
            </w:r>
          </w:p>
        </w:tc>
        <w:tc>
          <w:tcPr>
            <w:tcW w:w="1110" w:type="dxa"/>
            <w:tcBorders>
              <w:top w:val="single" w:color="auto" w:sz="4" w:space="0"/>
              <w:left w:val="single" w:color="auto" w:sz="4" w:space="0"/>
              <w:bottom w:val="single" w:color="auto" w:sz="4" w:space="0"/>
              <w:right w:val="single" w:color="auto" w:sz="4" w:space="0"/>
            </w:tcBorders>
            <w:noWrap w:val="0"/>
            <w:vAlign w:val="center"/>
          </w:tcPr>
          <w:p w14:paraId="248EA4C7">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无负面舆情</w:t>
            </w:r>
          </w:p>
        </w:tc>
        <w:tc>
          <w:tcPr>
            <w:tcW w:w="976" w:type="dxa"/>
            <w:tcBorders>
              <w:top w:val="single" w:color="auto" w:sz="4" w:space="0"/>
              <w:left w:val="single" w:color="auto" w:sz="4" w:space="0"/>
              <w:bottom w:val="single" w:color="auto" w:sz="4" w:space="0"/>
              <w:right w:val="single" w:color="auto" w:sz="4" w:space="0"/>
            </w:tcBorders>
            <w:noWrap w:val="0"/>
            <w:vAlign w:val="center"/>
          </w:tcPr>
          <w:p w14:paraId="27A24D89">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6</w:t>
            </w:r>
          </w:p>
        </w:tc>
        <w:tc>
          <w:tcPr>
            <w:tcW w:w="873" w:type="dxa"/>
            <w:tcBorders>
              <w:top w:val="single" w:color="auto" w:sz="4" w:space="0"/>
              <w:left w:val="single" w:color="auto" w:sz="4" w:space="0"/>
              <w:bottom w:val="single" w:color="auto" w:sz="4" w:space="0"/>
              <w:right w:val="single" w:color="auto" w:sz="4" w:space="0"/>
            </w:tcBorders>
            <w:noWrap w:val="0"/>
            <w:vAlign w:val="center"/>
          </w:tcPr>
          <w:p w14:paraId="1F7FD525">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6</w:t>
            </w:r>
          </w:p>
        </w:tc>
        <w:tc>
          <w:tcPr>
            <w:tcW w:w="1418" w:type="dxa"/>
            <w:tcBorders>
              <w:top w:val="single" w:color="auto" w:sz="4" w:space="0"/>
              <w:left w:val="single" w:color="auto" w:sz="4" w:space="0"/>
              <w:bottom w:val="single" w:color="auto" w:sz="4" w:space="0"/>
              <w:right w:val="single" w:color="auto" w:sz="4" w:space="0"/>
            </w:tcBorders>
            <w:noWrap w:val="0"/>
            <w:vAlign w:val="center"/>
          </w:tcPr>
          <w:p w14:paraId="311FE853">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34B3D2AF">
        <w:tblPrEx>
          <w:tblCellMar>
            <w:top w:w="0" w:type="dxa"/>
            <w:left w:w="108" w:type="dxa"/>
            <w:bottom w:w="0" w:type="dxa"/>
            <w:right w:w="108" w:type="dxa"/>
          </w:tblCellMar>
        </w:tblPrEx>
        <w:trPr>
          <w:jc w:val="center"/>
        </w:trPr>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6FFF3FDF">
            <w:pPr>
              <w:keepNext w:val="0"/>
              <w:keepLines w:val="0"/>
              <w:pageBreakBefore w:val="0"/>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rPr>
            </w:pPr>
          </w:p>
        </w:tc>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4EB8DD55">
            <w:pPr>
              <w:keepNext w:val="0"/>
              <w:keepLines w:val="0"/>
              <w:pageBreakBefore w:val="0"/>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rPr>
            </w:pPr>
          </w:p>
        </w:tc>
        <w:tc>
          <w:tcPr>
            <w:tcW w:w="1080" w:type="dxa"/>
            <w:vMerge w:val="restart"/>
            <w:tcBorders>
              <w:top w:val="single" w:color="auto" w:sz="4" w:space="0"/>
              <w:left w:val="single" w:color="auto" w:sz="4" w:space="0"/>
              <w:bottom w:val="single" w:color="auto" w:sz="4" w:space="0"/>
              <w:right w:val="single" w:color="auto" w:sz="4" w:space="0"/>
            </w:tcBorders>
            <w:noWrap w:val="0"/>
            <w:vAlign w:val="center"/>
          </w:tcPr>
          <w:p w14:paraId="1C9431CB">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时效指标</w:t>
            </w:r>
          </w:p>
        </w:tc>
        <w:tc>
          <w:tcPr>
            <w:tcW w:w="1184" w:type="dxa"/>
            <w:tcBorders>
              <w:top w:val="single" w:color="auto" w:sz="4" w:space="0"/>
              <w:left w:val="single" w:color="auto" w:sz="4" w:space="0"/>
              <w:bottom w:val="single" w:color="auto" w:sz="4" w:space="0"/>
              <w:right w:val="single" w:color="auto" w:sz="4" w:space="0"/>
            </w:tcBorders>
            <w:noWrap w:val="0"/>
            <w:vAlign w:val="center"/>
          </w:tcPr>
          <w:p w14:paraId="526C2EB8">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lang w:eastAsia="zh-CN"/>
              </w:rPr>
            </w:pPr>
            <w:r>
              <w:rPr>
                <w:rFonts w:hint="eastAsia" w:ascii="仿宋_GB2312" w:hAnsi="仿宋_GB2312" w:eastAsia="仿宋_GB2312" w:cs="仿宋_GB2312"/>
                <w:color w:val="000000"/>
                <w:sz w:val="20"/>
                <w:szCs w:val="20"/>
                <w:highlight w:val="none"/>
              </w:rPr>
              <w:t>按时发放工资</w:t>
            </w:r>
            <w:r>
              <w:rPr>
                <w:rFonts w:hint="eastAsia" w:ascii="仿宋_GB2312" w:hAnsi="仿宋_GB2312" w:eastAsia="仿宋_GB2312" w:cs="仿宋_GB2312"/>
                <w:color w:val="000000"/>
                <w:sz w:val="20"/>
                <w:szCs w:val="20"/>
                <w:highlight w:val="none"/>
                <w:lang w:eastAsia="zh-CN"/>
              </w:rPr>
              <w:t>、</w:t>
            </w:r>
            <w:r>
              <w:rPr>
                <w:rFonts w:hint="eastAsia" w:ascii="仿宋_GB2312" w:hAnsi="仿宋_GB2312" w:eastAsia="仿宋_GB2312" w:cs="仿宋_GB2312"/>
                <w:color w:val="000000"/>
                <w:sz w:val="20"/>
                <w:szCs w:val="20"/>
                <w:highlight w:val="none"/>
              </w:rPr>
              <w:t>缴纳</w:t>
            </w:r>
            <w:r>
              <w:rPr>
                <w:rFonts w:hint="eastAsia" w:ascii="仿宋_GB2312" w:hAnsi="仿宋_GB2312" w:eastAsia="仿宋_GB2312" w:cs="仿宋_GB2312"/>
                <w:color w:val="000000"/>
                <w:sz w:val="20"/>
                <w:szCs w:val="20"/>
                <w:highlight w:val="none"/>
                <w:lang w:val="en-US" w:eastAsia="zh-CN"/>
              </w:rPr>
              <w:t>各类保险</w:t>
            </w:r>
          </w:p>
        </w:tc>
        <w:tc>
          <w:tcPr>
            <w:tcW w:w="1050" w:type="dxa"/>
            <w:tcBorders>
              <w:top w:val="single" w:color="auto" w:sz="4" w:space="0"/>
              <w:left w:val="single" w:color="auto" w:sz="4" w:space="0"/>
              <w:bottom w:val="single" w:color="auto" w:sz="4" w:space="0"/>
              <w:right w:val="single" w:color="auto" w:sz="4" w:space="0"/>
            </w:tcBorders>
            <w:noWrap w:val="0"/>
            <w:vAlign w:val="center"/>
          </w:tcPr>
          <w:p w14:paraId="21EE7636">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0"/>
                <w:szCs w:val="20"/>
                <w:highlight w:val="none"/>
                <w:lang w:eastAsia="zh-CN"/>
              </w:rPr>
            </w:pPr>
            <w:r>
              <w:rPr>
                <w:rFonts w:hint="eastAsia" w:ascii="仿宋_GB2312" w:hAnsi="仿宋_GB2312" w:eastAsia="仿宋_GB2312" w:cs="仿宋_GB2312"/>
                <w:color w:val="000000"/>
                <w:sz w:val="20"/>
                <w:szCs w:val="20"/>
                <w:highlight w:val="none"/>
              </w:rPr>
              <w:t>每月</w:t>
            </w:r>
            <w:r>
              <w:rPr>
                <w:rFonts w:hint="eastAsia" w:ascii="仿宋_GB2312" w:hAnsi="仿宋_GB2312" w:eastAsia="仿宋_GB2312" w:cs="仿宋_GB2312"/>
                <w:color w:val="000000"/>
                <w:sz w:val="20"/>
                <w:szCs w:val="20"/>
                <w:highlight w:val="none"/>
                <w:lang w:eastAsia="zh-CN"/>
              </w:rPr>
              <w:t>支付</w:t>
            </w:r>
          </w:p>
        </w:tc>
        <w:tc>
          <w:tcPr>
            <w:tcW w:w="1110" w:type="dxa"/>
            <w:tcBorders>
              <w:top w:val="single" w:color="auto" w:sz="4" w:space="0"/>
              <w:left w:val="single" w:color="auto" w:sz="4" w:space="0"/>
              <w:bottom w:val="single" w:color="auto" w:sz="4" w:space="0"/>
              <w:right w:val="single" w:color="auto" w:sz="4" w:space="0"/>
            </w:tcBorders>
            <w:noWrap w:val="0"/>
            <w:vAlign w:val="center"/>
          </w:tcPr>
          <w:p w14:paraId="59B4B492">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均按时完成</w:t>
            </w:r>
          </w:p>
        </w:tc>
        <w:tc>
          <w:tcPr>
            <w:tcW w:w="976" w:type="dxa"/>
            <w:tcBorders>
              <w:top w:val="single" w:color="auto" w:sz="4" w:space="0"/>
              <w:left w:val="single" w:color="auto" w:sz="4" w:space="0"/>
              <w:bottom w:val="single" w:color="auto" w:sz="4" w:space="0"/>
              <w:right w:val="single" w:color="auto" w:sz="4" w:space="0"/>
            </w:tcBorders>
            <w:noWrap w:val="0"/>
            <w:vAlign w:val="center"/>
          </w:tcPr>
          <w:p w14:paraId="0BA1494F">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6</w:t>
            </w:r>
          </w:p>
        </w:tc>
        <w:tc>
          <w:tcPr>
            <w:tcW w:w="873" w:type="dxa"/>
            <w:tcBorders>
              <w:top w:val="single" w:color="auto" w:sz="4" w:space="0"/>
              <w:left w:val="single" w:color="auto" w:sz="4" w:space="0"/>
              <w:bottom w:val="single" w:color="auto" w:sz="4" w:space="0"/>
              <w:right w:val="single" w:color="auto" w:sz="4" w:space="0"/>
            </w:tcBorders>
            <w:noWrap w:val="0"/>
            <w:vAlign w:val="center"/>
          </w:tcPr>
          <w:p w14:paraId="02DA9844">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6</w:t>
            </w:r>
          </w:p>
        </w:tc>
        <w:tc>
          <w:tcPr>
            <w:tcW w:w="1418" w:type="dxa"/>
            <w:tcBorders>
              <w:top w:val="single" w:color="auto" w:sz="4" w:space="0"/>
              <w:left w:val="single" w:color="auto" w:sz="4" w:space="0"/>
              <w:bottom w:val="single" w:color="auto" w:sz="4" w:space="0"/>
              <w:right w:val="single" w:color="auto" w:sz="4" w:space="0"/>
            </w:tcBorders>
            <w:noWrap w:val="0"/>
            <w:vAlign w:val="center"/>
          </w:tcPr>
          <w:p w14:paraId="65B0C6F9">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576A2D53">
        <w:tblPrEx>
          <w:tblCellMar>
            <w:top w:w="0" w:type="dxa"/>
            <w:left w:w="108" w:type="dxa"/>
            <w:bottom w:w="0" w:type="dxa"/>
            <w:right w:w="108" w:type="dxa"/>
          </w:tblCellMar>
        </w:tblPrEx>
        <w:trPr>
          <w:jc w:val="center"/>
        </w:trPr>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66F3FFB2">
            <w:pPr>
              <w:keepNext w:val="0"/>
              <w:keepLines w:val="0"/>
              <w:pageBreakBefore w:val="0"/>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rPr>
            </w:pPr>
          </w:p>
        </w:tc>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153EC7C7">
            <w:pPr>
              <w:keepNext w:val="0"/>
              <w:keepLines w:val="0"/>
              <w:pageBreakBefore w:val="0"/>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rPr>
            </w:pPr>
          </w:p>
        </w:tc>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76E9B252">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0"/>
                <w:szCs w:val="20"/>
                <w:highlight w:val="none"/>
              </w:rPr>
            </w:pPr>
          </w:p>
        </w:tc>
        <w:tc>
          <w:tcPr>
            <w:tcW w:w="1184" w:type="dxa"/>
            <w:tcBorders>
              <w:top w:val="single" w:color="auto" w:sz="4" w:space="0"/>
              <w:left w:val="single" w:color="auto" w:sz="4" w:space="0"/>
              <w:bottom w:val="single" w:color="auto" w:sz="4" w:space="0"/>
              <w:right w:val="single" w:color="auto" w:sz="4" w:space="0"/>
            </w:tcBorders>
            <w:noWrap w:val="0"/>
            <w:vAlign w:val="center"/>
          </w:tcPr>
          <w:p w14:paraId="6D3412B9">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lang w:eastAsia="zh-CN"/>
              </w:rPr>
              <w:t>辅助执法工作</w:t>
            </w:r>
          </w:p>
        </w:tc>
        <w:tc>
          <w:tcPr>
            <w:tcW w:w="1050" w:type="dxa"/>
            <w:tcBorders>
              <w:top w:val="single" w:color="auto" w:sz="4" w:space="0"/>
              <w:left w:val="single" w:color="auto" w:sz="4" w:space="0"/>
              <w:bottom w:val="single" w:color="auto" w:sz="4" w:space="0"/>
              <w:right w:val="single" w:color="auto" w:sz="4" w:space="0"/>
            </w:tcBorders>
            <w:noWrap w:val="0"/>
            <w:vAlign w:val="center"/>
          </w:tcPr>
          <w:p w14:paraId="1C4C9C5B">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lang w:eastAsia="zh-CN"/>
              </w:rPr>
              <w:t>能协助执法人员及时完成执法工作</w:t>
            </w:r>
          </w:p>
        </w:tc>
        <w:tc>
          <w:tcPr>
            <w:tcW w:w="1110" w:type="dxa"/>
            <w:tcBorders>
              <w:top w:val="single" w:color="auto" w:sz="4" w:space="0"/>
              <w:left w:val="single" w:color="auto" w:sz="4" w:space="0"/>
              <w:bottom w:val="single" w:color="auto" w:sz="4" w:space="0"/>
              <w:right w:val="single" w:color="auto" w:sz="4" w:space="0"/>
            </w:tcBorders>
            <w:noWrap w:val="0"/>
            <w:vAlign w:val="center"/>
          </w:tcPr>
          <w:p w14:paraId="40E749F9">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lang w:eastAsia="zh-CN"/>
              </w:rPr>
              <w:t>协助执法人员完成了各项执法工作</w:t>
            </w:r>
          </w:p>
        </w:tc>
        <w:tc>
          <w:tcPr>
            <w:tcW w:w="976" w:type="dxa"/>
            <w:tcBorders>
              <w:top w:val="single" w:color="auto" w:sz="4" w:space="0"/>
              <w:left w:val="single" w:color="auto" w:sz="4" w:space="0"/>
              <w:bottom w:val="single" w:color="auto" w:sz="4" w:space="0"/>
              <w:right w:val="single" w:color="auto" w:sz="4" w:space="0"/>
            </w:tcBorders>
            <w:noWrap w:val="0"/>
            <w:vAlign w:val="center"/>
          </w:tcPr>
          <w:p w14:paraId="0BDDC3E1">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6</w:t>
            </w:r>
          </w:p>
        </w:tc>
        <w:tc>
          <w:tcPr>
            <w:tcW w:w="873" w:type="dxa"/>
            <w:tcBorders>
              <w:top w:val="single" w:color="auto" w:sz="4" w:space="0"/>
              <w:left w:val="single" w:color="auto" w:sz="4" w:space="0"/>
              <w:bottom w:val="single" w:color="auto" w:sz="4" w:space="0"/>
              <w:right w:val="single" w:color="auto" w:sz="4" w:space="0"/>
            </w:tcBorders>
            <w:noWrap w:val="0"/>
            <w:vAlign w:val="center"/>
          </w:tcPr>
          <w:p w14:paraId="1442D45A">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6</w:t>
            </w:r>
          </w:p>
        </w:tc>
        <w:tc>
          <w:tcPr>
            <w:tcW w:w="1418" w:type="dxa"/>
            <w:tcBorders>
              <w:top w:val="single" w:color="auto" w:sz="4" w:space="0"/>
              <w:left w:val="single" w:color="auto" w:sz="4" w:space="0"/>
              <w:bottom w:val="single" w:color="auto" w:sz="4" w:space="0"/>
              <w:right w:val="single" w:color="auto" w:sz="4" w:space="0"/>
            </w:tcBorders>
            <w:noWrap w:val="0"/>
            <w:vAlign w:val="center"/>
          </w:tcPr>
          <w:p w14:paraId="7436F1A8">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0457AC7C">
        <w:tblPrEx>
          <w:tblCellMar>
            <w:top w:w="0" w:type="dxa"/>
            <w:left w:w="108" w:type="dxa"/>
            <w:bottom w:w="0" w:type="dxa"/>
            <w:right w:w="108" w:type="dxa"/>
          </w:tblCellMar>
        </w:tblPrEx>
        <w:trPr>
          <w:jc w:val="center"/>
        </w:trPr>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0A46BD6D">
            <w:pPr>
              <w:keepNext w:val="0"/>
              <w:keepLines w:val="0"/>
              <w:pageBreakBefore w:val="0"/>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rPr>
            </w:pPr>
          </w:p>
        </w:tc>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352342AB">
            <w:pPr>
              <w:keepNext w:val="0"/>
              <w:keepLines w:val="0"/>
              <w:pageBreakBefore w:val="0"/>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rPr>
            </w:pPr>
          </w:p>
        </w:tc>
        <w:tc>
          <w:tcPr>
            <w:tcW w:w="1080" w:type="dxa"/>
            <w:vMerge w:val="restart"/>
            <w:tcBorders>
              <w:top w:val="single" w:color="auto" w:sz="4" w:space="0"/>
              <w:left w:val="single" w:color="auto" w:sz="4" w:space="0"/>
              <w:bottom w:val="single" w:color="auto" w:sz="4" w:space="0"/>
              <w:right w:val="single" w:color="auto" w:sz="4" w:space="0"/>
            </w:tcBorders>
            <w:noWrap w:val="0"/>
            <w:vAlign w:val="center"/>
          </w:tcPr>
          <w:p w14:paraId="2358F574">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成本指标</w:t>
            </w:r>
          </w:p>
        </w:tc>
        <w:tc>
          <w:tcPr>
            <w:tcW w:w="1184" w:type="dxa"/>
            <w:tcBorders>
              <w:top w:val="single" w:color="auto" w:sz="4" w:space="0"/>
              <w:left w:val="single" w:color="auto" w:sz="4" w:space="0"/>
              <w:bottom w:val="single" w:color="auto" w:sz="4" w:space="0"/>
              <w:right w:val="single" w:color="auto" w:sz="4" w:space="0"/>
            </w:tcBorders>
            <w:noWrap w:val="0"/>
            <w:vAlign w:val="center"/>
          </w:tcPr>
          <w:p w14:paraId="6E297620">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lang w:eastAsia="zh-CN"/>
              </w:rPr>
            </w:pPr>
            <w:r>
              <w:rPr>
                <w:rFonts w:hint="eastAsia" w:ascii="仿宋_GB2312" w:hAnsi="仿宋_GB2312" w:eastAsia="仿宋_GB2312" w:cs="仿宋_GB2312"/>
                <w:color w:val="000000"/>
                <w:sz w:val="20"/>
                <w:szCs w:val="20"/>
                <w:highlight w:val="none"/>
                <w:lang w:eastAsia="zh-CN"/>
              </w:rPr>
              <w:t>项目实施成本</w:t>
            </w:r>
          </w:p>
        </w:tc>
        <w:tc>
          <w:tcPr>
            <w:tcW w:w="1050" w:type="dxa"/>
            <w:tcBorders>
              <w:top w:val="single" w:color="auto" w:sz="4" w:space="0"/>
              <w:left w:val="single" w:color="auto" w:sz="4" w:space="0"/>
              <w:bottom w:val="single" w:color="auto" w:sz="4" w:space="0"/>
              <w:right w:val="single" w:color="auto" w:sz="4" w:space="0"/>
            </w:tcBorders>
            <w:noWrap w:val="0"/>
            <w:vAlign w:val="center"/>
          </w:tcPr>
          <w:p w14:paraId="1F150092">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控制在180万元之内</w:t>
            </w:r>
          </w:p>
        </w:tc>
        <w:tc>
          <w:tcPr>
            <w:tcW w:w="1110" w:type="dxa"/>
            <w:tcBorders>
              <w:top w:val="single" w:color="auto" w:sz="4" w:space="0"/>
              <w:left w:val="single" w:color="auto" w:sz="4" w:space="0"/>
              <w:bottom w:val="single" w:color="auto" w:sz="4" w:space="0"/>
              <w:right w:val="single" w:color="auto" w:sz="4" w:space="0"/>
            </w:tcBorders>
            <w:noWrap w:val="0"/>
            <w:vAlign w:val="center"/>
          </w:tcPr>
          <w:p w14:paraId="11A938F7">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val="en-US" w:eastAsia="zh-CN"/>
              </w:rPr>
              <w:t>187.59万元</w:t>
            </w:r>
          </w:p>
        </w:tc>
        <w:tc>
          <w:tcPr>
            <w:tcW w:w="976" w:type="dxa"/>
            <w:tcBorders>
              <w:top w:val="single" w:color="auto" w:sz="4" w:space="0"/>
              <w:left w:val="single" w:color="auto" w:sz="4" w:space="0"/>
              <w:bottom w:val="single" w:color="auto" w:sz="4" w:space="0"/>
              <w:right w:val="single" w:color="auto" w:sz="4" w:space="0"/>
            </w:tcBorders>
            <w:noWrap w:val="0"/>
            <w:vAlign w:val="center"/>
          </w:tcPr>
          <w:p w14:paraId="6ECAD9E6">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6</w:t>
            </w:r>
          </w:p>
        </w:tc>
        <w:tc>
          <w:tcPr>
            <w:tcW w:w="873" w:type="dxa"/>
            <w:tcBorders>
              <w:top w:val="single" w:color="auto" w:sz="4" w:space="0"/>
              <w:left w:val="single" w:color="auto" w:sz="4" w:space="0"/>
              <w:bottom w:val="single" w:color="auto" w:sz="4" w:space="0"/>
              <w:right w:val="single" w:color="auto" w:sz="4" w:space="0"/>
            </w:tcBorders>
            <w:noWrap w:val="0"/>
            <w:vAlign w:val="center"/>
          </w:tcPr>
          <w:p w14:paraId="2A16F0D5">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5</w:t>
            </w:r>
          </w:p>
        </w:tc>
        <w:tc>
          <w:tcPr>
            <w:tcW w:w="1418" w:type="dxa"/>
            <w:tcBorders>
              <w:top w:val="single" w:color="auto" w:sz="4" w:space="0"/>
              <w:left w:val="single" w:color="auto" w:sz="4" w:space="0"/>
              <w:bottom w:val="single" w:color="auto" w:sz="4" w:space="0"/>
              <w:right w:val="single" w:color="auto" w:sz="4" w:space="0"/>
            </w:tcBorders>
            <w:noWrap w:val="0"/>
            <w:vAlign w:val="center"/>
          </w:tcPr>
          <w:p w14:paraId="60008EA4">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val="en-US" w:eastAsia="zh-CN"/>
              </w:rPr>
              <w:t>社保基数逐年上涨</w:t>
            </w:r>
          </w:p>
          <w:p w14:paraId="68E36EA1">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rPr>
            </w:pPr>
          </w:p>
          <w:p w14:paraId="07E8CBE8">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rPr>
            </w:pPr>
          </w:p>
        </w:tc>
      </w:tr>
      <w:tr w14:paraId="5E933D55">
        <w:tblPrEx>
          <w:tblCellMar>
            <w:top w:w="0" w:type="dxa"/>
            <w:left w:w="108" w:type="dxa"/>
            <w:bottom w:w="0" w:type="dxa"/>
            <w:right w:w="108" w:type="dxa"/>
          </w:tblCellMar>
        </w:tblPrEx>
        <w:trPr>
          <w:jc w:val="center"/>
        </w:trPr>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0FF52F58">
            <w:pPr>
              <w:keepNext w:val="0"/>
              <w:keepLines w:val="0"/>
              <w:pageBreakBefore w:val="0"/>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rPr>
            </w:pPr>
          </w:p>
        </w:tc>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78B6E4F0">
            <w:pPr>
              <w:keepNext w:val="0"/>
              <w:keepLines w:val="0"/>
              <w:pageBreakBefore w:val="0"/>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rPr>
            </w:pPr>
          </w:p>
        </w:tc>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24C9B11B">
            <w:pPr>
              <w:keepNext w:val="0"/>
              <w:keepLines w:val="0"/>
              <w:pageBreakBefore w:val="0"/>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rPr>
            </w:pPr>
          </w:p>
        </w:tc>
        <w:tc>
          <w:tcPr>
            <w:tcW w:w="1184" w:type="dxa"/>
            <w:tcBorders>
              <w:top w:val="single" w:color="auto" w:sz="4" w:space="0"/>
              <w:left w:val="single" w:color="auto" w:sz="4" w:space="0"/>
              <w:bottom w:val="single" w:color="auto" w:sz="4" w:space="0"/>
              <w:right w:val="single" w:color="auto" w:sz="4" w:space="0"/>
            </w:tcBorders>
            <w:noWrap w:val="0"/>
            <w:vAlign w:val="center"/>
          </w:tcPr>
          <w:p w14:paraId="134ED20C">
            <w:pPr>
              <w:keepNext w:val="0"/>
              <w:keepLines w:val="0"/>
              <w:pageBreakBefore w:val="0"/>
              <w:widowControl/>
              <w:suppressLineNumbers w:val="0"/>
              <w:kinsoku/>
              <w:wordWrap/>
              <w:overflowPunct/>
              <w:topLinePunct w:val="0"/>
              <w:autoSpaceDE/>
              <w:bidi w:val="0"/>
              <w:adjustRightInd/>
              <w:snapToGrid/>
              <w:spacing w:line="300" w:lineRule="exact"/>
              <w:jc w:val="left"/>
              <w:textAlignment w:val="center"/>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i w:val="0"/>
                <w:iCs w:val="0"/>
                <w:color w:val="000000"/>
                <w:kern w:val="0"/>
                <w:sz w:val="20"/>
                <w:szCs w:val="20"/>
                <w:u w:val="none"/>
                <w:lang w:val="en-US" w:eastAsia="zh-CN" w:bidi="ar"/>
              </w:rPr>
              <w:t>对社会发展造成负面影响</w:t>
            </w:r>
          </w:p>
        </w:tc>
        <w:tc>
          <w:tcPr>
            <w:tcW w:w="1050" w:type="dxa"/>
            <w:tcBorders>
              <w:top w:val="single" w:color="auto" w:sz="4" w:space="0"/>
              <w:left w:val="single" w:color="auto" w:sz="4" w:space="0"/>
              <w:bottom w:val="single" w:color="auto" w:sz="4" w:space="0"/>
              <w:right w:val="single" w:color="auto" w:sz="4" w:space="0"/>
            </w:tcBorders>
            <w:noWrap w:val="0"/>
            <w:vAlign w:val="center"/>
          </w:tcPr>
          <w:p w14:paraId="08A96EEF">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val="en-US" w:eastAsia="zh-CN"/>
              </w:rPr>
              <w:t>无</w:t>
            </w:r>
            <w:r>
              <w:rPr>
                <w:rFonts w:hint="eastAsia" w:ascii="仿宋_GB2312" w:hAnsi="仿宋_GB2312" w:eastAsia="仿宋_GB2312" w:cs="仿宋_GB2312"/>
                <w:i w:val="0"/>
                <w:iCs w:val="0"/>
                <w:color w:val="000000"/>
                <w:kern w:val="0"/>
                <w:sz w:val="20"/>
                <w:szCs w:val="20"/>
                <w:u w:val="none"/>
                <w:lang w:val="en-US" w:eastAsia="zh-CN" w:bidi="ar"/>
              </w:rPr>
              <w:t>负面影响</w:t>
            </w:r>
          </w:p>
        </w:tc>
        <w:tc>
          <w:tcPr>
            <w:tcW w:w="1110" w:type="dxa"/>
            <w:tcBorders>
              <w:top w:val="single" w:color="auto" w:sz="4" w:space="0"/>
              <w:left w:val="single" w:color="auto" w:sz="4" w:space="0"/>
              <w:bottom w:val="single" w:color="auto" w:sz="4" w:space="0"/>
              <w:right w:val="single" w:color="auto" w:sz="4" w:space="0"/>
            </w:tcBorders>
            <w:noWrap w:val="0"/>
            <w:vAlign w:val="center"/>
          </w:tcPr>
          <w:p w14:paraId="0202517D">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val="en-US" w:eastAsia="zh-CN"/>
              </w:rPr>
              <w:t>无</w:t>
            </w:r>
            <w:r>
              <w:rPr>
                <w:rFonts w:hint="eastAsia" w:ascii="仿宋_GB2312" w:hAnsi="仿宋_GB2312" w:eastAsia="仿宋_GB2312" w:cs="仿宋_GB2312"/>
                <w:i w:val="0"/>
                <w:iCs w:val="0"/>
                <w:color w:val="000000"/>
                <w:kern w:val="0"/>
                <w:sz w:val="20"/>
                <w:szCs w:val="20"/>
                <w:u w:val="none"/>
                <w:lang w:val="en-US" w:eastAsia="zh-CN" w:bidi="ar"/>
              </w:rPr>
              <w:t>负面影响</w:t>
            </w:r>
          </w:p>
        </w:tc>
        <w:tc>
          <w:tcPr>
            <w:tcW w:w="976" w:type="dxa"/>
            <w:tcBorders>
              <w:top w:val="single" w:color="auto" w:sz="4" w:space="0"/>
              <w:left w:val="single" w:color="auto" w:sz="4" w:space="0"/>
              <w:bottom w:val="single" w:color="auto" w:sz="4" w:space="0"/>
              <w:right w:val="single" w:color="auto" w:sz="4" w:space="0"/>
            </w:tcBorders>
            <w:noWrap w:val="0"/>
            <w:vAlign w:val="center"/>
          </w:tcPr>
          <w:p w14:paraId="0C3B7718">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2</w:t>
            </w:r>
          </w:p>
        </w:tc>
        <w:tc>
          <w:tcPr>
            <w:tcW w:w="873" w:type="dxa"/>
            <w:tcBorders>
              <w:top w:val="single" w:color="auto" w:sz="4" w:space="0"/>
              <w:left w:val="single" w:color="auto" w:sz="4" w:space="0"/>
              <w:bottom w:val="single" w:color="auto" w:sz="4" w:space="0"/>
              <w:right w:val="single" w:color="auto" w:sz="4" w:space="0"/>
            </w:tcBorders>
            <w:noWrap w:val="0"/>
            <w:vAlign w:val="center"/>
          </w:tcPr>
          <w:p w14:paraId="3BA97C36">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2</w:t>
            </w:r>
          </w:p>
        </w:tc>
        <w:tc>
          <w:tcPr>
            <w:tcW w:w="1418" w:type="dxa"/>
            <w:tcBorders>
              <w:top w:val="single" w:color="auto" w:sz="4" w:space="0"/>
              <w:left w:val="single" w:color="auto" w:sz="4" w:space="0"/>
              <w:bottom w:val="single" w:color="auto" w:sz="4" w:space="0"/>
              <w:right w:val="single" w:color="auto" w:sz="4" w:space="0"/>
            </w:tcBorders>
            <w:noWrap w:val="0"/>
            <w:vAlign w:val="center"/>
          </w:tcPr>
          <w:p w14:paraId="34F3C86F">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66EC117E">
        <w:tblPrEx>
          <w:tblCellMar>
            <w:top w:w="0" w:type="dxa"/>
            <w:left w:w="108" w:type="dxa"/>
            <w:bottom w:w="0" w:type="dxa"/>
            <w:right w:w="108" w:type="dxa"/>
          </w:tblCellMar>
        </w:tblPrEx>
        <w:trPr>
          <w:jc w:val="center"/>
        </w:trPr>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59AC4666">
            <w:pPr>
              <w:keepNext w:val="0"/>
              <w:keepLines w:val="0"/>
              <w:pageBreakBefore w:val="0"/>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rPr>
            </w:pPr>
          </w:p>
        </w:tc>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2B21EB87">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rPr>
            </w:pPr>
          </w:p>
        </w:tc>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6D9C98FE">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rPr>
            </w:pPr>
          </w:p>
        </w:tc>
        <w:tc>
          <w:tcPr>
            <w:tcW w:w="1184" w:type="dxa"/>
            <w:tcBorders>
              <w:top w:val="single" w:color="auto" w:sz="4" w:space="0"/>
              <w:left w:val="single" w:color="auto" w:sz="4" w:space="0"/>
              <w:bottom w:val="single" w:color="auto" w:sz="4" w:space="0"/>
              <w:right w:val="single" w:color="auto" w:sz="4" w:space="0"/>
            </w:tcBorders>
            <w:noWrap w:val="0"/>
            <w:vAlign w:val="center"/>
          </w:tcPr>
          <w:p w14:paraId="6F71599E">
            <w:pPr>
              <w:keepNext w:val="0"/>
              <w:keepLines w:val="0"/>
              <w:pageBreakBefore w:val="0"/>
              <w:widowControl/>
              <w:suppressLineNumbers w:val="0"/>
              <w:kinsoku/>
              <w:wordWrap/>
              <w:overflowPunct/>
              <w:topLinePunct w:val="0"/>
              <w:autoSpaceDE/>
              <w:bidi w:val="0"/>
              <w:adjustRightInd/>
              <w:snapToGrid/>
              <w:spacing w:line="300" w:lineRule="exact"/>
              <w:jc w:val="left"/>
              <w:textAlignment w:val="center"/>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i w:val="0"/>
                <w:iCs w:val="0"/>
                <w:color w:val="000000"/>
                <w:kern w:val="0"/>
                <w:sz w:val="20"/>
                <w:szCs w:val="20"/>
                <w:u w:val="none"/>
                <w:lang w:val="en-US" w:eastAsia="zh-CN" w:bidi="ar"/>
              </w:rPr>
              <w:t>对生态环境造成负面影响</w:t>
            </w:r>
          </w:p>
        </w:tc>
        <w:tc>
          <w:tcPr>
            <w:tcW w:w="1050" w:type="dxa"/>
            <w:tcBorders>
              <w:top w:val="single" w:color="auto" w:sz="4" w:space="0"/>
              <w:left w:val="single" w:color="auto" w:sz="4" w:space="0"/>
              <w:bottom w:val="single" w:color="auto" w:sz="4" w:space="0"/>
              <w:right w:val="single" w:color="auto" w:sz="4" w:space="0"/>
            </w:tcBorders>
            <w:noWrap w:val="0"/>
            <w:vAlign w:val="center"/>
          </w:tcPr>
          <w:p w14:paraId="3EE29DFA">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val="en-US" w:eastAsia="zh-CN"/>
              </w:rPr>
              <w:t>无</w:t>
            </w:r>
            <w:r>
              <w:rPr>
                <w:rFonts w:hint="eastAsia" w:ascii="仿宋_GB2312" w:hAnsi="仿宋_GB2312" w:eastAsia="仿宋_GB2312" w:cs="仿宋_GB2312"/>
                <w:i w:val="0"/>
                <w:iCs w:val="0"/>
                <w:color w:val="000000"/>
                <w:kern w:val="0"/>
                <w:sz w:val="20"/>
                <w:szCs w:val="20"/>
                <w:u w:val="none"/>
                <w:lang w:val="en-US" w:eastAsia="zh-CN" w:bidi="ar"/>
              </w:rPr>
              <w:t>负面影响</w:t>
            </w:r>
          </w:p>
        </w:tc>
        <w:tc>
          <w:tcPr>
            <w:tcW w:w="1110" w:type="dxa"/>
            <w:tcBorders>
              <w:top w:val="single" w:color="auto" w:sz="4" w:space="0"/>
              <w:left w:val="single" w:color="auto" w:sz="4" w:space="0"/>
              <w:bottom w:val="single" w:color="auto" w:sz="4" w:space="0"/>
              <w:right w:val="single" w:color="auto" w:sz="4" w:space="0"/>
            </w:tcBorders>
            <w:noWrap w:val="0"/>
            <w:vAlign w:val="center"/>
          </w:tcPr>
          <w:p w14:paraId="6669FE3A">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val="en-US" w:eastAsia="zh-CN"/>
              </w:rPr>
              <w:t>无</w:t>
            </w:r>
            <w:r>
              <w:rPr>
                <w:rFonts w:hint="eastAsia" w:ascii="仿宋_GB2312" w:hAnsi="仿宋_GB2312" w:eastAsia="仿宋_GB2312" w:cs="仿宋_GB2312"/>
                <w:i w:val="0"/>
                <w:iCs w:val="0"/>
                <w:color w:val="000000"/>
                <w:kern w:val="0"/>
                <w:sz w:val="20"/>
                <w:szCs w:val="20"/>
                <w:u w:val="none"/>
                <w:lang w:val="en-US" w:eastAsia="zh-CN" w:bidi="ar"/>
              </w:rPr>
              <w:t>负面影响</w:t>
            </w:r>
          </w:p>
        </w:tc>
        <w:tc>
          <w:tcPr>
            <w:tcW w:w="976" w:type="dxa"/>
            <w:tcBorders>
              <w:top w:val="single" w:color="auto" w:sz="4" w:space="0"/>
              <w:left w:val="single" w:color="auto" w:sz="4" w:space="0"/>
              <w:bottom w:val="single" w:color="auto" w:sz="4" w:space="0"/>
              <w:right w:val="single" w:color="auto" w:sz="4" w:space="0"/>
            </w:tcBorders>
            <w:noWrap w:val="0"/>
            <w:vAlign w:val="center"/>
          </w:tcPr>
          <w:p w14:paraId="4A3F2338">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2</w:t>
            </w:r>
          </w:p>
        </w:tc>
        <w:tc>
          <w:tcPr>
            <w:tcW w:w="873" w:type="dxa"/>
            <w:tcBorders>
              <w:top w:val="single" w:color="auto" w:sz="4" w:space="0"/>
              <w:left w:val="single" w:color="auto" w:sz="4" w:space="0"/>
              <w:bottom w:val="single" w:color="auto" w:sz="4" w:space="0"/>
              <w:right w:val="single" w:color="auto" w:sz="4" w:space="0"/>
            </w:tcBorders>
            <w:noWrap w:val="0"/>
            <w:vAlign w:val="center"/>
          </w:tcPr>
          <w:p w14:paraId="69D1D5FE">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2</w:t>
            </w:r>
          </w:p>
        </w:tc>
        <w:tc>
          <w:tcPr>
            <w:tcW w:w="1418" w:type="dxa"/>
            <w:tcBorders>
              <w:top w:val="single" w:color="auto" w:sz="4" w:space="0"/>
              <w:left w:val="single" w:color="auto" w:sz="4" w:space="0"/>
              <w:bottom w:val="single" w:color="auto" w:sz="4" w:space="0"/>
              <w:right w:val="single" w:color="auto" w:sz="4" w:space="0"/>
            </w:tcBorders>
            <w:noWrap w:val="0"/>
            <w:vAlign w:val="center"/>
          </w:tcPr>
          <w:p w14:paraId="28078472">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10765849">
        <w:tblPrEx>
          <w:tblCellMar>
            <w:top w:w="0" w:type="dxa"/>
            <w:left w:w="108" w:type="dxa"/>
            <w:bottom w:w="0" w:type="dxa"/>
            <w:right w:w="108" w:type="dxa"/>
          </w:tblCellMar>
        </w:tblPrEx>
        <w:trPr>
          <w:trHeight w:val="620" w:hRule="atLeast"/>
          <w:jc w:val="center"/>
        </w:trPr>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22B39BA6">
            <w:pPr>
              <w:keepNext w:val="0"/>
              <w:keepLines w:val="0"/>
              <w:pageBreakBefore w:val="0"/>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rPr>
            </w:pPr>
          </w:p>
        </w:tc>
        <w:tc>
          <w:tcPr>
            <w:tcW w:w="1080" w:type="dxa"/>
            <w:vMerge w:val="restart"/>
            <w:tcBorders>
              <w:top w:val="single" w:color="auto" w:sz="4" w:space="0"/>
              <w:left w:val="single" w:color="auto" w:sz="4" w:space="0"/>
              <w:bottom w:val="single" w:color="auto" w:sz="4" w:space="0"/>
              <w:right w:val="single" w:color="auto" w:sz="4" w:space="0"/>
            </w:tcBorders>
            <w:noWrap w:val="0"/>
            <w:vAlign w:val="center"/>
          </w:tcPr>
          <w:p w14:paraId="04E444C8">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效益指标</w:t>
            </w:r>
          </w:p>
          <w:p w14:paraId="671F11D9">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rPr>
            </w:pPr>
          </w:p>
          <w:p w14:paraId="577AF517">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（30分）</w:t>
            </w:r>
          </w:p>
          <w:p w14:paraId="5DC56492">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1080" w:type="dxa"/>
            <w:vMerge w:val="restart"/>
            <w:tcBorders>
              <w:top w:val="single" w:color="auto" w:sz="4" w:space="0"/>
              <w:left w:val="single" w:color="auto" w:sz="4" w:space="0"/>
              <w:right w:val="single" w:color="auto" w:sz="4" w:space="0"/>
            </w:tcBorders>
            <w:noWrap w:val="0"/>
            <w:vAlign w:val="center"/>
          </w:tcPr>
          <w:p w14:paraId="20FFA145">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经济效</w:t>
            </w:r>
          </w:p>
          <w:p w14:paraId="2B1E7C15">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益指标</w:t>
            </w:r>
          </w:p>
        </w:tc>
        <w:tc>
          <w:tcPr>
            <w:tcW w:w="1184" w:type="dxa"/>
            <w:tcBorders>
              <w:top w:val="single" w:color="auto" w:sz="4" w:space="0"/>
              <w:left w:val="single" w:color="auto" w:sz="4" w:space="0"/>
              <w:bottom w:val="single" w:color="auto" w:sz="4" w:space="0"/>
              <w:right w:val="single" w:color="auto" w:sz="4" w:space="0"/>
            </w:tcBorders>
            <w:noWrap w:val="0"/>
            <w:vAlign w:val="center"/>
          </w:tcPr>
          <w:p w14:paraId="4CDB3C22">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产生一定的罚没收入</w:t>
            </w:r>
          </w:p>
        </w:tc>
        <w:tc>
          <w:tcPr>
            <w:tcW w:w="1050" w:type="dxa"/>
            <w:tcBorders>
              <w:top w:val="single" w:color="auto" w:sz="4" w:space="0"/>
              <w:left w:val="single" w:color="auto" w:sz="4" w:space="0"/>
              <w:bottom w:val="single" w:color="auto" w:sz="4" w:space="0"/>
              <w:right w:val="single" w:color="auto" w:sz="4" w:space="0"/>
            </w:tcBorders>
            <w:noWrap w:val="0"/>
            <w:vAlign w:val="center"/>
          </w:tcPr>
          <w:p w14:paraId="09CA6BE9">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配合执法人员完成年度非税收入计划</w:t>
            </w:r>
          </w:p>
        </w:tc>
        <w:tc>
          <w:tcPr>
            <w:tcW w:w="1110" w:type="dxa"/>
            <w:tcBorders>
              <w:top w:val="single" w:color="auto" w:sz="4" w:space="0"/>
              <w:left w:val="single" w:color="auto" w:sz="4" w:space="0"/>
              <w:bottom w:val="single" w:color="auto" w:sz="4" w:space="0"/>
              <w:right w:val="single" w:color="auto" w:sz="4" w:space="0"/>
            </w:tcBorders>
            <w:noWrap w:val="0"/>
            <w:vAlign w:val="center"/>
          </w:tcPr>
          <w:p w14:paraId="5BD3E4C7">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lang w:eastAsia="zh-CN"/>
              </w:rPr>
            </w:pPr>
            <w:r>
              <w:rPr>
                <w:rFonts w:hint="eastAsia" w:ascii="仿宋_GB2312" w:hAnsi="仿宋_GB2312" w:eastAsia="仿宋_GB2312" w:cs="仿宋_GB2312"/>
                <w:color w:val="000000"/>
                <w:sz w:val="20"/>
                <w:szCs w:val="20"/>
                <w:highlight w:val="none"/>
                <w:lang w:eastAsia="zh-CN"/>
              </w:rPr>
              <w:t>已按时完成</w:t>
            </w:r>
          </w:p>
        </w:tc>
        <w:tc>
          <w:tcPr>
            <w:tcW w:w="976" w:type="dxa"/>
            <w:tcBorders>
              <w:top w:val="single" w:color="auto" w:sz="4" w:space="0"/>
              <w:left w:val="single" w:color="auto" w:sz="4" w:space="0"/>
              <w:bottom w:val="single" w:color="auto" w:sz="4" w:space="0"/>
              <w:right w:val="single" w:color="auto" w:sz="4" w:space="0"/>
            </w:tcBorders>
            <w:noWrap w:val="0"/>
            <w:vAlign w:val="center"/>
          </w:tcPr>
          <w:p w14:paraId="3393E0B2">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3</w:t>
            </w:r>
          </w:p>
        </w:tc>
        <w:tc>
          <w:tcPr>
            <w:tcW w:w="873" w:type="dxa"/>
            <w:tcBorders>
              <w:top w:val="single" w:color="auto" w:sz="4" w:space="0"/>
              <w:left w:val="single" w:color="auto" w:sz="4" w:space="0"/>
              <w:bottom w:val="single" w:color="auto" w:sz="4" w:space="0"/>
              <w:right w:val="single" w:color="auto" w:sz="4" w:space="0"/>
            </w:tcBorders>
            <w:noWrap w:val="0"/>
            <w:vAlign w:val="center"/>
          </w:tcPr>
          <w:p w14:paraId="0709BC5E">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3</w:t>
            </w:r>
          </w:p>
        </w:tc>
        <w:tc>
          <w:tcPr>
            <w:tcW w:w="1418" w:type="dxa"/>
            <w:tcBorders>
              <w:top w:val="single" w:color="auto" w:sz="4" w:space="0"/>
              <w:left w:val="single" w:color="auto" w:sz="4" w:space="0"/>
              <w:bottom w:val="single" w:color="auto" w:sz="4" w:space="0"/>
              <w:right w:val="single" w:color="auto" w:sz="4" w:space="0"/>
            </w:tcBorders>
            <w:noWrap w:val="0"/>
            <w:vAlign w:val="center"/>
          </w:tcPr>
          <w:p w14:paraId="1353C776">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451A4C60">
        <w:tblPrEx>
          <w:tblCellMar>
            <w:top w:w="0" w:type="dxa"/>
            <w:left w:w="108" w:type="dxa"/>
            <w:bottom w:w="0" w:type="dxa"/>
            <w:right w:w="108" w:type="dxa"/>
          </w:tblCellMar>
        </w:tblPrEx>
        <w:trPr>
          <w:trHeight w:val="620" w:hRule="atLeast"/>
          <w:jc w:val="center"/>
        </w:trPr>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112F799A">
            <w:pPr>
              <w:keepNext w:val="0"/>
              <w:keepLines w:val="0"/>
              <w:pageBreakBefore w:val="0"/>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rPr>
            </w:pPr>
          </w:p>
        </w:tc>
        <w:tc>
          <w:tcPr>
            <w:tcW w:w="1080" w:type="dxa"/>
            <w:vMerge w:val="continue"/>
            <w:tcBorders>
              <w:left w:val="single" w:color="auto" w:sz="4" w:space="0"/>
              <w:right w:val="single" w:color="auto" w:sz="4" w:space="0"/>
            </w:tcBorders>
            <w:noWrap w:val="0"/>
            <w:vAlign w:val="center"/>
          </w:tcPr>
          <w:p w14:paraId="78DB81FB">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rPr>
            </w:pPr>
          </w:p>
        </w:tc>
        <w:tc>
          <w:tcPr>
            <w:tcW w:w="1080" w:type="dxa"/>
            <w:vMerge w:val="continue"/>
            <w:tcBorders>
              <w:left w:val="single" w:color="auto" w:sz="4" w:space="0"/>
              <w:bottom w:val="single" w:color="auto" w:sz="4" w:space="0"/>
              <w:right w:val="single" w:color="auto" w:sz="4" w:space="0"/>
            </w:tcBorders>
            <w:noWrap w:val="0"/>
            <w:vAlign w:val="center"/>
          </w:tcPr>
          <w:p w14:paraId="3D269D0A">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0"/>
                <w:szCs w:val="20"/>
                <w:highlight w:val="none"/>
              </w:rPr>
            </w:pPr>
          </w:p>
        </w:tc>
        <w:tc>
          <w:tcPr>
            <w:tcW w:w="1184" w:type="dxa"/>
            <w:tcBorders>
              <w:top w:val="single" w:color="auto" w:sz="4" w:space="0"/>
              <w:left w:val="single" w:color="auto" w:sz="4" w:space="0"/>
              <w:bottom w:val="single" w:color="auto" w:sz="4" w:space="0"/>
              <w:right w:val="single" w:color="auto" w:sz="4" w:space="0"/>
            </w:tcBorders>
            <w:noWrap w:val="0"/>
            <w:vAlign w:val="center"/>
          </w:tcPr>
          <w:p w14:paraId="2574B300">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产生一定的间接经济效益</w:t>
            </w:r>
          </w:p>
        </w:tc>
        <w:tc>
          <w:tcPr>
            <w:tcW w:w="1050" w:type="dxa"/>
            <w:tcBorders>
              <w:top w:val="single" w:color="auto" w:sz="4" w:space="0"/>
              <w:left w:val="single" w:color="auto" w:sz="4" w:space="0"/>
              <w:bottom w:val="single" w:color="auto" w:sz="4" w:space="0"/>
              <w:right w:val="single" w:color="auto" w:sz="4" w:space="0"/>
            </w:tcBorders>
            <w:noWrap w:val="0"/>
            <w:vAlign w:val="center"/>
          </w:tcPr>
          <w:p w14:paraId="2DBA98AC">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eastAsia="zh-CN"/>
              </w:rPr>
              <w:t>协管员工资、</w:t>
            </w:r>
            <w:r>
              <w:rPr>
                <w:rFonts w:hint="eastAsia" w:ascii="仿宋_GB2312" w:hAnsi="仿宋_GB2312" w:eastAsia="仿宋_GB2312" w:cs="仿宋_GB2312"/>
                <w:color w:val="000000"/>
                <w:sz w:val="20"/>
                <w:szCs w:val="20"/>
                <w:highlight w:val="none"/>
                <w:lang w:val="en-US" w:eastAsia="zh-CN"/>
              </w:rPr>
              <w:t>社保收入</w:t>
            </w:r>
          </w:p>
        </w:tc>
        <w:tc>
          <w:tcPr>
            <w:tcW w:w="1110" w:type="dxa"/>
            <w:tcBorders>
              <w:top w:val="single" w:color="auto" w:sz="4" w:space="0"/>
              <w:left w:val="single" w:color="auto" w:sz="4" w:space="0"/>
              <w:bottom w:val="single" w:color="auto" w:sz="4" w:space="0"/>
              <w:right w:val="single" w:color="auto" w:sz="4" w:space="0"/>
            </w:tcBorders>
            <w:noWrap w:val="0"/>
            <w:vAlign w:val="center"/>
          </w:tcPr>
          <w:p w14:paraId="791FA6A0">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eastAsia="zh-CN"/>
              </w:rPr>
              <w:t>协管员工资、</w:t>
            </w:r>
            <w:r>
              <w:rPr>
                <w:rFonts w:hint="eastAsia" w:ascii="仿宋_GB2312" w:hAnsi="仿宋_GB2312" w:eastAsia="仿宋_GB2312" w:cs="仿宋_GB2312"/>
                <w:color w:val="000000"/>
                <w:sz w:val="20"/>
                <w:szCs w:val="20"/>
                <w:highlight w:val="none"/>
                <w:lang w:val="en-US" w:eastAsia="zh-CN"/>
              </w:rPr>
              <w:t>社保收入</w:t>
            </w:r>
          </w:p>
        </w:tc>
        <w:tc>
          <w:tcPr>
            <w:tcW w:w="976" w:type="dxa"/>
            <w:tcBorders>
              <w:top w:val="single" w:color="auto" w:sz="4" w:space="0"/>
              <w:left w:val="single" w:color="auto" w:sz="4" w:space="0"/>
              <w:bottom w:val="single" w:color="auto" w:sz="4" w:space="0"/>
              <w:right w:val="single" w:color="auto" w:sz="4" w:space="0"/>
            </w:tcBorders>
            <w:noWrap w:val="0"/>
            <w:vAlign w:val="center"/>
          </w:tcPr>
          <w:p w14:paraId="6F1B98CE">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3</w:t>
            </w:r>
          </w:p>
        </w:tc>
        <w:tc>
          <w:tcPr>
            <w:tcW w:w="873" w:type="dxa"/>
            <w:tcBorders>
              <w:top w:val="single" w:color="auto" w:sz="4" w:space="0"/>
              <w:left w:val="single" w:color="auto" w:sz="4" w:space="0"/>
              <w:bottom w:val="single" w:color="auto" w:sz="4" w:space="0"/>
              <w:right w:val="single" w:color="auto" w:sz="4" w:space="0"/>
            </w:tcBorders>
            <w:noWrap w:val="0"/>
            <w:vAlign w:val="center"/>
          </w:tcPr>
          <w:p w14:paraId="074F6BCC">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3</w:t>
            </w:r>
          </w:p>
        </w:tc>
        <w:tc>
          <w:tcPr>
            <w:tcW w:w="1418" w:type="dxa"/>
            <w:tcBorders>
              <w:top w:val="single" w:color="auto" w:sz="4" w:space="0"/>
              <w:left w:val="single" w:color="auto" w:sz="4" w:space="0"/>
              <w:bottom w:val="single" w:color="auto" w:sz="4" w:space="0"/>
              <w:right w:val="single" w:color="auto" w:sz="4" w:space="0"/>
            </w:tcBorders>
            <w:noWrap w:val="0"/>
            <w:vAlign w:val="center"/>
          </w:tcPr>
          <w:p w14:paraId="7F63FE7A">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rPr>
            </w:pPr>
          </w:p>
        </w:tc>
      </w:tr>
      <w:tr w14:paraId="53C2589D">
        <w:tblPrEx>
          <w:tblCellMar>
            <w:top w:w="0" w:type="dxa"/>
            <w:left w:w="108" w:type="dxa"/>
            <w:bottom w:w="0" w:type="dxa"/>
            <w:right w:w="108" w:type="dxa"/>
          </w:tblCellMar>
        </w:tblPrEx>
        <w:trPr>
          <w:jc w:val="center"/>
        </w:trPr>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6E6E0F3A">
            <w:pPr>
              <w:keepNext w:val="0"/>
              <w:keepLines w:val="0"/>
              <w:pageBreakBefore w:val="0"/>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rPr>
            </w:pPr>
          </w:p>
        </w:tc>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4E9E6B85">
            <w:pPr>
              <w:keepNext w:val="0"/>
              <w:keepLines w:val="0"/>
              <w:pageBreakBefore w:val="0"/>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rPr>
            </w:pPr>
          </w:p>
        </w:tc>
        <w:tc>
          <w:tcPr>
            <w:tcW w:w="1080" w:type="dxa"/>
            <w:vMerge w:val="restart"/>
            <w:tcBorders>
              <w:top w:val="single" w:color="auto" w:sz="4" w:space="0"/>
              <w:left w:val="single" w:color="auto" w:sz="4" w:space="0"/>
              <w:bottom w:val="single" w:color="auto" w:sz="4" w:space="0"/>
              <w:right w:val="single" w:color="auto" w:sz="4" w:space="0"/>
            </w:tcBorders>
            <w:noWrap w:val="0"/>
            <w:vAlign w:val="center"/>
          </w:tcPr>
          <w:p w14:paraId="0C6D2E42">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社会效</w:t>
            </w:r>
          </w:p>
          <w:p w14:paraId="27E9BE00">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益指标</w:t>
            </w:r>
          </w:p>
        </w:tc>
        <w:tc>
          <w:tcPr>
            <w:tcW w:w="1184" w:type="dxa"/>
            <w:tcBorders>
              <w:top w:val="single" w:color="auto" w:sz="4" w:space="0"/>
              <w:left w:val="single" w:color="auto" w:sz="4" w:space="0"/>
              <w:bottom w:val="single" w:color="auto" w:sz="4" w:space="0"/>
              <w:right w:val="single" w:color="auto" w:sz="4" w:space="0"/>
            </w:tcBorders>
            <w:noWrap w:val="0"/>
            <w:vAlign w:val="center"/>
          </w:tcPr>
          <w:p w14:paraId="5D4E46C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rPr>
              <w:t>服务市民，助力国家卫生城市、文明城市</w:t>
            </w:r>
            <w:r>
              <w:rPr>
                <w:rFonts w:hint="eastAsia" w:ascii="仿宋_GB2312" w:hAnsi="仿宋_GB2312" w:eastAsia="仿宋_GB2312" w:cs="仿宋_GB2312"/>
                <w:color w:val="000000"/>
                <w:sz w:val="20"/>
                <w:szCs w:val="20"/>
                <w:lang w:eastAsia="zh-CN"/>
              </w:rPr>
              <w:t>建设</w:t>
            </w:r>
          </w:p>
        </w:tc>
        <w:tc>
          <w:tcPr>
            <w:tcW w:w="1050" w:type="dxa"/>
            <w:tcBorders>
              <w:top w:val="single" w:color="auto" w:sz="4" w:space="0"/>
              <w:left w:val="single" w:color="auto" w:sz="4" w:space="0"/>
              <w:bottom w:val="single" w:color="auto" w:sz="4" w:space="0"/>
              <w:right w:val="single" w:color="auto" w:sz="4" w:space="0"/>
            </w:tcBorders>
            <w:noWrap w:val="0"/>
            <w:vAlign w:val="center"/>
          </w:tcPr>
          <w:p w14:paraId="5191C60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rPr>
              <w:t>服务市民，助力国家卫生城市、文明城市</w:t>
            </w:r>
            <w:r>
              <w:rPr>
                <w:rFonts w:hint="eastAsia" w:ascii="仿宋_GB2312" w:hAnsi="仿宋_GB2312" w:eastAsia="仿宋_GB2312" w:cs="仿宋_GB2312"/>
                <w:color w:val="000000"/>
                <w:sz w:val="20"/>
                <w:szCs w:val="20"/>
                <w:lang w:eastAsia="zh-CN"/>
              </w:rPr>
              <w:t>建设</w:t>
            </w:r>
          </w:p>
        </w:tc>
        <w:tc>
          <w:tcPr>
            <w:tcW w:w="1110" w:type="dxa"/>
            <w:tcBorders>
              <w:top w:val="single" w:color="auto" w:sz="4" w:space="0"/>
              <w:left w:val="single" w:color="auto" w:sz="4" w:space="0"/>
              <w:bottom w:val="single" w:color="auto" w:sz="4" w:space="0"/>
              <w:right w:val="single" w:color="auto" w:sz="4" w:space="0"/>
            </w:tcBorders>
            <w:noWrap w:val="0"/>
            <w:vAlign w:val="center"/>
          </w:tcPr>
          <w:p w14:paraId="32E80A8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lang w:eastAsia="zh-CN"/>
              </w:rPr>
              <w:t>为</w:t>
            </w:r>
            <w:r>
              <w:rPr>
                <w:rFonts w:hint="eastAsia" w:ascii="仿宋_GB2312" w:hAnsi="仿宋_GB2312" w:eastAsia="仿宋_GB2312" w:cs="仿宋_GB2312"/>
                <w:color w:val="000000"/>
                <w:sz w:val="20"/>
                <w:szCs w:val="20"/>
              </w:rPr>
              <w:t>国家卫生城市、文明城市</w:t>
            </w:r>
            <w:r>
              <w:rPr>
                <w:rFonts w:hint="eastAsia" w:ascii="仿宋_GB2312" w:hAnsi="仿宋_GB2312" w:eastAsia="仿宋_GB2312" w:cs="仿宋_GB2312"/>
                <w:color w:val="000000"/>
                <w:sz w:val="20"/>
                <w:szCs w:val="20"/>
                <w:lang w:eastAsia="zh-CN"/>
              </w:rPr>
              <w:t>建设奠定了基础</w:t>
            </w:r>
          </w:p>
        </w:tc>
        <w:tc>
          <w:tcPr>
            <w:tcW w:w="976" w:type="dxa"/>
            <w:tcBorders>
              <w:top w:val="single" w:color="auto" w:sz="4" w:space="0"/>
              <w:left w:val="single" w:color="auto" w:sz="4" w:space="0"/>
              <w:bottom w:val="single" w:color="auto" w:sz="4" w:space="0"/>
              <w:right w:val="single" w:color="auto" w:sz="4" w:space="0"/>
            </w:tcBorders>
            <w:noWrap w:val="0"/>
            <w:vAlign w:val="center"/>
          </w:tcPr>
          <w:p w14:paraId="77840EFF">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6</w:t>
            </w:r>
          </w:p>
        </w:tc>
        <w:tc>
          <w:tcPr>
            <w:tcW w:w="873" w:type="dxa"/>
            <w:tcBorders>
              <w:top w:val="single" w:color="auto" w:sz="4" w:space="0"/>
              <w:left w:val="single" w:color="auto" w:sz="4" w:space="0"/>
              <w:bottom w:val="single" w:color="auto" w:sz="4" w:space="0"/>
              <w:right w:val="single" w:color="auto" w:sz="4" w:space="0"/>
            </w:tcBorders>
            <w:noWrap w:val="0"/>
            <w:vAlign w:val="center"/>
          </w:tcPr>
          <w:p w14:paraId="545AE287">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6</w:t>
            </w:r>
          </w:p>
        </w:tc>
        <w:tc>
          <w:tcPr>
            <w:tcW w:w="1418" w:type="dxa"/>
            <w:tcBorders>
              <w:top w:val="single" w:color="auto" w:sz="4" w:space="0"/>
              <w:left w:val="single" w:color="auto" w:sz="4" w:space="0"/>
              <w:bottom w:val="single" w:color="auto" w:sz="4" w:space="0"/>
              <w:right w:val="single" w:color="auto" w:sz="4" w:space="0"/>
            </w:tcBorders>
            <w:noWrap w:val="0"/>
            <w:vAlign w:val="center"/>
          </w:tcPr>
          <w:p w14:paraId="7313685A">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4876D3F0">
        <w:tblPrEx>
          <w:tblCellMar>
            <w:top w:w="0" w:type="dxa"/>
            <w:left w:w="108" w:type="dxa"/>
            <w:bottom w:w="0" w:type="dxa"/>
            <w:right w:w="108" w:type="dxa"/>
          </w:tblCellMar>
        </w:tblPrEx>
        <w:trPr>
          <w:jc w:val="center"/>
        </w:trPr>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6F4E4237">
            <w:pPr>
              <w:keepNext w:val="0"/>
              <w:keepLines w:val="0"/>
              <w:pageBreakBefore w:val="0"/>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rPr>
            </w:pPr>
          </w:p>
        </w:tc>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0AA6C015">
            <w:pPr>
              <w:keepNext w:val="0"/>
              <w:keepLines w:val="0"/>
              <w:pageBreakBefore w:val="0"/>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rPr>
            </w:pPr>
          </w:p>
        </w:tc>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42BE7363">
            <w:pPr>
              <w:keepNext w:val="0"/>
              <w:keepLines w:val="0"/>
              <w:pageBreakBefore w:val="0"/>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0"/>
                <w:szCs w:val="20"/>
                <w:highlight w:val="none"/>
              </w:rPr>
            </w:pPr>
          </w:p>
        </w:tc>
        <w:tc>
          <w:tcPr>
            <w:tcW w:w="1184" w:type="dxa"/>
            <w:tcBorders>
              <w:top w:val="single" w:color="auto" w:sz="4" w:space="0"/>
              <w:left w:val="single" w:color="auto" w:sz="4" w:space="0"/>
              <w:bottom w:val="single" w:color="auto" w:sz="4" w:space="0"/>
              <w:right w:val="single" w:color="auto" w:sz="4" w:space="0"/>
            </w:tcBorders>
            <w:noWrap w:val="0"/>
            <w:vAlign w:val="center"/>
          </w:tcPr>
          <w:p w14:paraId="591574C4">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提供就业岗位</w:t>
            </w:r>
          </w:p>
        </w:tc>
        <w:tc>
          <w:tcPr>
            <w:tcW w:w="1050" w:type="dxa"/>
            <w:tcBorders>
              <w:top w:val="single" w:color="auto" w:sz="4" w:space="0"/>
              <w:left w:val="single" w:color="auto" w:sz="4" w:space="0"/>
              <w:bottom w:val="single" w:color="auto" w:sz="4" w:space="0"/>
              <w:right w:val="single" w:color="auto" w:sz="4" w:space="0"/>
            </w:tcBorders>
            <w:noWrap w:val="0"/>
            <w:vAlign w:val="center"/>
          </w:tcPr>
          <w:p w14:paraId="572EA497">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提供一定数量的就业岗位</w:t>
            </w:r>
          </w:p>
        </w:tc>
        <w:tc>
          <w:tcPr>
            <w:tcW w:w="1110" w:type="dxa"/>
            <w:tcBorders>
              <w:top w:val="single" w:color="auto" w:sz="4" w:space="0"/>
              <w:left w:val="single" w:color="auto" w:sz="4" w:space="0"/>
              <w:bottom w:val="single" w:color="auto" w:sz="4" w:space="0"/>
              <w:right w:val="single" w:color="auto" w:sz="4" w:space="0"/>
            </w:tcBorders>
            <w:noWrap w:val="0"/>
            <w:vAlign w:val="center"/>
          </w:tcPr>
          <w:p w14:paraId="0E4DFC60">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val="en-US" w:eastAsia="zh-CN"/>
              </w:rPr>
              <w:t>提供了一定数量的就业岗位</w:t>
            </w:r>
          </w:p>
        </w:tc>
        <w:tc>
          <w:tcPr>
            <w:tcW w:w="976" w:type="dxa"/>
            <w:tcBorders>
              <w:top w:val="single" w:color="auto" w:sz="4" w:space="0"/>
              <w:left w:val="single" w:color="auto" w:sz="4" w:space="0"/>
              <w:bottom w:val="single" w:color="auto" w:sz="4" w:space="0"/>
              <w:right w:val="single" w:color="auto" w:sz="4" w:space="0"/>
            </w:tcBorders>
            <w:noWrap w:val="0"/>
            <w:vAlign w:val="center"/>
          </w:tcPr>
          <w:p w14:paraId="68FCC426">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6</w:t>
            </w:r>
          </w:p>
        </w:tc>
        <w:tc>
          <w:tcPr>
            <w:tcW w:w="873" w:type="dxa"/>
            <w:tcBorders>
              <w:top w:val="single" w:color="auto" w:sz="4" w:space="0"/>
              <w:left w:val="single" w:color="auto" w:sz="4" w:space="0"/>
              <w:bottom w:val="single" w:color="auto" w:sz="4" w:space="0"/>
              <w:right w:val="single" w:color="auto" w:sz="4" w:space="0"/>
            </w:tcBorders>
            <w:noWrap w:val="0"/>
            <w:vAlign w:val="center"/>
          </w:tcPr>
          <w:p w14:paraId="28BFD606">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6</w:t>
            </w:r>
          </w:p>
        </w:tc>
        <w:tc>
          <w:tcPr>
            <w:tcW w:w="1418" w:type="dxa"/>
            <w:tcBorders>
              <w:top w:val="single" w:color="auto" w:sz="4" w:space="0"/>
              <w:left w:val="single" w:color="auto" w:sz="4" w:space="0"/>
              <w:bottom w:val="single" w:color="auto" w:sz="4" w:space="0"/>
              <w:right w:val="single" w:color="auto" w:sz="4" w:space="0"/>
            </w:tcBorders>
            <w:noWrap w:val="0"/>
            <w:vAlign w:val="center"/>
          </w:tcPr>
          <w:p w14:paraId="25F998D8">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022C8652">
        <w:tblPrEx>
          <w:tblCellMar>
            <w:top w:w="0" w:type="dxa"/>
            <w:left w:w="108" w:type="dxa"/>
            <w:bottom w:w="0" w:type="dxa"/>
            <w:right w:w="108" w:type="dxa"/>
          </w:tblCellMar>
        </w:tblPrEx>
        <w:trPr>
          <w:trHeight w:val="1315" w:hRule="atLeast"/>
          <w:jc w:val="center"/>
        </w:trPr>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4731F03C">
            <w:pPr>
              <w:keepNext w:val="0"/>
              <w:keepLines w:val="0"/>
              <w:pageBreakBefore w:val="0"/>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rPr>
            </w:pPr>
          </w:p>
        </w:tc>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74EDE03C">
            <w:pPr>
              <w:keepNext w:val="0"/>
              <w:keepLines w:val="0"/>
              <w:pageBreakBefore w:val="0"/>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rPr>
            </w:pPr>
          </w:p>
        </w:tc>
        <w:tc>
          <w:tcPr>
            <w:tcW w:w="1080" w:type="dxa"/>
            <w:tcBorders>
              <w:top w:val="single" w:color="auto" w:sz="4" w:space="0"/>
              <w:left w:val="single" w:color="auto" w:sz="4" w:space="0"/>
              <w:bottom w:val="single" w:color="auto" w:sz="4" w:space="0"/>
              <w:right w:val="single" w:color="auto" w:sz="4" w:space="0"/>
            </w:tcBorders>
            <w:noWrap w:val="0"/>
            <w:vAlign w:val="center"/>
          </w:tcPr>
          <w:p w14:paraId="1F38C4CC">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生态效</w:t>
            </w:r>
          </w:p>
          <w:p w14:paraId="3BB4DB4E">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益指标</w:t>
            </w:r>
          </w:p>
        </w:tc>
        <w:tc>
          <w:tcPr>
            <w:tcW w:w="1184" w:type="dxa"/>
            <w:tcBorders>
              <w:top w:val="single" w:color="auto" w:sz="4" w:space="0"/>
              <w:left w:val="single" w:color="auto" w:sz="4" w:space="0"/>
              <w:bottom w:val="single" w:color="auto" w:sz="4" w:space="0"/>
              <w:right w:val="single" w:color="auto" w:sz="4" w:space="0"/>
            </w:tcBorders>
            <w:noWrap w:val="0"/>
            <w:vAlign w:val="center"/>
          </w:tcPr>
          <w:p w14:paraId="2D9B6495">
            <w:pPr>
              <w:keepNext w:val="0"/>
              <w:keepLines w:val="0"/>
              <w:pageBreakBefore w:val="0"/>
              <w:widowControl/>
              <w:kinsoku/>
              <w:wordWrap/>
              <w:overflowPunct/>
              <w:topLinePunct w:val="0"/>
              <w:autoSpaceDE/>
              <w:bidi w:val="0"/>
              <w:adjustRightInd/>
              <w:snapToGrid/>
              <w:spacing w:line="300" w:lineRule="exact"/>
              <w:jc w:val="center"/>
              <w:rPr>
                <w:rFonts w:hint="eastAsia" w:ascii="仿宋_GB2312" w:hAnsi="仿宋_GB2312" w:eastAsia="仿宋_GB2312" w:cs="仿宋_GB2312"/>
                <w:color w:val="000000"/>
                <w:kern w:val="0"/>
                <w:sz w:val="20"/>
                <w:szCs w:val="20"/>
                <w:highlight w:val="none"/>
                <w:lang w:val="en-US" w:eastAsia="zh-CN" w:bidi="ar-SA"/>
              </w:rPr>
            </w:pPr>
            <w:r>
              <w:rPr>
                <w:rFonts w:hint="eastAsia" w:ascii="仿宋_GB2312" w:hAnsi="仿宋_GB2312" w:eastAsia="仿宋_GB2312" w:cs="仿宋_GB2312"/>
                <w:color w:val="000000"/>
                <w:sz w:val="20"/>
                <w:szCs w:val="20"/>
                <w:lang w:val="en-US" w:eastAsia="zh-CN"/>
              </w:rPr>
              <w:t>城区扬尘治理</w:t>
            </w:r>
          </w:p>
        </w:tc>
        <w:tc>
          <w:tcPr>
            <w:tcW w:w="1050" w:type="dxa"/>
            <w:tcBorders>
              <w:top w:val="single" w:color="auto" w:sz="4" w:space="0"/>
              <w:left w:val="single" w:color="auto" w:sz="4" w:space="0"/>
              <w:bottom w:val="single" w:color="auto" w:sz="4" w:space="0"/>
              <w:right w:val="single" w:color="auto" w:sz="4" w:space="0"/>
            </w:tcBorders>
            <w:noWrap w:val="0"/>
            <w:vAlign w:val="center"/>
          </w:tcPr>
          <w:p w14:paraId="75284BA2">
            <w:pPr>
              <w:keepNext w:val="0"/>
              <w:keepLines w:val="0"/>
              <w:pageBreakBefore w:val="0"/>
              <w:widowControl/>
              <w:kinsoku/>
              <w:wordWrap/>
              <w:overflowPunct/>
              <w:topLinePunct w:val="0"/>
              <w:autoSpaceDE/>
              <w:bidi w:val="0"/>
              <w:adjustRightInd/>
              <w:snapToGrid/>
              <w:spacing w:line="300" w:lineRule="exact"/>
              <w:jc w:val="left"/>
              <w:rPr>
                <w:rFonts w:hint="eastAsia" w:ascii="仿宋_GB2312" w:hAnsi="仿宋_GB2312" w:eastAsia="仿宋_GB2312" w:cs="仿宋_GB2312"/>
                <w:color w:val="000000"/>
                <w:kern w:val="0"/>
                <w:sz w:val="20"/>
                <w:szCs w:val="20"/>
                <w:highlight w:val="none"/>
                <w:lang w:val="en-US" w:eastAsia="zh-CN" w:bidi="ar-SA"/>
              </w:rPr>
            </w:pPr>
            <w:r>
              <w:rPr>
                <w:rFonts w:hint="eastAsia" w:ascii="仿宋_GB2312" w:hAnsi="仿宋_GB2312" w:eastAsia="仿宋_GB2312" w:cs="仿宋_GB2312"/>
                <w:sz w:val="20"/>
                <w:szCs w:val="20"/>
                <w:lang w:eastAsia="zh-CN"/>
              </w:rPr>
              <w:t>协助执法人员加强基建场地污染源整治</w:t>
            </w:r>
          </w:p>
        </w:tc>
        <w:tc>
          <w:tcPr>
            <w:tcW w:w="1110" w:type="dxa"/>
            <w:tcBorders>
              <w:top w:val="single" w:color="auto" w:sz="4" w:space="0"/>
              <w:left w:val="single" w:color="auto" w:sz="4" w:space="0"/>
              <w:bottom w:val="single" w:color="auto" w:sz="4" w:space="0"/>
              <w:right w:val="single" w:color="auto" w:sz="4" w:space="0"/>
            </w:tcBorders>
            <w:noWrap w:val="0"/>
            <w:vAlign w:val="center"/>
          </w:tcPr>
          <w:p w14:paraId="28DF1EC5">
            <w:pPr>
              <w:keepNext w:val="0"/>
              <w:keepLines w:val="0"/>
              <w:pageBreakBefore w:val="0"/>
              <w:widowControl w:val="0"/>
              <w:kinsoku/>
              <w:wordWrap/>
              <w:overflowPunct/>
              <w:topLinePunct w:val="0"/>
              <w:autoSpaceDE/>
              <w:autoSpaceDN w:val="0"/>
              <w:bidi w:val="0"/>
              <w:adjustRightInd/>
              <w:snapToGrid/>
              <w:spacing w:line="300" w:lineRule="exact"/>
              <w:jc w:val="left"/>
              <w:textAlignment w:val="center"/>
              <w:rPr>
                <w:rFonts w:hint="eastAsia" w:ascii="仿宋_GB2312" w:hAnsi="仿宋_GB2312" w:eastAsia="仿宋_GB2312" w:cs="仿宋_GB2312"/>
                <w:color w:val="000000"/>
                <w:kern w:val="0"/>
                <w:sz w:val="20"/>
                <w:szCs w:val="20"/>
                <w:highlight w:val="none"/>
                <w:lang w:val="en-US" w:eastAsia="zh-CN" w:bidi="ar-SA"/>
              </w:rPr>
            </w:pPr>
            <w:r>
              <w:rPr>
                <w:rFonts w:hint="eastAsia" w:ascii="仿宋_GB2312" w:hAnsi="仿宋_GB2312" w:eastAsia="仿宋_GB2312" w:cs="仿宋_GB2312"/>
                <w:sz w:val="20"/>
                <w:szCs w:val="20"/>
              </w:rPr>
              <w:t>严格管控</w:t>
            </w:r>
            <w:r>
              <w:rPr>
                <w:rFonts w:hint="eastAsia" w:ascii="仿宋_GB2312" w:hAnsi="仿宋_GB2312" w:eastAsia="仿宋_GB2312" w:cs="仿宋_GB2312"/>
                <w:sz w:val="20"/>
                <w:szCs w:val="20"/>
                <w:lang w:eastAsia="zh-CN"/>
              </w:rPr>
              <w:t>了</w:t>
            </w:r>
            <w:r>
              <w:rPr>
                <w:rFonts w:hint="eastAsia" w:ascii="仿宋_GB2312" w:hAnsi="仿宋_GB2312" w:eastAsia="仿宋_GB2312" w:cs="仿宋_GB2312"/>
                <w:sz w:val="20"/>
                <w:szCs w:val="20"/>
              </w:rPr>
              <w:t>污染源</w:t>
            </w:r>
            <w:r>
              <w:rPr>
                <w:rFonts w:hint="eastAsia" w:ascii="仿宋_GB2312" w:hAnsi="仿宋_GB2312" w:eastAsia="仿宋_GB2312" w:cs="仿宋_GB2312"/>
                <w:sz w:val="20"/>
                <w:szCs w:val="20"/>
                <w:lang w:eastAsia="zh-CN"/>
              </w:rPr>
              <w:t>，</w:t>
            </w:r>
            <w:r>
              <w:rPr>
                <w:rFonts w:hint="eastAsia" w:ascii="仿宋_GB2312" w:hAnsi="仿宋_GB2312" w:eastAsia="仿宋_GB2312" w:cs="仿宋_GB2312"/>
                <w:sz w:val="20"/>
                <w:szCs w:val="20"/>
                <w:lang w:val="en-US" w:eastAsia="zh-CN"/>
              </w:rPr>
              <w:t>减少了城市污染源。</w:t>
            </w:r>
          </w:p>
        </w:tc>
        <w:tc>
          <w:tcPr>
            <w:tcW w:w="976" w:type="dxa"/>
            <w:tcBorders>
              <w:top w:val="single" w:color="auto" w:sz="4" w:space="0"/>
              <w:left w:val="single" w:color="auto" w:sz="4" w:space="0"/>
              <w:bottom w:val="single" w:color="auto" w:sz="4" w:space="0"/>
              <w:right w:val="single" w:color="auto" w:sz="4" w:space="0"/>
            </w:tcBorders>
            <w:noWrap w:val="0"/>
            <w:vAlign w:val="center"/>
          </w:tcPr>
          <w:p w14:paraId="03276507">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6</w:t>
            </w:r>
          </w:p>
        </w:tc>
        <w:tc>
          <w:tcPr>
            <w:tcW w:w="873" w:type="dxa"/>
            <w:tcBorders>
              <w:top w:val="single" w:color="auto" w:sz="4" w:space="0"/>
              <w:left w:val="single" w:color="auto" w:sz="4" w:space="0"/>
              <w:bottom w:val="single" w:color="auto" w:sz="4" w:space="0"/>
              <w:right w:val="single" w:color="auto" w:sz="4" w:space="0"/>
            </w:tcBorders>
            <w:noWrap w:val="0"/>
            <w:vAlign w:val="center"/>
          </w:tcPr>
          <w:p w14:paraId="36CF7D60">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5</w:t>
            </w:r>
          </w:p>
        </w:tc>
        <w:tc>
          <w:tcPr>
            <w:tcW w:w="1418" w:type="dxa"/>
            <w:tcBorders>
              <w:top w:val="single" w:color="auto" w:sz="4" w:space="0"/>
              <w:left w:val="single" w:color="auto" w:sz="4" w:space="0"/>
              <w:bottom w:val="single" w:color="auto" w:sz="4" w:space="0"/>
              <w:right w:val="single" w:color="auto" w:sz="4" w:space="0"/>
            </w:tcBorders>
            <w:noWrap w:val="0"/>
            <w:vAlign w:val="center"/>
          </w:tcPr>
          <w:p w14:paraId="7DEB4C95">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lang w:val="en-US" w:eastAsia="zh-CN"/>
              </w:rPr>
              <w:t>部分</w:t>
            </w:r>
            <w:r>
              <w:rPr>
                <w:rFonts w:hint="eastAsia" w:ascii="仿宋_GB2312" w:hAnsi="仿宋_GB2312" w:eastAsia="仿宋_GB2312" w:cs="仿宋_GB2312"/>
                <w:sz w:val="20"/>
                <w:szCs w:val="20"/>
                <w:lang w:eastAsia="zh-CN"/>
              </w:rPr>
              <w:t>基建场地</w:t>
            </w:r>
            <w:r>
              <w:rPr>
                <w:rFonts w:hint="eastAsia" w:ascii="仿宋_GB2312" w:hAnsi="仿宋_GB2312" w:eastAsia="仿宋_GB2312" w:cs="仿宋_GB2312"/>
                <w:color w:val="000000"/>
                <w:sz w:val="20"/>
                <w:szCs w:val="20"/>
                <w:lang w:val="en-US" w:eastAsia="zh-CN"/>
              </w:rPr>
              <w:t>扬尘治理有待加强监管，下一步加强巡查，切实管控好污染源。</w:t>
            </w:r>
          </w:p>
        </w:tc>
      </w:tr>
      <w:tr w14:paraId="19144CC4">
        <w:tblPrEx>
          <w:tblCellMar>
            <w:top w:w="0" w:type="dxa"/>
            <w:left w:w="108" w:type="dxa"/>
            <w:bottom w:w="0" w:type="dxa"/>
            <w:right w:w="108" w:type="dxa"/>
          </w:tblCellMar>
        </w:tblPrEx>
        <w:trPr>
          <w:jc w:val="center"/>
        </w:trPr>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03185F23">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0"/>
                <w:szCs w:val="20"/>
                <w:highlight w:val="none"/>
              </w:rPr>
            </w:pPr>
          </w:p>
        </w:tc>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4A6B9572">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rPr>
            </w:pPr>
          </w:p>
        </w:tc>
        <w:tc>
          <w:tcPr>
            <w:tcW w:w="1080" w:type="dxa"/>
            <w:tcBorders>
              <w:top w:val="single" w:color="auto" w:sz="4" w:space="0"/>
              <w:left w:val="single" w:color="auto" w:sz="4" w:space="0"/>
              <w:bottom w:val="single" w:color="auto" w:sz="4" w:space="0"/>
              <w:right w:val="single" w:color="auto" w:sz="4" w:space="0"/>
            </w:tcBorders>
            <w:noWrap w:val="0"/>
            <w:vAlign w:val="center"/>
          </w:tcPr>
          <w:p w14:paraId="071E3AAC">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可持续影响指标</w:t>
            </w:r>
          </w:p>
        </w:tc>
        <w:tc>
          <w:tcPr>
            <w:tcW w:w="1184" w:type="dxa"/>
            <w:tcBorders>
              <w:top w:val="single" w:color="auto" w:sz="4" w:space="0"/>
              <w:left w:val="single" w:color="auto" w:sz="4" w:space="0"/>
              <w:bottom w:val="single" w:color="auto" w:sz="4" w:space="0"/>
              <w:right w:val="single" w:color="auto" w:sz="4" w:space="0"/>
            </w:tcBorders>
            <w:noWrap w:val="0"/>
            <w:vAlign w:val="center"/>
          </w:tcPr>
          <w:p w14:paraId="6725B948">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lang w:eastAsia="zh-CN"/>
              </w:rPr>
              <w:t>辅助城管执法，助力省域副中心城市建设</w:t>
            </w:r>
          </w:p>
        </w:tc>
        <w:tc>
          <w:tcPr>
            <w:tcW w:w="1050" w:type="dxa"/>
            <w:tcBorders>
              <w:top w:val="single" w:color="auto" w:sz="4" w:space="0"/>
              <w:left w:val="single" w:color="auto" w:sz="4" w:space="0"/>
              <w:bottom w:val="single" w:color="auto" w:sz="4" w:space="0"/>
              <w:right w:val="single" w:color="auto" w:sz="4" w:space="0"/>
            </w:tcBorders>
            <w:noWrap w:val="0"/>
            <w:vAlign w:val="center"/>
          </w:tcPr>
          <w:p w14:paraId="35946922">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lang w:eastAsia="zh-CN"/>
              </w:rPr>
              <w:t>加强城管执法队伍建设</w:t>
            </w:r>
          </w:p>
        </w:tc>
        <w:tc>
          <w:tcPr>
            <w:tcW w:w="1110" w:type="dxa"/>
            <w:tcBorders>
              <w:top w:val="single" w:color="auto" w:sz="4" w:space="0"/>
              <w:left w:val="single" w:color="auto" w:sz="4" w:space="0"/>
              <w:bottom w:val="single" w:color="auto" w:sz="4" w:space="0"/>
              <w:right w:val="single" w:color="auto" w:sz="4" w:space="0"/>
            </w:tcBorders>
            <w:noWrap w:val="0"/>
            <w:vAlign w:val="center"/>
          </w:tcPr>
          <w:p w14:paraId="1F039674">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lang w:eastAsia="zh-CN"/>
              </w:rPr>
              <w:t>补充了执法队伍人员，加强了执法力度建设。</w:t>
            </w:r>
          </w:p>
        </w:tc>
        <w:tc>
          <w:tcPr>
            <w:tcW w:w="976" w:type="dxa"/>
            <w:tcBorders>
              <w:top w:val="single" w:color="auto" w:sz="4" w:space="0"/>
              <w:left w:val="single" w:color="auto" w:sz="4" w:space="0"/>
              <w:bottom w:val="single" w:color="auto" w:sz="4" w:space="0"/>
              <w:right w:val="single" w:color="auto" w:sz="4" w:space="0"/>
            </w:tcBorders>
            <w:noWrap w:val="0"/>
            <w:vAlign w:val="center"/>
          </w:tcPr>
          <w:p w14:paraId="52DFA8BA">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6</w:t>
            </w:r>
          </w:p>
        </w:tc>
        <w:tc>
          <w:tcPr>
            <w:tcW w:w="873" w:type="dxa"/>
            <w:tcBorders>
              <w:top w:val="single" w:color="auto" w:sz="4" w:space="0"/>
              <w:left w:val="single" w:color="auto" w:sz="4" w:space="0"/>
              <w:bottom w:val="single" w:color="auto" w:sz="4" w:space="0"/>
              <w:right w:val="single" w:color="auto" w:sz="4" w:space="0"/>
            </w:tcBorders>
            <w:noWrap w:val="0"/>
            <w:vAlign w:val="center"/>
          </w:tcPr>
          <w:p w14:paraId="101BD6E7">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6</w:t>
            </w:r>
          </w:p>
        </w:tc>
        <w:tc>
          <w:tcPr>
            <w:tcW w:w="1418" w:type="dxa"/>
            <w:tcBorders>
              <w:top w:val="single" w:color="auto" w:sz="4" w:space="0"/>
              <w:left w:val="single" w:color="auto" w:sz="4" w:space="0"/>
              <w:bottom w:val="single" w:color="auto" w:sz="4" w:space="0"/>
              <w:right w:val="single" w:color="auto" w:sz="4" w:space="0"/>
            </w:tcBorders>
            <w:noWrap w:val="0"/>
            <w:vAlign w:val="center"/>
          </w:tcPr>
          <w:p w14:paraId="4AC6C070">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7C6B1722">
        <w:tblPrEx>
          <w:tblCellMar>
            <w:top w:w="0" w:type="dxa"/>
            <w:left w:w="108" w:type="dxa"/>
            <w:bottom w:w="0" w:type="dxa"/>
            <w:right w:w="108" w:type="dxa"/>
          </w:tblCellMar>
        </w:tblPrEx>
        <w:trPr>
          <w:jc w:val="center"/>
        </w:trPr>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2D416566">
            <w:pPr>
              <w:keepNext w:val="0"/>
              <w:keepLines w:val="0"/>
              <w:pageBreakBefore w:val="0"/>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rPr>
            </w:pPr>
          </w:p>
        </w:tc>
        <w:tc>
          <w:tcPr>
            <w:tcW w:w="1080" w:type="dxa"/>
            <w:tcBorders>
              <w:top w:val="single" w:color="auto" w:sz="4" w:space="0"/>
              <w:left w:val="single" w:color="auto" w:sz="4" w:space="0"/>
              <w:bottom w:val="single" w:color="auto" w:sz="4" w:space="0"/>
              <w:right w:val="single" w:color="auto" w:sz="4" w:space="0"/>
            </w:tcBorders>
            <w:noWrap w:val="0"/>
            <w:vAlign w:val="center"/>
          </w:tcPr>
          <w:p w14:paraId="5CFAA362">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满意度</w:t>
            </w:r>
          </w:p>
          <w:p w14:paraId="307EC2C1">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指标</w:t>
            </w:r>
          </w:p>
          <w:p w14:paraId="7E9A5440">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（10分）</w:t>
            </w:r>
          </w:p>
        </w:tc>
        <w:tc>
          <w:tcPr>
            <w:tcW w:w="1080" w:type="dxa"/>
            <w:tcBorders>
              <w:top w:val="single" w:color="auto" w:sz="4" w:space="0"/>
              <w:left w:val="single" w:color="auto" w:sz="4" w:space="0"/>
              <w:bottom w:val="single" w:color="auto" w:sz="4" w:space="0"/>
              <w:right w:val="single" w:color="auto" w:sz="4" w:space="0"/>
            </w:tcBorders>
            <w:noWrap w:val="0"/>
            <w:vAlign w:val="center"/>
          </w:tcPr>
          <w:p w14:paraId="558BE3FD">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服务对象满意度指标</w:t>
            </w:r>
          </w:p>
        </w:tc>
        <w:tc>
          <w:tcPr>
            <w:tcW w:w="1184" w:type="dxa"/>
            <w:tcBorders>
              <w:top w:val="single" w:color="auto" w:sz="4" w:space="0"/>
              <w:left w:val="single" w:color="auto" w:sz="4" w:space="0"/>
              <w:bottom w:val="single" w:color="auto" w:sz="4" w:space="0"/>
              <w:right w:val="single" w:color="auto" w:sz="4" w:space="0"/>
            </w:tcBorders>
            <w:noWrap w:val="0"/>
            <w:vAlign w:val="center"/>
          </w:tcPr>
          <w:p w14:paraId="224381EE">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服务对象满意度</w:t>
            </w:r>
          </w:p>
        </w:tc>
        <w:tc>
          <w:tcPr>
            <w:tcW w:w="1050" w:type="dxa"/>
            <w:tcBorders>
              <w:top w:val="single" w:color="auto" w:sz="4" w:space="0"/>
              <w:left w:val="single" w:color="auto" w:sz="4" w:space="0"/>
              <w:bottom w:val="single" w:color="auto" w:sz="4" w:space="0"/>
              <w:right w:val="single" w:color="auto" w:sz="4" w:space="0"/>
            </w:tcBorders>
            <w:noWrap w:val="0"/>
            <w:vAlign w:val="center"/>
          </w:tcPr>
          <w:p w14:paraId="129E8473">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≥95</w:t>
            </w:r>
            <w:r>
              <w:rPr>
                <w:rFonts w:hint="eastAsia" w:ascii="仿宋_GB2312" w:hAnsi="仿宋_GB2312" w:eastAsia="仿宋_GB2312" w:cs="仿宋_GB2312"/>
                <w:color w:val="000000"/>
                <w:sz w:val="20"/>
                <w:szCs w:val="20"/>
                <w:highlight w:val="none"/>
                <w:lang w:val="en-US" w:eastAsia="zh-CN"/>
              </w:rPr>
              <w:t>%</w:t>
            </w:r>
          </w:p>
        </w:tc>
        <w:tc>
          <w:tcPr>
            <w:tcW w:w="1110" w:type="dxa"/>
            <w:tcBorders>
              <w:top w:val="single" w:color="auto" w:sz="4" w:space="0"/>
              <w:left w:val="single" w:color="auto" w:sz="4" w:space="0"/>
              <w:bottom w:val="single" w:color="auto" w:sz="4" w:space="0"/>
              <w:right w:val="single" w:color="auto" w:sz="4" w:space="0"/>
            </w:tcBorders>
            <w:noWrap w:val="0"/>
            <w:vAlign w:val="center"/>
          </w:tcPr>
          <w:p w14:paraId="513E412F">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97%</w:t>
            </w:r>
          </w:p>
        </w:tc>
        <w:tc>
          <w:tcPr>
            <w:tcW w:w="976" w:type="dxa"/>
            <w:tcBorders>
              <w:top w:val="single" w:color="auto" w:sz="4" w:space="0"/>
              <w:left w:val="single" w:color="auto" w:sz="4" w:space="0"/>
              <w:bottom w:val="single" w:color="auto" w:sz="4" w:space="0"/>
              <w:right w:val="single" w:color="auto" w:sz="4" w:space="0"/>
            </w:tcBorders>
            <w:noWrap w:val="0"/>
            <w:vAlign w:val="center"/>
          </w:tcPr>
          <w:p w14:paraId="3AEAB20C">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10</w:t>
            </w:r>
          </w:p>
        </w:tc>
        <w:tc>
          <w:tcPr>
            <w:tcW w:w="873" w:type="dxa"/>
            <w:tcBorders>
              <w:top w:val="single" w:color="auto" w:sz="4" w:space="0"/>
              <w:left w:val="single" w:color="auto" w:sz="4" w:space="0"/>
              <w:bottom w:val="single" w:color="auto" w:sz="4" w:space="0"/>
              <w:right w:val="single" w:color="auto" w:sz="4" w:space="0"/>
            </w:tcBorders>
            <w:noWrap w:val="0"/>
            <w:vAlign w:val="center"/>
          </w:tcPr>
          <w:p w14:paraId="74FC45AB">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10</w:t>
            </w:r>
          </w:p>
        </w:tc>
        <w:tc>
          <w:tcPr>
            <w:tcW w:w="1418" w:type="dxa"/>
            <w:tcBorders>
              <w:top w:val="single" w:color="auto" w:sz="4" w:space="0"/>
              <w:left w:val="single" w:color="auto" w:sz="4" w:space="0"/>
              <w:bottom w:val="single" w:color="auto" w:sz="4" w:space="0"/>
              <w:right w:val="single" w:color="auto" w:sz="4" w:space="0"/>
            </w:tcBorders>
            <w:noWrap w:val="0"/>
            <w:vAlign w:val="center"/>
          </w:tcPr>
          <w:p w14:paraId="4E1D9260">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5F97BE0B">
        <w:tblPrEx>
          <w:tblCellMar>
            <w:top w:w="0" w:type="dxa"/>
            <w:left w:w="108" w:type="dxa"/>
            <w:bottom w:w="0" w:type="dxa"/>
            <w:right w:w="108" w:type="dxa"/>
          </w:tblCellMar>
        </w:tblPrEx>
        <w:trPr>
          <w:trHeight w:val="465" w:hRule="atLeast"/>
          <w:jc w:val="center"/>
        </w:trPr>
        <w:tc>
          <w:tcPr>
            <w:tcW w:w="6584" w:type="dxa"/>
            <w:gridSpan w:val="6"/>
            <w:tcBorders>
              <w:top w:val="single" w:color="auto" w:sz="4" w:space="0"/>
              <w:left w:val="single" w:color="auto" w:sz="4" w:space="0"/>
              <w:bottom w:val="single" w:color="auto" w:sz="4" w:space="0"/>
              <w:right w:val="single" w:color="auto" w:sz="4" w:space="0"/>
            </w:tcBorders>
            <w:noWrap w:val="0"/>
            <w:vAlign w:val="center"/>
          </w:tcPr>
          <w:p w14:paraId="24F8BE8D">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总分</w:t>
            </w:r>
          </w:p>
        </w:tc>
        <w:tc>
          <w:tcPr>
            <w:tcW w:w="976" w:type="dxa"/>
            <w:tcBorders>
              <w:top w:val="single" w:color="auto" w:sz="4" w:space="0"/>
              <w:left w:val="single" w:color="auto" w:sz="4" w:space="0"/>
              <w:bottom w:val="single" w:color="auto" w:sz="4" w:space="0"/>
              <w:right w:val="single" w:color="auto" w:sz="4" w:space="0"/>
            </w:tcBorders>
            <w:noWrap w:val="0"/>
            <w:vAlign w:val="center"/>
          </w:tcPr>
          <w:p w14:paraId="48927B38">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100</w:t>
            </w:r>
          </w:p>
        </w:tc>
        <w:tc>
          <w:tcPr>
            <w:tcW w:w="873" w:type="dxa"/>
            <w:tcBorders>
              <w:top w:val="single" w:color="auto" w:sz="4" w:space="0"/>
              <w:left w:val="single" w:color="auto" w:sz="4" w:space="0"/>
              <w:bottom w:val="single" w:color="auto" w:sz="4" w:space="0"/>
              <w:right w:val="single" w:color="auto" w:sz="4" w:space="0"/>
            </w:tcBorders>
            <w:noWrap w:val="0"/>
            <w:vAlign w:val="center"/>
          </w:tcPr>
          <w:p w14:paraId="094C8613">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98</w:t>
            </w:r>
          </w:p>
        </w:tc>
        <w:tc>
          <w:tcPr>
            <w:tcW w:w="1418" w:type="dxa"/>
            <w:tcBorders>
              <w:top w:val="single" w:color="auto" w:sz="4" w:space="0"/>
              <w:left w:val="single" w:color="auto" w:sz="4" w:space="0"/>
              <w:bottom w:val="single" w:color="auto" w:sz="4" w:space="0"/>
              <w:right w:val="single" w:color="auto" w:sz="4" w:space="0"/>
            </w:tcBorders>
            <w:noWrap w:val="0"/>
            <w:vAlign w:val="center"/>
          </w:tcPr>
          <w:p w14:paraId="002F3807">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bl>
    <w:p w14:paraId="351119D9">
      <w:pPr>
        <w:widowControl/>
        <w:spacing w:line="600" w:lineRule="exact"/>
        <w:jc w:val="left"/>
        <w:rPr>
          <w:rFonts w:hint="default" w:ascii="CESI仿宋-GB2312" w:hAnsi="CESI仿宋-GB2312" w:eastAsia="CESI仿宋-GB2312" w:cs="CESI仿宋-GB2312"/>
          <w:color w:val="auto"/>
          <w:sz w:val="22"/>
          <w:szCs w:val="22"/>
          <w:highlight w:val="none"/>
          <w:lang w:val="en-US" w:eastAsia="zh-CN"/>
        </w:rPr>
      </w:pPr>
      <w:r>
        <w:rPr>
          <w:rFonts w:hint="eastAsia" w:ascii="CESI仿宋-GB2312" w:hAnsi="CESI仿宋-GB2312" w:eastAsia="CESI仿宋-GB2312" w:cs="CESI仿宋-GB2312"/>
          <w:color w:val="auto"/>
          <w:sz w:val="22"/>
          <w:szCs w:val="22"/>
        </w:rPr>
        <w:t>填表人：</w:t>
      </w:r>
      <w:r>
        <w:rPr>
          <w:rFonts w:hint="eastAsia" w:ascii="CESI仿宋-GB2312" w:hAnsi="CESI仿宋-GB2312" w:eastAsia="CESI仿宋-GB2312" w:cs="CESI仿宋-GB2312"/>
          <w:color w:val="auto"/>
          <w:sz w:val="22"/>
          <w:szCs w:val="22"/>
          <w:lang w:eastAsia="zh-CN"/>
        </w:rPr>
        <w:t>徐建</w:t>
      </w:r>
      <w:r>
        <w:rPr>
          <w:rFonts w:hint="eastAsia" w:ascii="CESI仿宋-GB2312" w:hAnsi="CESI仿宋-GB2312" w:eastAsia="CESI仿宋-GB2312" w:cs="CESI仿宋-GB2312"/>
          <w:color w:val="auto"/>
          <w:sz w:val="22"/>
          <w:szCs w:val="22"/>
          <w:lang w:val="en-US" w:eastAsia="zh-CN"/>
        </w:rPr>
        <w:t xml:space="preserve">  </w:t>
      </w:r>
      <w:r>
        <w:rPr>
          <w:rFonts w:hint="eastAsia" w:ascii="CESI仿宋-GB2312" w:hAnsi="CESI仿宋-GB2312" w:eastAsia="CESI仿宋-GB2312" w:cs="CESI仿宋-GB2312"/>
          <w:color w:val="auto"/>
          <w:sz w:val="22"/>
          <w:szCs w:val="22"/>
        </w:rPr>
        <w:t>填报日期：</w:t>
      </w:r>
      <w:r>
        <w:rPr>
          <w:rFonts w:hint="eastAsia" w:ascii="CESI仿宋-GB2312" w:hAnsi="CESI仿宋-GB2312" w:eastAsia="CESI仿宋-GB2312" w:cs="CESI仿宋-GB2312"/>
          <w:color w:val="auto"/>
          <w:sz w:val="22"/>
          <w:szCs w:val="22"/>
          <w:lang w:val="en-US" w:eastAsia="zh-CN"/>
        </w:rPr>
        <w:t>2026.6.15</w:t>
      </w:r>
      <w:r>
        <w:rPr>
          <w:rFonts w:hint="eastAsia" w:ascii="CESI仿宋-GB2312" w:hAnsi="CESI仿宋-GB2312" w:eastAsia="CESI仿宋-GB2312" w:cs="CESI仿宋-GB2312"/>
          <w:color w:val="auto"/>
          <w:sz w:val="22"/>
          <w:szCs w:val="22"/>
        </w:rPr>
        <w:t xml:space="preserve">  联系电话：</w:t>
      </w:r>
      <w:r>
        <w:rPr>
          <w:rFonts w:hint="eastAsia" w:ascii="CESI仿宋-GB2312" w:hAnsi="CESI仿宋-GB2312" w:eastAsia="CESI仿宋-GB2312" w:cs="CESI仿宋-GB2312"/>
          <w:color w:val="auto"/>
          <w:sz w:val="22"/>
          <w:szCs w:val="22"/>
          <w:lang w:val="en-US" w:eastAsia="zh-CN"/>
        </w:rPr>
        <w:t>0730-8227298</w:t>
      </w:r>
      <w:r>
        <w:rPr>
          <w:rFonts w:hint="eastAsia" w:ascii="CESI仿宋-GB2312" w:hAnsi="CESI仿宋-GB2312" w:eastAsia="CESI仿宋-GB2312" w:cs="CESI仿宋-GB2312"/>
          <w:color w:val="auto"/>
          <w:sz w:val="22"/>
          <w:szCs w:val="22"/>
        </w:rPr>
        <w:t xml:space="preserve"> 单位负责人：</w:t>
      </w:r>
      <w:r>
        <w:rPr>
          <w:rFonts w:hint="eastAsia" w:ascii="CESI仿宋-GB2312" w:hAnsi="CESI仿宋-GB2312" w:eastAsia="CESI仿宋-GB2312" w:cs="CESI仿宋-GB2312"/>
          <w:color w:val="auto"/>
          <w:sz w:val="22"/>
          <w:szCs w:val="22"/>
          <w:lang w:eastAsia="zh-CN"/>
        </w:rPr>
        <w:t>郭沫农</w:t>
      </w:r>
    </w:p>
    <w:p w14:paraId="14A37809">
      <w:pPr>
        <w:keepNext w:val="0"/>
        <w:keepLines w:val="0"/>
        <w:pageBreakBefore w:val="0"/>
        <w:widowControl w:val="0"/>
        <w:kinsoku/>
        <w:wordWrap/>
        <w:overflowPunct/>
        <w:topLinePunct w:val="0"/>
        <w:autoSpaceDE/>
        <w:autoSpaceDN/>
        <w:bidi w:val="0"/>
        <w:adjustRightInd/>
        <w:snapToGrid/>
        <w:spacing w:afterLines="0" w:line="360" w:lineRule="auto"/>
        <w:jc w:val="both"/>
        <w:textAlignment w:val="auto"/>
        <w:rPr>
          <w:rFonts w:hint="eastAsia" w:ascii="黑体" w:hAnsi="黑体" w:eastAsia="黑体" w:cs="黑体"/>
          <w:sz w:val="32"/>
          <w:szCs w:val="32"/>
          <w:highlight w:val="none"/>
          <w:lang w:eastAsia="zh-CN"/>
        </w:rPr>
      </w:pPr>
    </w:p>
    <w:p w14:paraId="154DE979">
      <w:pPr>
        <w:widowControl/>
        <w:spacing w:line="600" w:lineRule="exact"/>
        <w:jc w:val="left"/>
        <w:rPr>
          <w:rFonts w:hint="eastAsia" w:ascii="黑体" w:hAnsi="黑体" w:eastAsia="黑体" w:cs="黑体"/>
          <w:sz w:val="32"/>
          <w:szCs w:val="32"/>
          <w:highlight w:val="none"/>
        </w:rPr>
      </w:pPr>
    </w:p>
    <w:p w14:paraId="7060B5D7">
      <w:pPr>
        <w:widowControl/>
        <w:spacing w:line="600" w:lineRule="exact"/>
        <w:jc w:val="left"/>
        <w:rPr>
          <w:rFonts w:hint="eastAsia" w:ascii="黑体" w:hAnsi="黑体" w:eastAsia="黑体" w:cs="黑体"/>
          <w:sz w:val="32"/>
          <w:szCs w:val="32"/>
          <w:highlight w:val="none"/>
        </w:rPr>
      </w:pPr>
    </w:p>
    <w:p w14:paraId="7FE8BC92">
      <w:pPr>
        <w:widowControl/>
        <w:spacing w:line="600" w:lineRule="exact"/>
        <w:jc w:val="left"/>
        <w:rPr>
          <w:rFonts w:hint="default" w:ascii="Times New Roman" w:hAnsi="Times New Roman" w:eastAsia="黑体" w:cs="Times New Roman"/>
          <w:sz w:val="32"/>
          <w:szCs w:val="32"/>
          <w:highlight w:val="none"/>
          <w:lang w:val="en-US" w:eastAsia="zh-CN"/>
        </w:rPr>
      </w:pPr>
      <w:r>
        <w:rPr>
          <w:rFonts w:hint="eastAsia" w:ascii="黑体" w:hAnsi="黑体" w:eastAsia="黑体" w:cs="黑体"/>
          <w:sz w:val="32"/>
          <w:szCs w:val="32"/>
          <w:highlight w:val="none"/>
        </w:rPr>
        <w:t>附件</w:t>
      </w:r>
      <w:r>
        <w:rPr>
          <w:rFonts w:hint="eastAsia" w:ascii="黑体" w:hAnsi="黑体" w:eastAsia="黑体" w:cs="黑体"/>
          <w:sz w:val="32"/>
          <w:szCs w:val="32"/>
          <w:highlight w:val="none"/>
          <w:lang w:val="en-US" w:eastAsia="zh-CN"/>
        </w:rPr>
        <w:t>4</w:t>
      </w:r>
    </w:p>
    <w:p w14:paraId="37577461">
      <w:pPr>
        <w:jc w:val="left"/>
        <w:rPr>
          <w:rFonts w:hint="default" w:ascii="方正小标宋简体" w:hAnsi="方正小标宋简体" w:eastAsia="方正小标宋简体" w:cs="方正小标宋简体"/>
          <w:sz w:val="44"/>
          <w:szCs w:val="44"/>
          <w:lang w:val="en-US" w:eastAsia="zh-CN"/>
        </w:rPr>
      </w:pPr>
    </w:p>
    <w:p w14:paraId="7D68FF3F">
      <w:pPr>
        <w:jc w:val="center"/>
        <w:rPr>
          <w:rFonts w:hint="eastAsia" w:ascii="方正小标宋简体" w:hAnsi="方正小标宋简体" w:eastAsia="方正小标宋简体" w:cs="方正小标宋简体"/>
          <w:sz w:val="44"/>
          <w:szCs w:val="44"/>
        </w:rPr>
      </w:pPr>
    </w:p>
    <w:p w14:paraId="6EF6B9A1">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Theme="majorEastAsia" w:hAnsiTheme="majorEastAsia" w:eastAsiaTheme="majorEastAsia" w:cstheme="majorEastAsia"/>
          <w:b/>
          <w:bCs/>
          <w:sz w:val="44"/>
          <w:szCs w:val="44"/>
        </w:rPr>
      </w:pPr>
    </w:p>
    <w:p w14:paraId="260D621B">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Theme="majorEastAsia" w:hAnsiTheme="majorEastAsia" w:eastAsiaTheme="majorEastAsia" w:cstheme="majorEastAsia"/>
          <w:b/>
          <w:bCs/>
          <w:sz w:val="44"/>
          <w:szCs w:val="44"/>
        </w:rPr>
      </w:pPr>
      <w:r>
        <w:rPr>
          <w:rFonts w:hint="eastAsia" w:asciiTheme="majorEastAsia" w:hAnsiTheme="majorEastAsia" w:eastAsiaTheme="majorEastAsia" w:cstheme="majorEastAsia"/>
          <w:b/>
          <w:bCs/>
          <w:sz w:val="44"/>
          <w:szCs w:val="44"/>
        </w:rPr>
        <w:t>202</w:t>
      </w:r>
      <w:r>
        <w:rPr>
          <w:rFonts w:hint="eastAsia" w:asciiTheme="majorEastAsia" w:hAnsiTheme="majorEastAsia" w:eastAsiaTheme="majorEastAsia" w:cstheme="majorEastAsia"/>
          <w:b/>
          <w:bCs/>
          <w:sz w:val="44"/>
          <w:szCs w:val="44"/>
          <w:lang w:val="en-US" w:eastAsia="zh-CN"/>
        </w:rPr>
        <w:t>5</w:t>
      </w:r>
      <w:r>
        <w:rPr>
          <w:rFonts w:hint="eastAsia" w:asciiTheme="majorEastAsia" w:hAnsiTheme="majorEastAsia" w:eastAsiaTheme="majorEastAsia" w:cstheme="majorEastAsia"/>
          <w:b/>
          <w:bCs/>
          <w:sz w:val="44"/>
          <w:szCs w:val="44"/>
        </w:rPr>
        <w:t>年度</w:t>
      </w:r>
      <w:r>
        <w:rPr>
          <w:rFonts w:hint="eastAsia" w:asciiTheme="majorEastAsia" w:hAnsiTheme="majorEastAsia" w:eastAsiaTheme="majorEastAsia" w:cstheme="majorEastAsia"/>
          <w:b/>
          <w:bCs/>
          <w:color w:val="000000"/>
          <w:sz w:val="44"/>
          <w:szCs w:val="44"/>
        </w:rPr>
        <w:t>岳阳市城市管理综合行政执法支队</w:t>
      </w:r>
      <w:r>
        <w:rPr>
          <w:rFonts w:hint="eastAsia" w:asciiTheme="majorEastAsia" w:hAnsiTheme="majorEastAsia" w:eastAsiaTheme="majorEastAsia" w:cstheme="majorEastAsia"/>
          <w:b/>
          <w:bCs/>
          <w:sz w:val="44"/>
          <w:szCs w:val="44"/>
        </w:rPr>
        <w:t>整体支出绩效自评报告</w:t>
      </w:r>
    </w:p>
    <w:p w14:paraId="5DF65BA6">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Theme="majorEastAsia" w:hAnsiTheme="majorEastAsia" w:eastAsiaTheme="majorEastAsia" w:cstheme="majorEastAsia"/>
          <w:b/>
          <w:bCs/>
          <w:sz w:val="44"/>
          <w:szCs w:val="44"/>
        </w:rPr>
      </w:pPr>
    </w:p>
    <w:p w14:paraId="0FC14059">
      <w:pPr>
        <w:jc w:val="center"/>
        <w:rPr>
          <w:rFonts w:hint="default" w:ascii="Times New Roman" w:hAnsi="Times New Roman" w:eastAsia="楷体_GB2312" w:cs="Times New Roman"/>
          <w:b/>
          <w:sz w:val="32"/>
          <w:szCs w:val="32"/>
        </w:rPr>
      </w:pPr>
    </w:p>
    <w:p w14:paraId="37B820E4">
      <w:pPr>
        <w:jc w:val="center"/>
        <w:rPr>
          <w:rFonts w:hint="default" w:ascii="Times New Roman" w:hAnsi="Times New Roman" w:eastAsia="楷体_GB2312" w:cs="Times New Roman"/>
          <w:b/>
          <w:sz w:val="32"/>
          <w:szCs w:val="32"/>
        </w:rPr>
      </w:pPr>
    </w:p>
    <w:p w14:paraId="158DCE45">
      <w:pPr>
        <w:jc w:val="center"/>
        <w:rPr>
          <w:rFonts w:hint="default" w:ascii="Times New Roman" w:hAnsi="Times New Roman" w:eastAsia="楷体_GB2312" w:cs="Times New Roman"/>
          <w:b/>
          <w:sz w:val="32"/>
          <w:szCs w:val="32"/>
        </w:rPr>
      </w:pPr>
    </w:p>
    <w:p w14:paraId="1AB3C2BE">
      <w:pPr>
        <w:jc w:val="center"/>
        <w:rPr>
          <w:rFonts w:hint="default" w:ascii="Times New Roman" w:hAnsi="Times New Roman" w:eastAsia="楷体_GB2312" w:cs="Times New Roman"/>
          <w:b/>
          <w:sz w:val="32"/>
          <w:szCs w:val="32"/>
        </w:rPr>
      </w:pPr>
    </w:p>
    <w:p w14:paraId="179D9460">
      <w:pPr>
        <w:jc w:val="center"/>
        <w:rPr>
          <w:rFonts w:hint="default" w:ascii="Times New Roman" w:hAnsi="Times New Roman" w:eastAsia="楷体_GB2312" w:cs="Times New Roman"/>
          <w:b/>
          <w:sz w:val="32"/>
          <w:szCs w:val="32"/>
        </w:rPr>
      </w:pPr>
    </w:p>
    <w:p w14:paraId="35B6D605">
      <w:pPr>
        <w:jc w:val="center"/>
        <w:rPr>
          <w:rFonts w:hint="default" w:ascii="Times New Roman" w:hAnsi="Times New Roman" w:eastAsia="楷体_GB2312" w:cs="Times New Roman"/>
          <w:b/>
          <w:sz w:val="32"/>
          <w:szCs w:val="32"/>
        </w:rPr>
      </w:pPr>
    </w:p>
    <w:p w14:paraId="3DEB85F0">
      <w:pPr>
        <w:jc w:val="center"/>
        <w:rPr>
          <w:rFonts w:hint="default" w:ascii="Times New Roman" w:hAnsi="Times New Roman" w:eastAsia="黑体" w:cs="Times New Roman"/>
          <w:sz w:val="32"/>
          <w:szCs w:val="32"/>
        </w:rPr>
      </w:pPr>
    </w:p>
    <w:p w14:paraId="387C1F00">
      <w:pPr>
        <w:jc w:val="center"/>
        <w:rPr>
          <w:rFonts w:hint="default" w:ascii="Times New Roman" w:hAnsi="Times New Roman" w:eastAsia="黑体" w:cs="Times New Roman"/>
          <w:sz w:val="32"/>
          <w:szCs w:val="32"/>
        </w:rPr>
      </w:pPr>
    </w:p>
    <w:p w14:paraId="09D65BEA">
      <w:pPr>
        <w:jc w:val="both"/>
        <w:rPr>
          <w:rFonts w:hint="default" w:ascii="Times New Roman" w:hAnsi="Times New Roman" w:eastAsia="黑体" w:cs="Times New Roman"/>
          <w:sz w:val="32"/>
          <w:szCs w:val="32"/>
        </w:rPr>
      </w:pPr>
    </w:p>
    <w:p w14:paraId="07E62AD4">
      <w:pPr>
        <w:spacing w:line="600" w:lineRule="exact"/>
        <w:jc w:val="center"/>
        <w:rPr>
          <w:rFonts w:hint="eastAsia" w:asciiTheme="majorEastAsia" w:hAnsiTheme="majorEastAsia" w:eastAsiaTheme="majorEastAsia" w:cstheme="majorEastAsia"/>
          <w:b/>
          <w:bCs/>
          <w:sz w:val="32"/>
          <w:szCs w:val="32"/>
          <w:u w:val="single"/>
        </w:rPr>
      </w:pPr>
      <w:r>
        <w:rPr>
          <w:rFonts w:hint="eastAsia" w:asciiTheme="majorEastAsia" w:hAnsiTheme="majorEastAsia" w:eastAsiaTheme="majorEastAsia" w:cstheme="majorEastAsia"/>
          <w:b/>
          <w:bCs/>
          <w:sz w:val="32"/>
          <w:szCs w:val="32"/>
        </w:rPr>
        <w:t>单位名称：</w:t>
      </w:r>
      <w:r>
        <w:rPr>
          <w:rFonts w:hint="eastAsia" w:asciiTheme="majorEastAsia" w:hAnsiTheme="majorEastAsia" w:eastAsiaTheme="majorEastAsia" w:cstheme="majorEastAsia"/>
          <w:b/>
          <w:bCs/>
          <w:color w:val="000000"/>
          <w:sz w:val="32"/>
          <w:szCs w:val="32"/>
          <w:u w:val="single"/>
        </w:rPr>
        <w:t>岳阳市城市管理综合行政执法支队</w:t>
      </w:r>
    </w:p>
    <w:p w14:paraId="10F28A48">
      <w:pPr>
        <w:spacing w:line="600" w:lineRule="exact"/>
        <w:jc w:val="center"/>
        <w:rPr>
          <w:rFonts w:hint="eastAsia" w:asciiTheme="majorEastAsia" w:hAnsiTheme="majorEastAsia" w:eastAsiaTheme="majorEastAsia" w:cstheme="majorEastAsia"/>
          <w:b/>
          <w:bCs/>
          <w:sz w:val="32"/>
          <w:szCs w:val="32"/>
        </w:rPr>
      </w:pPr>
      <w:r>
        <w:rPr>
          <w:rFonts w:hint="eastAsia" w:asciiTheme="majorEastAsia" w:hAnsiTheme="majorEastAsia" w:eastAsiaTheme="majorEastAsia" w:cstheme="majorEastAsia"/>
          <w:b/>
          <w:bCs/>
          <w:sz w:val="32"/>
          <w:szCs w:val="32"/>
          <w:lang w:val="en-US" w:eastAsia="zh-CN"/>
        </w:rPr>
        <w:t>2025</w:t>
      </w:r>
      <w:r>
        <w:rPr>
          <w:rFonts w:hint="eastAsia" w:asciiTheme="majorEastAsia" w:hAnsiTheme="majorEastAsia" w:eastAsiaTheme="majorEastAsia" w:cstheme="majorEastAsia"/>
          <w:b/>
          <w:bCs/>
          <w:sz w:val="32"/>
          <w:szCs w:val="32"/>
        </w:rPr>
        <w:t>年</w:t>
      </w:r>
      <w:r>
        <w:rPr>
          <w:rFonts w:hint="eastAsia" w:asciiTheme="majorEastAsia" w:hAnsiTheme="majorEastAsia" w:eastAsiaTheme="majorEastAsia" w:cstheme="majorEastAsia"/>
          <w:b/>
          <w:bCs/>
          <w:sz w:val="32"/>
          <w:szCs w:val="32"/>
          <w:lang w:val="en-US" w:eastAsia="zh-CN"/>
        </w:rPr>
        <w:t>6</w:t>
      </w:r>
      <w:r>
        <w:rPr>
          <w:rFonts w:hint="eastAsia" w:asciiTheme="majorEastAsia" w:hAnsiTheme="majorEastAsia" w:eastAsiaTheme="majorEastAsia" w:cstheme="majorEastAsia"/>
          <w:b/>
          <w:bCs/>
          <w:sz w:val="32"/>
          <w:szCs w:val="32"/>
        </w:rPr>
        <w:t>月</w:t>
      </w:r>
      <w:r>
        <w:rPr>
          <w:rFonts w:hint="eastAsia" w:asciiTheme="majorEastAsia" w:hAnsiTheme="majorEastAsia" w:eastAsiaTheme="majorEastAsia" w:cstheme="majorEastAsia"/>
          <w:b/>
          <w:bCs/>
          <w:sz w:val="32"/>
          <w:szCs w:val="32"/>
          <w:lang w:val="en-US" w:eastAsia="zh-CN"/>
        </w:rPr>
        <w:t>15</w:t>
      </w:r>
      <w:r>
        <w:rPr>
          <w:rFonts w:hint="eastAsia" w:asciiTheme="majorEastAsia" w:hAnsiTheme="majorEastAsia" w:eastAsiaTheme="majorEastAsia" w:cstheme="majorEastAsia"/>
          <w:b/>
          <w:bCs/>
          <w:sz w:val="32"/>
          <w:szCs w:val="32"/>
        </w:rPr>
        <w:t>日</w:t>
      </w:r>
    </w:p>
    <w:p w14:paraId="305068BD">
      <w:pPr>
        <w:jc w:val="center"/>
        <w:rPr>
          <w:rFonts w:hint="default" w:ascii="Times New Roman" w:hAnsi="Times New Roman" w:eastAsia="仿宋_GB2312" w:cs="Times New Roman"/>
          <w:sz w:val="32"/>
          <w:szCs w:val="32"/>
        </w:rPr>
      </w:pPr>
    </w:p>
    <w:p w14:paraId="0789F7FB">
      <w:pPr>
        <w:jc w:val="center"/>
        <w:rPr>
          <w:rFonts w:hint="default" w:ascii="Times New Roman" w:hAnsi="Times New Roman" w:eastAsia="仿宋_GB2312" w:cs="Times New Roman"/>
          <w:sz w:val="32"/>
          <w:szCs w:val="32"/>
        </w:rPr>
        <w:sectPr>
          <w:pgSz w:w="11906" w:h="16838"/>
          <w:pgMar w:top="1440" w:right="1689" w:bottom="1440" w:left="1746" w:header="851" w:footer="992" w:gutter="0"/>
          <w:cols w:space="425" w:num="1"/>
          <w:docGrid w:type="lines" w:linePitch="312" w:charSpace="0"/>
        </w:sectPr>
      </w:pPr>
    </w:p>
    <w:p w14:paraId="34F0BB15">
      <w:pPr>
        <w:jc w:val="center"/>
        <w:rPr>
          <w:rFonts w:hint="default" w:ascii="Times New Roman" w:hAnsi="Times New Roman" w:eastAsia="仿宋_GB2312" w:cs="Times New Roman"/>
          <w:sz w:val="32"/>
          <w:szCs w:val="32"/>
        </w:rPr>
      </w:pPr>
    </w:p>
    <w:p w14:paraId="598DC7CC">
      <w:pPr>
        <w:jc w:val="center"/>
        <w:rPr>
          <w:rFonts w:hint="eastAsia" w:ascii="方正小标宋简体" w:hAnsi="方正小标宋简体" w:eastAsia="方正小标宋简体" w:cs="方正小标宋简体"/>
          <w:color w:val="000000"/>
          <w:sz w:val="44"/>
          <w:szCs w:val="44"/>
        </w:rPr>
      </w:pPr>
      <w:r>
        <w:rPr>
          <w:rFonts w:hint="eastAsia" w:ascii="方正小标宋简体" w:hAnsi="方正小标宋简体" w:eastAsia="方正小标宋简体" w:cs="方正小标宋简体"/>
          <w:sz w:val="44"/>
          <w:szCs w:val="44"/>
        </w:rPr>
        <w:t>202</w:t>
      </w:r>
      <w:r>
        <w:rPr>
          <w:rFonts w:hint="eastAsia" w:ascii="方正小标宋简体" w:hAnsi="方正小标宋简体" w:eastAsia="方正小标宋简体" w:cs="方正小标宋简体"/>
          <w:sz w:val="44"/>
          <w:szCs w:val="44"/>
          <w:lang w:val="en-US" w:eastAsia="zh-CN"/>
        </w:rPr>
        <w:t>5</w:t>
      </w:r>
      <w:r>
        <w:rPr>
          <w:rFonts w:hint="eastAsia" w:ascii="方正小标宋简体" w:hAnsi="方正小标宋简体" w:eastAsia="方正小标宋简体" w:cs="方正小标宋简体"/>
          <w:sz w:val="44"/>
          <w:szCs w:val="44"/>
        </w:rPr>
        <w:t>年度</w:t>
      </w:r>
      <w:r>
        <w:rPr>
          <w:rFonts w:hint="eastAsia" w:ascii="方正小标宋简体" w:hAnsi="方正小标宋简体" w:eastAsia="方正小标宋简体" w:cs="方正小标宋简体"/>
          <w:color w:val="000000"/>
          <w:sz w:val="44"/>
          <w:szCs w:val="44"/>
        </w:rPr>
        <w:t>岳阳市城市管理综合行政执法支队</w:t>
      </w:r>
    </w:p>
    <w:p w14:paraId="650384ED">
      <w:pPr>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整体支出绩效自评报告</w:t>
      </w:r>
    </w:p>
    <w:p w14:paraId="6A8E34AB">
      <w:pPr>
        <w:keepNext w:val="0"/>
        <w:keepLines w:val="0"/>
        <w:pageBreakBefore w:val="0"/>
        <w:kinsoku/>
        <w:wordWrap/>
        <w:overflowPunct/>
        <w:topLinePunct w:val="0"/>
        <w:autoSpaceDE/>
        <w:autoSpaceDN/>
        <w:bidi w:val="0"/>
        <w:adjustRightInd/>
        <w:snapToGrid/>
        <w:spacing w:line="640" w:lineRule="exact"/>
        <w:ind w:firstLine="640" w:firstLineChars="200"/>
        <w:jc w:val="both"/>
        <w:textAlignment w:val="auto"/>
        <w:rPr>
          <w:rFonts w:hint="default" w:ascii="Times New Roman" w:hAnsi="Times New Roman" w:eastAsia="仿宋_GB2312" w:cs="Times New Roman"/>
          <w:sz w:val="32"/>
          <w:szCs w:val="32"/>
        </w:rPr>
      </w:pPr>
    </w:p>
    <w:p w14:paraId="72A5A359">
      <w:pPr>
        <w:keepNext w:val="0"/>
        <w:keepLines w:val="0"/>
        <w:pageBreakBefore w:val="0"/>
        <w:numPr>
          <w:ilvl w:val="0"/>
          <w:numId w:val="1"/>
        </w:numPr>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单位基本情况</w:t>
      </w:r>
    </w:p>
    <w:p w14:paraId="1F9B9C52">
      <w:pPr>
        <w:keepNext w:val="0"/>
        <w:keepLines w:val="0"/>
        <w:pageBreakBefore w:val="0"/>
        <w:widowControl/>
        <w:kinsoku/>
        <w:wordWrap/>
        <w:overflowPunct/>
        <w:topLinePunct w:val="0"/>
        <w:bidi w:val="0"/>
        <w:adjustRightInd/>
        <w:snapToGrid/>
        <w:spacing w:line="600" w:lineRule="exact"/>
        <w:ind w:firstLine="643" w:firstLineChars="200"/>
        <w:jc w:val="left"/>
        <w:textAlignment w:val="auto"/>
        <w:rPr>
          <w:rFonts w:hint="eastAsia" w:ascii="楷体_GB2312" w:hAnsi="楷体_GB2312" w:eastAsia="楷体_GB2312" w:cs="楷体_GB2312"/>
          <w:b/>
          <w:bCs/>
          <w:color w:val="000000"/>
          <w:kern w:val="0"/>
          <w:sz w:val="32"/>
          <w:szCs w:val="32"/>
        </w:rPr>
      </w:pPr>
      <w:r>
        <w:rPr>
          <w:rFonts w:hint="eastAsia" w:ascii="楷体_GB2312" w:hAnsi="楷体_GB2312" w:eastAsia="楷体_GB2312" w:cs="楷体_GB2312"/>
          <w:b/>
          <w:bCs/>
          <w:color w:val="000000"/>
          <w:kern w:val="0"/>
          <w:sz w:val="32"/>
          <w:szCs w:val="32"/>
        </w:rPr>
        <w:t>（一）职能职责</w:t>
      </w:r>
    </w:p>
    <w:p w14:paraId="50ADB80D">
      <w:pPr>
        <w:ind w:firstLine="640" w:firstLineChars="200"/>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岳阳市城</w:t>
      </w:r>
      <w:r>
        <w:rPr>
          <w:rFonts w:hint="eastAsia" w:ascii="CESI仿宋-GB2312" w:hAnsi="CESI仿宋-GB2312" w:eastAsia="CESI仿宋-GB2312" w:cs="CESI仿宋-GB2312"/>
          <w:sz w:val="32"/>
          <w:szCs w:val="32"/>
          <w:lang w:eastAsia="zh-CN"/>
        </w:rPr>
        <w:t>市</w:t>
      </w:r>
      <w:r>
        <w:rPr>
          <w:rFonts w:hint="eastAsia" w:ascii="CESI仿宋-GB2312" w:hAnsi="CESI仿宋-GB2312" w:eastAsia="CESI仿宋-GB2312" w:cs="CESI仿宋-GB2312"/>
          <w:sz w:val="32"/>
          <w:szCs w:val="32"/>
        </w:rPr>
        <w:t>管</w:t>
      </w:r>
      <w:r>
        <w:rPr>
          <w:rFonts w:hint="eastAsia" w:ascii="CESI仿宋-GB2312" w:hAnsi="CESI仿宋-GB2312" w:eastAsia="CESI仿宋-GB2312" w:cs="CESI仿宋-GB2312"/>
          <w:sz w:val="32"/>
          <w:szCs w:val="32"/>
          <w:lang w:eastAsia="zh-CN"/>
        </w:rPr>
        <w:t>理</w:t>
      </w:r>
      <w:r>
        <w:rPr>
          <w:rFonts w:hint="eastAsia" w:ascii="CESI仿宋-GB2312" w:hAnsi="CESI仿宋-GB2312" w:eastAsia="CESI仿宋-GB2312" w:cs="CESI仿宋-GB2312"/>
          <w:sz w:val="32"/>
          <w:szCs w:val="32"/>
        </w:rPr>
        <w:t>综合行政执法支队以市城管局名义对外开展行政执法活动，在履行职责过程中坚持和加强党对城市管理综合行政执法工作的集中统一领导</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主要职责是：</w:t>
      </w:r>
    </w:p>
    <w:p w14:paraId="0B489A37">
      <w:pPr>
        <w:ind w:firstLine="640" w:firstLineChars="200"/>
        <w:rPr>
          <w:rFonts w:hint="eastAsia" w:ascii="CESI仿宋-GB2312" w:hAnsi="CESI仿宋-GB2312" w:eastAsia="CESI仿宋-GB2312" w:cs="CESI仿宋-GB2312"/>
          <w:sz w:val="32"/>
          <w:szCs w:val="32"/>
          <w:lang w:val="en-US" w:eastAsia="zh-CN"/>
        </w:rPr>
      </w:pPr>
      <w:r>
        <w:rPr>
          <w:rFonts w:hint="eastAsia" w:ascii="CESI仿宋-GB2312" w:hAnsi="CESI仿宋-GB2312" w:eastAsia="CESI仿宋-GB2312" w:cs="CESI仿宋-GB2312"/>
          <w:sz w:val="32"/>
          <w:szCs w:val="32"/>
          <w:lang w:val="en-US" w:eastAsia="zh-CN"/>
        </w:rPr>
        <w:t>1、贯彻执行国家、省、市和上级主管部门有关城市管理方面的法律、法规、规章和政策规定；参与拟订城市管理综合行政执法工作方面的规范性文件、总体规划和年度计划，并组织实施；</w:t>
      </w:r>
    </w:p>
    <w:p w14:paraId="7A23ECE6">
      <w:pPr>
        <w:ind w:firstLine="640" w:firstLineChars="200"/>
        <w:rPr>
          <w:rFonts w:hint="eastAsia" w:ascii="CESI仿宋-GB2312" w:hAnsi="CESI仿宋-GB2312" w:eastAsia="CESI仿宋-GB2312" w:cs="CESI仿宋-GB2312"/>
          <w:sz w:val="32"/>
          <w:szCs w:val="32"/>
          <w:lang w:val="en-US" w:eastAsia="zh-CN"/>
        </w:rPr>
      </w:pPr>
      <w:r>
        <w:rPr>
          <w:rFonts w:hint="eastAsia" w:ascii="CESI仿宋-GB2312" w:hAnsi="CESI仿宋-GB2312" w:eastAsia="CESI仿宋-GB2312" w:cs="CESI仿宋-GB2312"/>
          <w:sz w:val="32"/>
          <w:szCs w:val="32"/>
          <w:lang w:val="en-US" w:eastAsia="zh-CN"/>
        </w:rPr>
        <w:t>2、承担市本级和市辖区范围内(含岳阳经济技术开发区和城陵矶新港区)的城市管理综合行政执法工作；协助市城管局对县(市)、南湖新区、屈原管理区城市管理综合行政执法队伍建设和综合行政执法开展指导、监督和考核工作；</w:t>
      </w:r>
    </w:p>
    <w:p w14:paraId="7F0C5C61">
      <w:pPr>
        <w:ind w:firstLine="640" w:firstLineChars="200"/>
        <w:rPr>
          <w:rFonts w:hint="eastAsia" w:ascii="CESI仿宋-GB2312" w:hAnsi="CESI仿宋-GB2312" w:eastAsia="CESI仿宋-GB2312" w:cs="CESI仿宋-GB2312"/>
          <w:sz w:val="32"/>
          <w:szCs w:val="32"/>
          <w:lang w:val="en-US" w:eastAsia="zh-CN"/>
        </w:rPr>
      </w:pPr>
      <w:r>
        <w:rPr>
          <w:rFonts w:hint="eastAsia" w:ascii="CESI仿宋-GB2312" w:hAnsi="CESI仿宋-GB2312" w:eastAsia="CESI仿宋-GB2312" w:cs="CESI仿宋-GB2312"/>
          <w:sz w:val="32"/>
          <w:szCs w:val="32"/>
          <w:lang w:val="en-US" w:eastAsia="zh-CN"/>
        </w:rPr>
        <w:t>3、承担权限范围内市政公用设施运行管理、市容环境卫生管理、园林绿化管理、城镇燃气管理等城市管理方面的行政处罚及相应的行政强制等行政执法工作；</w:t>
      </w:r>
    </w:p>
    <w:p w14:paraId="73326B92">
      <w:pPr>
        <w:ind w:firstLine="640" w:firstLineChars="200"/>
        <w:rPr>
          <w:rFonts w:hint="eastAsia" w:ascii="CESI仿宋-GB2312" w:hAnsi="CESI仿宋-GB2312" w:eastAsia="CESI仿宋-GB2312" w:cs="CESI仿宋-GB2312"/>
          <w:sz w:val="32"/>
          <w:szCs w:val="32"/>
          <w:lang w:val="en-US" w:eastAsia="zh-CN"/>
        </w:rPr>
      </w:pPr>
      <w:r>
        <w:rPr>
          <w:rFonts w:hint="eastAsia" w:ascii="CESI仿宋-GB2312" w:hAnsi="CESI仿宋-GB2312" w:eastAsia="CESI仿宋-GB2312" w:cs="CESI仿宋-GB2312"/>
          <w:sz w:val="32"/>
          <w:szCs w:val="32"/>
          <w:lang w:val="en-US" w:eastAsia="zh-CN"/>
        </w:rPr>
        <w:t>4、承担权限范围内住房和城乡建设领域法律、法规和规章规定的行政处罚及相应的行政强制等行政执法工作；</w:t>
      </w:r>
    </w:p>
    <w:p w14:paraId="578D8D4B">
      <w:pPr>
        <w:ind w:firstLine="640" w:firstLineChars="200"/>
        <w:rPr>
          <w:rFonts w:hint="eastAsia" w:ascii="CESI仿宋-GB2312" w:hAnsi="CESI仿宋-GB2312" w:eastAsia="CESI仿宋-GB2312" w:cs="CESI仿宋-GB2312"/>
          <w:sz w:val="32"/>
          <w:szCs w:val="32"/>
          <w:lang w:val="en-US" w:eastAsia="zh-CN"/>
        </w:rPr>
      </w:pPr>
      <w:r>
        <w:rPr>
          <w:rFonts w:hint="eastAsia" w:ascii="CESI仿宋-GB2312" w:hAnsi="CESI仿宋-GB2312" w:eastAsia="CESI仿宋-GB2312" w:cs="CESI仿宋-GB2312"/>
          <w:sz w:val="32"/>
          <w:szCs w:val="32"/>
          <w:lang w:val="en-US" w:eastAsia="zh-CN"/>
        </w:rPr>
        <w:t>5、承担权限范围内向城市河道和水域倾倒废弃物和垃圾、违规取土、城市河道和水域违法建(构)筑物拆除等水利管理方面的行政处罚及相应的行政强制等行政执法工作；</w:t>
      </w:r>
    </w:p>
    <w:p w14:paraId="0A21458A">
      <w:pPr>
        <w:ind w:firstLine="640" w:firstLineChars="200"/>
        <w:rPr>
          <w:rFonts w:hint="eastAsia" w:ascii="CESI仿宋-GB2312" w:hAnsi="CESI仿宋-GB2312" w:eastAsia="CESI仿宋-GB2312" w:cs="CESI仿宋-GB2312"/>
          <w:sz w:val="32"/>
          <w:szCs w:val="32"/>
          <w:lang w:val="en-US" w:eastAsia="zh-CN"/>
        </w:rPr>
      </w:pPr>
      <w:r>
        <w:rPr>
          <w:rFonts w:hint="eastAsia" w:ascii="CESI仿宋-GB2312" w:hAnsi="CESI仿宋-GB2312" w:eastAsia="CESI仿宋-GB2312" w:cs="CESI仿宋-GB2312"/>
          <w:sz w:val="32"/>
          <w:szCs w:val="32"/>
          <w:lang w:val="en-US" w:eastAsia="zh-CN"/>
        </w:rPr>
        <w:t>6、承担权限范围内社会生活噪声污染、建筑施工噪声污染、建筑施工扬尘污染、餐饮服务业油烟污染、露天烧烤污染、城市焚烧沥青塑料垃圾等烟尘和恶臭污染、燃放烟花爆竹污染等生态环境保护管理方面的行政处罚及相应的行政强制等行政执法工作；</w:t>
      </w:r>
    </w:p>
    <w:p w14:paraId="332B76A5">
      <w:pPr>
        <w:ind w:firstLine="640" w:firstLineChars="200"/>
        <w:rPr>
          <w:rFonts w:hint="eastAsia" w:ascii="CESI仿宋-GB2312" w:hAnsi="CESI仿宋-GB2312" w:eastAsia="CESI仿宋-GB2312" w:cs="CESI仿宋-GB2312"/>
          <w:sz w:val="32"/>
          <w:szCs w:val="32"/>
          <w:lang w:val="en-US" w:eastAsia="zh-CN"/>
        </w:rPr>
      </w:pPr>
      <w:r>
        <w:rPr>
          <w:rFonts w:hint="eastAsia" w:ascii="CESI仿宋-GB2312" w:hAnsi="CESI仿宋-GB2312" w:eastAsia="CESI仿宋-GB2312" w:cs="CESI仿宋-GB2312"/>
          <w:sz w:val="32"/>
          <w:szCs w:val="32"/>
          <w:lang w:val="en-US" w:eastAsia="zh-CN"/>
        </w:rPr>
        <w:t>7、承担权限范围内户外公共场所无照经营、食品销售和餐饮摊点无证经营，以及户外违法回收贩卖药品等市场监督管理方面的行政处罚及相应的行政强制等行政执法工作；</w:t>
      </w:r>
    </w:p>
    <w:p w14:paraId="2CDB731F">
      <w:pPr>
        <w:ind w:firstLine="640" w:firstLineChars="200"/>
        <w:rPr>
          <w:rFonts w:hint="eastAsia" w:ascii="CESI仿宋-GB2312" w:hAnsi="CESI仿宋-GB2312" w:eastAsia="CESI仿宋-GB2312" w:cs="CESI仿宋-GB2312"/>
          <w:sz w:val="32"/>
          <w:szCs w:val="32"/>
          <w:lang w:val="en-US" w:eastAsia="zh-CN"/>
        </w:rPr>
      </w:pPr>
      <w:r>
        <w:rPr>
          <w:rFonts w:hint="eastAsia" w:ascii="CESI仿宋-GB2312" w:hAnsi="CESI仿宋-GB2312" w:eastAsia="CESI仿宋-GB2312" w:cs="CESI仿宋-GB2312"/>
          <w:sz w:val="32"/>
          <w:szCs w:val="32"/>
          <w:lang w:val="en-US" w:eastAsia="zh-CN"/>
        </w:rPr>
        <w:t>8、承担权限范围内侵占城市道路、违法停放车辆等公安交通管理方面的行政处罚及相应的行政强制等行政执法工作；</w:t>
      </w:r>
    </w:p>
    <w:p w14:paraId="7072CB17">
      <w:pPr>
        <w:ind w:firstLine="640" w:firstLineChars="200"/>
        <w:rPr>
          <w:rFonts w:hint="eastAsia" w:ascii="CESI仿宋-GB2312" w:hAnsi="CESI仿宋-GB2312" w:eastAsia="CESI仿宋-GB2312" w:cs="CESI仿宋-GB2312"/>
          <w:sz w:val="32"/>
          <w:szCs w:val="32"/>
          <w:lang w:val="en-US" w:eastAsia="zh-CN"/>
        </w:rPr>
      </w:pPr>
      <w:r>
        <w:rPr>
          <w:rFonts w:hint="eastAsia" w:ascii="CESI仿宋-GB2312" w:hAnsi="CESI仿宋-GB2312" w:eastAsia="CESI仿宋-GB2312" w:cs="CESI仿宋-GB2312"/>
          <w:sz w:val="32"/>
          <w:szCs w:val="32"/>
          <w:lang w:val="en-US" w:eastAsia="zh-CN"/>
        </w:rPr>
        <w:t>9、承担《湖南省人民政府关于调整岳阳火车站地区相对集中行政处罚权的批复》(湘政函[2016]22号)确定的行政处罚及相应的行政强制等行政执法工作；</w:t>
      </w:r>
    </w:p>
    <w:p w14:paraId="454BA517">
      <w:pPr>
        <w:ind w:firstLine="640" w:firstLineChars="200"/>
        <w:rPr>
          <w:rFonts w:hint="eastAsia" w:ascii="CESI仿宋-GB2312" w:hAnsi="CESI仿宋-GB2312" w:eastAsia="CESI仿宋-GB2312" w:cs="CESI仿宋-GB2312"/>
          <w:sz w:val="32"/>
          <w:szCs w:val="32"/>
          <w:lang w:val="en-US" w:eastAsia="zh-CN"/>
        </w:rPr>
      </w:pPr>
      <w:r>
        <w:rPr>
          <w:rFonts w:hint="eastAsia" w:ascii="CESI仿宋-GB2312" w:hAnsi="CESI仿宋-GB2312" w:eastAsia="CESI仿宋-GB2312" w:cs="CESI仿宋-GB2312"/>
          <w:sz w:val="32"/>
          <w:szCs w:val="32"/>
          <w:lang w:val="en-US" w:eastAsia="zh-CN"/>
        </w:rPr>
        <w:t>10、承担全市城市管理综合行政执法跨区域及重大复杂违法违规案件的查处工作；组织或参与跨行业、跨区域联合执法行动；</w:t>
      </w:r>
    </w:p>
    <w:p w14:paraId="1AE84EEA">
      <w:pPr>
        <w:ind w:firstLine="640" w:firstLineChars="200"/>
        <w:rPr>
          <w:rFonts w:hint="eastAsia" w:ascii="CESI仿宋-GB2312" w:hAnsi="CESI仿宋-GB2312" w:eastAsia="CESI仿宋-GB2312" w:cs="CESI仿宋-GB2312"/>
          <w:sz w:val="32"/>
          <w:szCs w:val="32"/>
          <w:lang w:val="en-US" w:eastAsia="zh-CN"/>
        </w:rPr>
      </w:pPr>
      <w:r>
        <w:rPr>
          <w:rFonts w:hint="eastAsia" w:ascii="CESI仿宋-GB2312" w:hAnsi="CESI仿宋-GB2312" w:eastAsia="CESI仿宋-GB2312" w:cs="CESI仿宋-GB2312"/>
          <w:sz w:val="32"/>
          <w:szCs w:val="32"/>
          <w:lang w:val="en-US" w:eastAsia="zh-CN"/>
        </w:rPr>
        <w:t>11、承担权限范围内“牛皮癣”的治理和清除;承担权限范围内“门前三包”及燃放烟花爆竹的指导、监督和考核工作；</w:t>
      </w:r>
    </w:p>
    <w:p w14:paraId="64AB91A7">
      <w:pPr>
        <w:ind w:firstLine="640" w:firstLineChars="200"/>
        <w:rPr>
          <w:rFonts w:hint="eastAsia" w:ascii="CESI仿宋-GB2312" w:hAnsi="CESI仿宋-GB2312" w:eastAsia="CESI仿宋-GB2312" w:cs="CESI仿宋-GB2312"/>
          <w:sz w:val="32"/>
          <w:szCs w:val="32"/>
          <w:lang w:val="en-US" w:eastAsia="zh-CN"/>
        </w:rPr>
      </w:pPr>
      <w:r>
        <w:rPr>
          <w:rFonts w:hint="eastAsia" w:ascii="CESI仿宋-GB2312" w:hAnsi="CESI仿宋-GB2312" w:eastAsia="CESI仿宋-GB2312" w:cs="CESI仿宋-GB2312"/>
          <w:sz w:val="32"/>
          <w:szCs w:val="32"/>
          <w:lang w:val="en-US" w:eastAsia="zh-CN"/>
        </w:rPr>
        <w:t>12、承担本单位的安全生产工作；</w:t>
      </w:r>
    </w:p>
    <w:p w14:paraId="15AB028F">
      <w:pPr>
        <w:ind w:firstLine="640" w:firstLineChars="200"/>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lang w:val="en-US" w:eastAsia="zh-CN"/>
        </w:rPr>
        <w:t>13、完成市城管局交办的其他工作。</w:t>
      </w:r>
    </w:p>
    <w:p w14:paraId="245C332B">
      <w:pPr>
        <w:keepNext w:val="0"/>
        <w:keepLines w:val="0"/>
        <w:pageBreakBefore w:val="0"/>
        <w:widowControl/>
        <w:kinsoku/>
        <w:wordWrap/>
        <w:overflowPunct/>
        <w:topLinePunct w:val="0"/>
        <w:bidi w:val="0"/>
        <w:adjustRightInd/>
        <w:snapToGrid/>
        <w:spacing w:line="600" w:lineRule="exact"/>
        <w:ind w:firstLine="643" w:firstLineChars="200"/>
        <w:textAlignment w:val="auto"/>
        <w:rPr>
          <w:rFonts w:hint="eastAsia" w:ascii="楷体_GB2312" w:hAnsi="楷体_GB2312" w:eastAsia="楷体_GB2312" w:cs="楷体_GB2312"/>
          <w:b/>
          <w:bCs/>
          <w:color w:val="000000"/>
          <w:kern w:val="0"/>
          <w:sz w:val="32"/>
          <w:szCs w:val="32"/>
        </w:rPr>
      </w:pPr>
      <w:r>
        <w:rPr>
          <w:rFonts w:hint="eastAsia" w:ascii="楷体_GB2312" w:hAnsi="楷体_GB2312" w:eastAsia="楷体_GB2312" w:cs="楷体_GB2312"/>
          <w:b/>
          <w:bCs/>
          <w:color w:val="000000"/>
          <w:kern w:val="0"/>
          <w:sz w:val="32"/>
          <w:szCs w:val="32"/>
        </w:rPr>
        <w:t>（二）机构设置</w:t>
      </w:r>
    </w:p>
    <w:p w14:paraId="5E06C052">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bCs/>
          <w:sz w:val="32"/>
          <w:szCs w:val="32"/>
          <w:lang w:val="en-US" w:eastAsia="zh-CN"/>
        </w:rPr>
      </w:pPr>
      <w:bookmarkStart w:id="0" w:name="DY_BGJYSM"/>
      <w:r>
        <w:rPr>
          <w:rFonts w:hint="eastAsia" w:ascii="仿宋_GB2312" w:hAnsi="仿宋_GB2312" w:eastAsia="仿宋_GB2312" w:cs="仿宋_GB2312"/>
          <w:bCs/>
          <w:sz w:val="32"/>
          <w:szCs w:val="32"/>
          <w:lang w:val="en-US" w:eastAsia="zh-CN"/>
        </w:rPr>
        <w:t>市城管综合执法支队为市城管局直属参公事业单位，支队设下列5个内设机构，规格为副科级：综合科、人事科、财务科、法制科、执法协调科，党委办公室按章程设置，退休人员管理服务科按相关规定设置。支队设下列8个大队(其中6个为副科级)：岳阳楼一大队、岳阳楼二大队、岳阳楼三大队、岳阳楼四大队、云溪大队、君山大队（以上六个大队为派驻大队）、住房建设执法大队、站场大队。</w:t>
      </w:r>
    </w:p>
    <w:bookmarkEnd w:id="0"/>
    <w:p w14:paraId="26127530">
      <w:pPr>
        <w:pStyle w:val="11"/>
        <w:keepNext w:val="0"/>
        <w:keepLines w:val="0"/>
        <w:pageBreakBefore w:val="0"/>
        <w:widowControl/>
        <w:kinsoku/>
        <w:wordWrap/>
        <w:overflowPunct/>
        <w:topLinePunct w:val="0"/>
        <w:autoSpaceDE/>
        <w:autoSpaceDN/>
        <w:bidi w:val="0"/>
        <w:adjustRightInd/>
        <w:snapToGrid/>
        <w:spacing w:line="600" w:lineRule="exact"/>
        <w:ind w:left="0" w:leftChars="0" w:firstLine="640" w:firstLineChars="200"/>
        <w:jc w:val="both"/>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二、一般公共预算支出情况</w:t>
      </w:r>
    </w:p>
    <w:p w14:paraId="0E204216">
      <w:pPr>
        <w:pStyle w:val="11"/>
        <w:keepNext w:val="0"/>
        <w:keepLines w:val="0"/>
        <w:pageBreakBefore w:val="0"/>
        <w:widowControl/>
        <w:kinsoku/>
        <w:wordWrap/>
        <w:overflowPunct/>
        <w:topLinePunct w:val="0"/>
        <w:autoSpaceDE/>
        <w:autoSpaceDN/>
        <w:bidi w:val="0"/>
        <w:adjustRightInd/>
        <w:snapToGrid/>
        <w:spacing w:line="600" w:lineRule="exact"/>
        <w:ind w:firstLine="643" w:firstLineChars="200"/>
        <w:jc w:val="both"/>
        <w:textAlignment w:val="auto"/>
        <w:rPr>
          <w:rFonts w:hint="default" w:ascii="Times New Roman" w:hAnsi="Times New Roman" w:eastAsia="楷体_GB2312" w:cs="Times New Roman"/>
          <w:b/>
          <w:sz w:val="32"/>
          <w:szCs w:val="32"/>
        </w:rPr>
      </w:pPr>
      <w:r>
        <w:rPr>
          <w:rFonts w:hint="default" w:ascii="Times New Roman" w:hAnsi="Times New Roman" w:eastAsia="楷体_GB2312" w:cs="Times New Roman"/>
          <w:b/>
          <w:sz w:val="32"/>
          <w:szCs w:val="32"/>
        </w:rPr>
        <w:t>（一）基本支出情况</w:t>
      </w:r>
    </w:p>
    <w:p w14:paraId="6BB073BD">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20</w:t>
      </w:r>
      <w:r>
        <w:rPr>
          <w:rFonts w:hint="eastAsia" w:ascii="仿宋_GB2312" w:hAnsi="仿宋_GB2312" w:eastAsia="仿宋_GB2312" w:cs="仿宋_GB2312"/>
          <w:bCs/>
          <w:sz w:val="32"/>
          <w:szCs w:val="32"/>
          <w:lang w:val="en-US" w:eastAsia="zh-CN"/>
        </w:rPr>
        <w:t>25</w:t>
      </w:r>
      <w:r>
        <w:rPr>
          <w:rFonts w:hint="eastAsia" w:ascii="仿宋_GB2312" w:hAnsi="仿宋_GB2312" w:eastAsia="仿宋_GB2312" w:cs="仿宋_GB2312"/>
          <w:bCs/>
          <w:sz w:val="32"/>
          <w:szCs w:val="32"/>
        </w:rPr>
        <w:t>年</w:t>
      </w:r>
      <w:r>
        <w:rPr>
          <w:rFonts w:hint="eastAsia" w:ascii="仿宋_GB2312" w:hAnsi="仿宋_GB2312" w:eastAsia="仿宋_GB2312" w:cs="仿宋_GB2312"/>
          <w:bCs/>
          <w:sz w:val="32"/>
          <w:szCs w:val="32"/>
          <w:lang w:val="en-US" w:eastAsia="zh-CN"/>
        </w:rPr>
        <w:t>,支队</w:t>
      </w:r>
      <w:r>
        <w:rPr>
          <w:rFonts w:hint="eastAsia" w:ascii="仿宋_GB2312" w:hAnsi="仿宋_GB2312" w:eastAsia="仿宋_GB2312" w:cs="仿宋_GB2312"/>
          <w:bCs/>
          <w:sz w:val="32"/>
          <w:szCs w:val="32"/>
        </w:rPr>
        <w:t>基本支出</w:t>
      </w:r>
      <w:r>
        <w:rPr>
          <w:rFonts w:hint="eastAsia" w:ascii="仿宋_GB2312" w:hAnsi="仿宋_GB2312" w:eastAsia="仿宋_GB2312" w:cs="仿宋_GB2312"/>
          <w:bCs/>
          <w:sz w:val="32"/>
          <w:szCs w:val="32"/>
          <w:lang w:val="en-US" w:eastAsia="zh-CN"/>
        </w:rPr>
        <w:t>总额为7574.22</w:t>
      </w:r>
      <w:r>
        <w:rPr>
          <w:rFonts w:hint="eastAsia" w:ascii="仿宋_GB2312" w:hAnsi="仿宋_GB2312" w:eastAsia="仿宋_GB2312" w:cs="仿宋_GB2312"/>
          <w:bCs/>
          <w:sz w:val="32"/>
          <w:szCs w:val="32"/>
        </w:rPr>
        <w:t>万元，其中人员经费支出</w:t>
      </w:r>
      <w:r>
        <w:rPr>
          <w:rFonts w:hint="eastAsia" w:ascii="仿宋_GB2312" w:hAnsi="仿宋_GB2312" w:eastAsia="仿宋_GB2312" w:cs="仿宋_GB2312"/>
          <w:bCs/>
          <w:sz w:val="32"/>
          <w:szCs w:val="32"/>
          <w:lang w:val="en-US" w:eastAsia="zh-CN"/>
        </w:rPr>
        <w:t>7027.80</w:t>
      </w:r>
      <w:r>
        <w:rPr>
          <w:rFonts w:hint="eastAsia" w:ascii="仿宋_GB2312" w:hAnsi="仿宋_GB2312" w:eastAsia="仿宋_GB2312" w:cs="仿宋_GB2312"/>
          <w:bCs/>
          <w:sz w:val="32"/>
          <w:szCs w:val="32"/>
        </w:rPr>
        <w:t>万元，</w:t>
      </w:r>
      <w:r>
        <w:rPr>
          <w:rFonts w:hint="eastAsia" w:ascii="仿宋_GB2312" w:hAnsi="仿宋_GB2312" w:eastAsia="仿宋_GB2312" w:cs="仿宋_GB2312"/>
          <w:bCs/>
          <w:sz w:val="32"/>
          <w:szCs w:val="32"/>
          <w:lang w:val="en-US" w:eastAsia="zh-CN"/>
        </w:rPr>
        <w:t>主要用于</w:t>
      </w:r>
      <w:r>
        <w:rPr>
          <w:rFonts w:hint="eastAsia" w:ascii="仿宋_GB2312" w:hAnsi="仿宋_GB2312" w:eastAsia="仿宋_GB2312" w:cs="仿宋_GB2312"/>
          <w:bCs/>
          <w:sz w:val="32"/>
          <w:szCs w:val="32"/>
          <w:highlight w:val="none"/>
          <w:lang w:val="en-US" w:eastAsia="zh-CN"/>
        </w:rPr>
        <w:t>职工基本工资、津补贴、绩效工资及社</w:t>
      </w:r>
      <w:r>
        <w:rPr>
          <w:rFonts w:hint="eastAsia" w:ascii="仿宋_GB2312" w:hAnsi="仿宋_GB2312" w:eastAsia="仿宋_GB2312" w:cs="仿宋_GB2312"/>
          <w:bCs/>
          <w:strike w:val="0"/>
          <w:dstrike w:val="0"/>
          <w:color w:val="auto"/>
          <w:sz w:val="32"/>
          <w:szCs w:val="32"/>
          <w:highlight w:val="none"/>
          <w:lang w:val="en-US" w:eastAsia="zh-CN"/>
        </w:rPr>
        <w:t>保保障</w:t>
      </w:r>
      <w:r>
        <w:rPr>
          <w:rFonts w:hint="eastAsia" w:ascii="仿宋_GB2312" w:hAnsi="仿宋_GB2312" w:eastAsia="仿宋_GB2312" w:cs="仿宋_GB2312"/>
          <w:bCs/>
          <w:sz w:val="32"/>
          <w:szCs w:val="32"/>
          <w:highlight w:val="none"/>
          <w:lang w:val="en-US" w:eastAsia="zh-CN"/>
        </w:rPr>
        <w:t>缴费等支出。</w:t>
      </w:r>
      <w:r>
        <w:rPr>
          <w:rFonts w:hint="eastAsia" w:ascii="仿宋_GB2312" w:hAnsi="仿宋_GB2312" w:eastAsia="仿宋_GB2312" w:cs="仿宋_GB2312"/>
          <w:bCs/>
          <w:sz w:val="32"/>
          <w:szCs w:val="32"/>
        </w:rPr>
        <w:t>公用</w:t>
      </w:r>
      <w:r>
        <w:rPr>
          <w:rFonts w:hint="eastAsia" w:ascii="仿宋_GB2312" w:hAnsi="仿宋_GB2312" w:eastAsia="仿宋_GB2312" w:cs="仿宋_GB2312"/>
          <w:bCs/>
          <w:sz w:val="32"/>
          <w:szCs w:val="32"/>
          <w:lang w:val="en-US" w:eastAsia="zh-CN"/>
        </w:rPr>
        <w:t>经费</w:t>
      </w:r>
      <w:r>
        <w:rPr>
          <w:rFonts w:hint="eastAsia" w:ascii="仿宋_GB2312" w:hAnsi="仿宋_GB2312" w:eastAsia="仿宋_GB2312" w:cs="仿宋_GB2312"/>
          <w:bCs/>
          <w:sz w:val="32"/>
          <w:szCs w:val="32"/>
        </w:rPr>
        <w:t>支出</w:t>
      </w:r>
      <w:r>
        <w:rPr>
          <w:rFonts w:hint="eastAsia" w:ascii="仿宋_GB2312" w:hAnsi="仿宋_GB2312" w:eastAsia="仿宋_GB2312" w:cs="仿宋_GB2312"/>
          <w:bCs/>
          <w:sz w:val="32"/>
          <w:szCs w:val="32"/>
          <w:lang w:val="en-US" w:eastAsia="zh-CN"/>
        </w:rPr>
        <w:t>546.42</w:t>
      </w:r>
      <w:r>
        <w:rPr>
          <w:rFonts w:hint="eastAsia" w:ascii="仿宋_GB2312" w:hAnsi="仿宋_GB2312" w:eastAsia="仿宋_GB2312" w:cs="仿宋_GB2312"/>
          <w:bCs/>
          <w:sz w:val="32"/>
          <w:szCs w:val="32"/>
        </w:rPr>
        <w:t>万元</w:t>
      </w:r>
      <w:r>
        <w:rPr>
          <w:rFonts w:hint="eastAsia" w:ascii="仿宋_GB2312" w:hAnsi="仿宋_GB2312" w:eastAsia="仿宋_GB2312" w:cs="仿宋_GB2312"/>
          <w:bCs/>
          <w:sz w:val="32"/>
          <w:szCs w:val="32"/>
          <w:lang w:eastAsia="zh-CN"/>
        </w:rPr>
        <w:t>，</w:t>
      </w:r>
      <w:r>
        <w:rPr>
          <w:rFonts w:hint="eastAsia" w:ascii="仿宋_GB2312" w:hAnsi="仿宋_GB2312" w:eastAsia="仿宋_GB2312" w:cs="仿宋_GB2312"/>
          <w:bCs/>
          <w:sz w:val="32"/>
          <w:szCs w:val="32"/>
          <w:lang w:val="en-US" w:eastAsia="zh-CN"/>
        </w:rPr>
        <w:t>主要用于办公费、印刷费、水电费、邮电费、物业费、差旅费、维修（护）费、租赁费、会议费、培训费、公务接待费、劳务费、委托业务费、工会经费、公务用车运行费、其他交通费用、其他商品和服务支出等单位运转费用支出。</w:t>
      </w:r>
    </w:p>
    <w:p w14:paraId="6342EF6D">
      <w:pPr>
        <w:keepNext w:val="0"/>
        <w:keepLines w:val="0"/>
        <w:pageBreakBefore w:val="0"/>
        <w:widowControl w:val="0"/>
        <w:kinsoku/>
        <w:wordWrap/>
        <w:overflowPunct/>
        <w:topLinePunct w:val="0"/>
        <w:autoSpaceDE/>
        <w:autoSpaceDN/>
        <w:bidi w:val="0"/>
        <w:spacing w:line="600" w:lineRule="exact"/>
        <w:ind w:firstLine="640" w:firstLineChars="200"/>
        <w:jc w:val="both"/>
        <w:textAlignment w:val="auto"/>
        <w:rPr>
          <w:rFonts w:hint="default" w:ascii="Times New Roman" w:hAnsi="Times New Roman" w:eastAsia="楷体_GB2312" w:cs="Times New Roman"/>
          <w:b/>
          <w:color w:val="auto"/>
          <w:sz w:val="32"/>
          <w:szCs w:val="32"/>
        </w:rPr>
      </w:pPr>
      <w:r>
        <w:rPr>
          <w:rFonts w:hint="eastAsia" w:ascii="仿宋_GB2312" w:hAnsi="仿宋_GB2312" w:eastAsia="仿宋_GB2312" w:cs="仿宋_GB2312"/>
          <w:bCs/>
          <w:color w:val="auto"/>
          <w:sz w:val="32"/>
          <w:szCs w:val="32"/>
        </w:rPr>
        <w:t>本年度公务接待费</w:t>
      </w:r>
      <w:r>
        <w:rPr>
          <w:rFonts w:hint="eastAsia" w:ascii="仿宋_GB2312" w:hAnsi="仿宋_GB2312" w:eastAsia="仿宋_GB2312" w:cs="仿宋_GB2312"/>
          <w:bCs/>
          <w:color w:val="auto"/>
          <w:sz w:val="32"/>
          <w:szCs w:val="32"/>
          <w:lang w:eastAsia="zh-CN"/>
        </w:rPr>
        <w:t>预算</w:t>
      </w:r>
      <w:r>
        <w:rPr>
          <w:rFonts w:hint="eastAsia" w:ascii="仿宋_GB2312" w:hAnsi="仿宋_GB2312" w:eastAsia="仿宋_GB2312" w:cs="仿宋_GB2312"/>
          <w:bCs/>
          <w:color w:val="auto"/>
          <w:sz w:val="32"/>
          <w:szCs w:val="32"/>
          <w:lang w:val="en-US" w:eastAsia="zh-CN"/>
        </w:rPr>
        <w:t>与实际</w:t>
      </w:r>
      <w:r>
        <w:rPr>
          <w:rFonts w:hint="eastAsia" w:ascii="仿宋_GB2312" w:hAnsi="仿宋_GB2312" w:eastAsia="仿宋_GB2312" w:cs="仿宋_GB2312"/>
          <w:bCs/>
          <w:color w:val="auto"/>
          <w:sz w:val="32"/>
          <w:szCs w:val="32"/>
        </w:rPr>
        <w:t>支出</w:t>
      </w:r>
      <w:r>
        <w:rPr>
          <w:rFonts w:hint="eastAsia" w:ascii="仿宋_GB2312" w:hAnsi="仿宋_GB2312" w:eastAsia="仿宋_GB2312" w:cs="仿宋_GB2312"/>
          <w:bCs/>
          <w:color w:val="auto"/>
          <w:sz w:val="32"/>
          <w:szCs w:val="32"/>
          <w:lang w:eastAsia="zh-CN"/>
        </w:rPr>
        <w:t>金额均为</w:t>
      </w:r>
      <w:r>
        <w:rPr>
          <w:rFonts w:hint="eastAsia" w:ascii="仿宋_GB2312" w:hAnsi="仿宋_GB2312" w:eastAsia="仿宋_GB2312" w:cs="仿宋_GB2312"/>
          <w:bCs/>
          <w:color w:val="auto"/>
          <w:sz w:val="32"/>
          <w:szCs w:val="32"/>
          <w:lang w:val="en-US" w:eastAsia="zh-CN"/>
        </w:rPr>
        <w:t>0.00</w:t>
      </w:r>
      <w:r>
        <w:rPr>
          <w:rFonts w:hint="eastAsia" w:ascii="仿宋_GB2312" w:hAnsi="仿宋_GB2312" w:eastAsia="仿宋_GB2312" w:cs="仿宋_GB2312"/>
          <w:bCs/>
          <w:color w:val="auto"/>
          <w:sz w:val="32"/>
          <w:szCs w:val="32"/>
        </w:rPr>
        <w:t>万元，</w:t>
      </w:r>
      <w:r>
        <w:rPr>
          <w:rFonts w:hint="eastAsia" w:ascii="仿宋_GB2312" w:hAnsi="仿宋_GB2312" w:eastAsia="仿宋_GB2312" w:cs="仿宋_GB2312"/>
          <w:bCs/>
          <w:color w:val="auto"/>
          <w:sz w:val="32"/>
          <w:szCs w:val="32"/>
          <w:lang w:val="en-US" w:eastAsia="zh-CN"/>
        </w:rPr>
        <w:t>公务用车购置及</w:t>
      </w:r>
      <w:r>
        <w:rPr>
          <w:rFonts w:hint="eastAsia" w:ascii="仿宋_GB2312" w:hAnsi="仿宋_GB2312" w:eastAsia="仿宋_GB2312" w:cs="仿宋_GB2312"/>
          <w:bCs/>
          <w:color w:val="auto"/>
          <w:sz w:val="32"/>
          <w:szCs w:val="32"/>
        </w:rPr>
        <w:t>公务用车运行维护费支出</w:t>
      </w:r>
      <w:r>
        <w:rPr>
          <w:rFonts w:hint="eastAsia" w:ascii="仿宋_GB2312" w:hAnsi="仿宋_GB2312" w:eastAsia="仿宋_GB2312" w:cs="仿宋_GB2312"/>
          <w:bCs/>
          <w:color w:val="auto"/>
          <w:sz w:val="32"/>
          <w:szCs w:val="32"/>
          <w:lang w:eastAsia="zh-CN"/>
        </w:rPr>
        <w:t>预算金额为</w:t>
      </w:r>
      <w:r>
        <w:rPr>
          <w:rFonts w:hint="eastAsia" w:ascii="仿宋_GB2312" w:hAnsi="仿宋_GB2312" w:eastAsia="仿宋_GB2312" w:cs="仿宋_GB2312"/>
          <w:bCs/>
          <w:color w:val="auto"/>
          <w:sz w:val="32"/>
          <w:szCs w:val="32"/>
          <w:lang w:val="en-US" w:eastAsia="zh-CN"/>
        </w:rPr>
        <w:t>30.00万元，公务用车购置及</w:t>
      </w:r>
      <w:r>
        <w:rPr>
          <w:rFonts w:hint="eastAsia" w:ascii="仿宋_GB2312" w:hAnsi="仿宋_GB2312" w:eastAsia="仿宋_GB2312" w:cs="仿宋_GB2312"/>
          <w:bCs/>
          <w:color w:val="auto"/>
          <w:sz w:val="32"/>
          <w:szCs w:val="32"/>
        </w:rPr>
        <w:t>公务用车运行维护费</w:t>
      </w:r>
      <w:r>
        <w:rPr>
          <w:rFonts w:hint="eastAsia" w:ascii="仿宋_GB2312" w:hAnsi="仿宋_GB2312" w:eastAsia="仿宋_GB2312" w:cs="仿宋_GB2312"/>
          <w:bCs/>
          <w:color w:val="auto"/>
          <w:sz w:val="32"/>
          <w:szCs w:val="32"/>
          <w:lang w:val="en-US" w:eastAsia="zh-CN"/>
        </w:rPr>
        <w:t>实际支出金额为23.07</w:t>
      </w:r>
      <w:r>
        <w:rPr>
          <w:rFonts w:hint="eastAsia" w:ascii="仿宋_GB2312" w:hAnsi="仿宋_GB2312" w:eastAsia="仿宋_GB2312" w:cs="仿宋_GB2312"/>
          <w:bCs/>
          <w:color w:val="auto"/>
          <w:sz w:val="32"/>
          <w:szCs w:val="32"/>
        </w:rPr>
        <w:t>万元</w:t>
      </w:r>
      <w:r>
        <w:rPr>
          <w:rFonts w:hint="eastAsia" w:ascii="仿宋_GB2312" w:hAnsi="仿宋_GB2312" w:eastAsia="仿宋_GB2312" w:cs="仿宋_GB2312"/>
          <w:bCs/>
          <w:color w:val="auto"/>
          <w:sz w:val="32"/>
          <w:szCs w:val="32"/>
          <w:lang w:val="en-US" w:eastAsia="zh-CN"/>
        </w:rPr>
        <w:t>（其中公务用车购置支出0.00万元）</w:t>
      </w:r>
      <w:r>
        <w:rPr>
          <w:rFonts w:hint="eastAsia" w:ascii="仿宋_GB2312" w:hAnsi="仿宋_GB2312" w:eastAsia="仿宋_GB2312" w:cs="仿宋_GB2312"/>
          <w:bCs/>
          <w:color w:val="auto"/>
          <w:sz w:val="32"/>
          <w:szCs w:val="32"/>
          <w:lang w:eastAsia="zh-CN"/>
        </w:rPr>
        <w:t>，因</w:t>
      </w:r>
      <w:r>
        <w:rPr>
          <w:rFonts w:hint="eastAsia" w:ascii="仿宋_GB2312" w:hAnsi="仿宋_GB2312" w:eastAsia="仿宋_GB2312" w:cs="仿宋_GB2312"/>
          <w:bCs/>
          <w:color w:val="auto"/>
          <w:sz w:val="32"/>
          <w:szCs w:val="32"/>
        </w:rPr>
        <w:t>公出国</w:t>
      </w:r>
      <w:r>
        <w:rPr>
          <w:rFonts w:hint="eastAsia" w:ascii="仿宋_GB2312" w:hAnsi="仿宋_GB2312" w:eastAsia="仿宋_GB2312" w:cs="仿宋_GB2312"/>
          <w:bCs/>
          <w:color w:val="auto"/>
          <w:sz w:val="32"/>
          <w:szCs w:val="32"/>
          <w:lang w:eastAsia="zh-CN"/>
        </w:rPr>
        <w:t>费用</w:t>
      </w:r>
      <w:r>
        <w:rPr>
          <w:rFonts w:hint="eastAsia" w:ascii="仿宋_GB2312" w:hAnsi="仿宋_GB2312" w:eastAsia="仿宋_GB2312" w:cs="仿宋_GB2312"/>
          <w:bCs/>
          <w:color w:val="auto"/>
          <w:sz w:val="32"/>
          <w:szCs w:val="32"/>
          <w:lang w:val="en-US" w:eastAsia="zh-CN"/>
        </w:rPr>
        <w:t>预算与实际</w:t>
      </w:r>
      <w:r>
        <w:rPr>
          <w:rFonts w:hint="eastAsia" w:ascii="仿宋_GB2312" w:hAnsi="仿宋_GB2312" w:eastAsia="仿宋_GB2312" w:cs="仿宋_GB2312"/>
          <w:bCs/>
          <w:color w:val="auto"/>
          <w:sz w:val="32"/>
          <w:szCs w:val="32"/>
        </w:rPr>
        <w:t>支出</w:t>
      </w:r>
      <w:r>
        <w:rPr>
          <w:rFonts w:hint="eastAsia" w:ascii="仿宋_GB2312" w:hAnsi="仿宋_GB2312" w:eastAsia="仿宋_GB2312" w:cs="仿宋_GB2312"/>
          <w:bCs/>
          <w:color w:val="auto"/>
          <w:sz w:val="32"/>
          <w:szCs w:val="32"/>
          <w:lang w:eastAsia="zh-CN"/>
        </w:rPr>
        <w:t>金额</w:t>
      </w:r>
      <w:r>
        <w:rPr>
          <w:rFonts w:hint="eastAsia" w:ascii="仿宋_GB2312" w:hAnsi="仿宋_GB2312" w:eastAsia="仿宋_GB2312" w:cs="仿宋_GB2312"/>
          <w:bCs/>
          <w:color w:val="auto"/>
          <w:sz w:val="32"/>
          <w:szCs w:val="32"/>
          <w:lang w:val="en-US" w:eastAsia="zh-CN"/>
        </w:rPr>
        <w:t>均为</w:t>
      </w:r>
      <w:r>
        <w:rPr>
          <w:rFonts w:hint="eastAsia" w:ascii="仿宋_GB2312" w:hAnsi="仿宋_GB2312" w:eastAsia="仿宋_GB2312" w:cs="仿宋_GB2312"/>
          <w:bCs/>
          <w:color w:val="auto"/>
          <w:sz w:val="32"/>
          <w:szCs w:val="32"/>
        </w:rPr>
        <w:t>0</w:t>
      </w:r>
      <w:r>
        <w:rPr>
          <w:rFonts w:hint="eastAsia" w:ascii="仿宋_GB2312" w:hAnsi="仿宋_GB2312" w:eastAsia="仿宋_GB2312" w:cs="仿宋_GB2312"/>
          <w:bCs/>
          <w:color w:val="auto"/>
          <w:sz w:val="32"/>
          <w:szCs w:val="32"/>
          <w:lang w:val="en-US" w:eastAsia="zh-CN"/>
        </w:rPr>
        <w:t>.00</w:t>
      </w:r>
      <w:r>
        <w:rPr>
          <w:rFonts w:hint="eastAsia" w:ascii="仿宋_GB2312" w:hAnsi="仿宋_GB2312" w:eastAsia="仿宋_GB2312" w:cs="仿宋_GB2312"/>
          <w:bCs/>
          <w:color w:val="auto"/>
          <w:sz w:val="32"/>
          <w:szCs w:val="32"/>
        </w:rPr>
        <w:t>万元</w:t>
      </w:r>
      <w:r>
        <w:rPr>
          <w:rFonts w:hint="eastAsia" w:ascii="仿宋_GB2312" w:hAnsi="仿宋_GB2312" w:eastAsia="仿宋_GB2312" w:cs="仿宋_GB2312"/>
          <w:bCs/>
          <w:color w:val="auto"/>
          <w:sz w:val="32"/>
          <w:szCs w:val="32"/>
          <w:lang w:eastAsia="zh-CN"/>
        </w:rPr>
        <w:t>，“三公经费”支出</w:t>
      </w:r>
      <w:r>
        <w:rPr>
          <w:rFonts w:hint="eastAsia" w:ascii="仿宋_GB2312" w:hAnsi="仿宋_GB2312" w:eastAsia="仿宋_GB2312" w:cs="仿宋_GB2312"/>
          <w:bCs/>
          <w:color w:val="auto"/>
          <w:sz w:val="32"/>
          <w:szCs w:val="32"/>
          <w:lang w:val="en-US" w:eastAsia="zh-CN"/>
        </w:rPr>
        <w:t>总金额为23.07万元，</w:t>
      </w:r>
      <w:r>
        <w:rPr>
          <w:rFonts w:hint="eastAsia" w:ascii="仿宋_GB2312" w:hAnsi="仿宋_GB2312" w:eastAsia="仿宋_GB2312" w:cs="仿宋_GB2312"/>
          <w:bCs/>
          <w:color w:val="auto"/>
          <w:sz w:val="32"/>
          <w:szCs w:val="32"/>
          <w:lang w:eastAsia="zh-CN"/>
        </w:rPr>
        <w:t>控制在年初预算之内</w:t>
      </w:r>
      <w:r>
        <w:rPr>
          <w:rFonts w:hint="eastAsia" w:ascii="仿宋_GB2312" w:hAnsi="仿宋_GB2312" w:eastAsia="仿宋_GB2312" w:cs="仿宋_GB2312"/>
          <w:bCs/>
          <w:color w:val="auto"/>
          <w:sz w:val="32"/>
          <w:szCs w:val="32"/>
        </w:rPr>
        <w:t>。</w:t>
      </w:r>
    </w:p>
    <w:p w14:paraId="4290DC70">
      <w:pPr>
        <w:pStyle w:val="11"/>
        <w:keepNext w:val="0"/>
        <w:keepLines w:val="0"/>
        <w:pageBreakBefore w:val="0"/>
        <w:widowControl/>
        <w:numPr>
          <w:ilvl w:val="0"/>
          <w:numId w:val="2"/>
        </w:numPr>
        <w:kinsoku/>
        <w:wordWrap/>
        <w:overflowPunct/>
        <w:topLinePunct w:val="0"/>
        <w:autoSpaceDE/>
        <w:autoSpaceDN/>
        <w:bidi w:val="0"/>
        <w:adjustRightInd/>
        <w:snapToGrid/>
        <w:spacing w:line="600" w:lineRule="exact"/>
        <w:ind w:firstLine="643" w:firstLineChars="200"/>
        <w:jc w:val="both"/>
        <w:textAlignment w:val="auto"/>
        <w:rPr>
          <w:rFonts w:hint="default" w:ascii="Times New Roman" w:hAnsi="Times New Roman" w:eastAsia="楷体_GB2312" w:cs="Times New Roman"/>
          <w:b/>
          <w:sz w:val="32"/>
          <w:szCs w:val="32"/>
        </w:rPr>
      </w:pPr>
      <w:r>
        <w:rPr>
          <w:rFonts w:hint="default" w:ascii="Times New Roman" w:hAnsi="Times New Roman" w:eastAsia="楷体_GB2312" w:cs="Times New Roman"/>
          <w:b/>
          <w:sz w:val="32"/>
          <w:szCs w:val="32"/>
        </w:rPr>
        <w:t>项目支出情况</w:t>
      </w:r>
    </w:p>
    <w:p w14:paraId="3DC6A99F">
      <w:pPr>
        <w:keepNext w:val="0"/>
        <w:keepLines w:val="0"/>
        <w:pageBreakBefore w:val="0"/>
        <w:wordWrap/>
        <w:overflowPunct/>
        <w:topLinePunct w:val="0"/>
        <w:bidi w:val="0"/>
        <w:spacing w:line="600" w:lineRule="exact"/>
        <w:ind w:left="0" w:firstLine="640" w:firstLineChars="200"/>
        <w:jc w:val="left"/>
        <w:rPr>
          <w:rFonts w:hint="eastAsia" w:ascii="仿宋_GB2312" w:hAnsi="仿宋_GB2312" w:eastAsia="仿宋_GB2312" w:cs="仿宋_GB2312"/>
          <w:color w:val="auto"/>
          <w:spacing w:val="-18"/>
          <w:kern w:val="0"/>
          <w:sz w:val="32"/>
          <w:szCs w:val="32"/>
        </w:rPr>
      </w:pPr>
      <w:r>
        <w:rPr>
          <w:rFonts w:hint="eastAsia" w:ascii="仿宋_GB2312" w:hAnsi="仿宋_GB2312" w:eastAsia="仿宋_GB2312" w:cs="仿宋_GB2312"/>
          <w:bCs/>
          <w:sz w:val="32"/>
          <w:szCs w:val="32"/>
        </w:rPr>
        <w:t>20</w:t>
      </w:r>
      <w:r>
        <w:rPr>
          <w:rFonts w:hint="eastAsia" w:ascii="仿宋_GB2312" w:hAnsi="仿宋_GB2312" w:eastAsia="仿宋_GB2312" w:cs="仿宋_GB2312"/>
          <w:bCs/>
          <w:sz w:val="32"/>
          <w:szCs w:val="32"/>
          <w:lang w:val="en-US" w:eastAsia="zh-CN"/>
        </w:rPr>
        <w:t>25</w:t>
      </w:r>
      <w:r>
        <w:rPr>
          <w:rFonts w:hint="eastAsia" w:ascii="仿宋_GB2312" w:hAnsi="仿宋_GB2312" w:eastAsia="仿宋_GB2312" w:cs="仿宋_GB2312"/>
          <w:bCs/>
          <w:sz w:val="32"/>
          <w:szCs w:val="32"/>
        </w:rPr>
        <w:t>年</w:t>
      </w:r>
      <w:r>
        <w:rPr>
          <w:rFonts w:hint="eastAsia" w:ascii="仿宋_GB2312" w:hAnsi="仿宋_GB2312" w:eastAsia="仿宋_GB2312" w:cs="仿宋_GB2312"/>
          <w:bCs/>
          <w:sz w:val="32"/>
          <w:szCs w:val="32"/>
          <w:lang w:eastAsia="zh-CN"/>
        </w:rPr>
        <w:t>，</w:t>
      </w:r>
      <w:r>
        <w:rPr>
          <w:rFonts w:hint="eastAsia" w:ascii="仿宋_GB2312" w:hAnsi="仿宋_GB2312" w:eastAsia="仿宋_GB2312" w:cs="仿宋_GB2312"/>
          <w:bCs/>
          <w:sz w:val="32"/>
          <w:szCs w:val="32"/>
        </w:rPr>
        <w:t>项目资金</w:t>
      </w:r>
      <w:r>
        <w:rPr>
          <w:rFonts w:hint="eastAsia" w:ascii="仿宋_GB2312" w:hAnsi="仿宋_GB2312" w:eastAsia="仿宋_GB2312" w:cs="仿宋_GB2312"/>
          <w:bCs/>
          <w:sz w:val="32"/>
          <w:szCs w:val="32"/>
          <w:lang w:val="en-US" w:eastAsia="zh-CN"/>
        </w:rPr>
        <w:t>年初</w:t>
      </w:r>
      <w:r>
        <w:rPr>
          <w:rFonts w:hint="eastAsia" w:ascii="仿宋_GB2312" w:hAnsi="仿宋_GB2312" w:eastAsia="仿宋_GB2312" w:cs="仿宋_GB2312"/>
          <w:bCs/>
          <w:sz w:val="32"/>
          <w:szCs w:val="32"/>
        </w:rPr>
        <w:t>预算</w:t>
      </w:r>
      <w:r>
        <w:rPr>
          <w:rFonts w:hint="eastAsia" w:ascii="仿宋_GB2312" w:hAnsi="仿宋_GB2312" w:eastAsia="仿宋_GB2312" w:cs="仿宋_GB2312"/>
          <w:bCs/>
          <w:sz w:val="32"/>
          <w:szCs w:val="32"/>
          <w:lang w:val="en-US" w:eastAsia="zh-CN"/>
        </w:rPr>
        <w:t>总额为</w:t>
      </w:r>
      <w:r>
        <w:rPr>
          <w:rFonts w:hint="eastAsia" w:ascii="仿宋_GB2312" w:hAnsi="仿宋_GB2312" w:eastAsia="仿宋_GB2312" w:cs="仿宋_GB2312"/>
          <w:bCs/>
          <w:color w:val="auto"/>
          <w:sz w:val="32"/>
          <w:szCs w:val="32"/>
          <w:lang w:val="en-US" w:eastAsia="zh-CN"/>
        </w:rPr>
        <w:t>390.30</w:t>
      </w:r>
      <w:r>
        <w:rPr>
          <w:rFonts w:hint="eastAsia" w:ascii="仿宋_GB2312" w:hAnsi="仿宋_GB2312" w:eastAsia="仿宋_GB2312" w:cs="仿宋_GB2312"/>
          <w:bCs/>
          <w:sz w:val="32"/>
          <w:szCs w:val="32"/>
        </w:rPr>
        <w:t>万元</w:t>
      </w:r>
      <w:r>
        <w:rPr>
          <w:rFonts w:hint="eastAsia" w:ascii="仿宋_GB2312" w:hAnsi="仿宋_GB2312" w:eastAsia="仿宋_GB2312" w:cs="仿宋_GB2312"/>
          <w:bCs/>
          <w:sz w:val="32"/>
          <w:szCs w:val="32"/>
          <w:lang w:val="en-US" w:eastAsia="zh-CN"/>
        </w:rPr>
        <w:t>，</w:t>
      </w:r>
      <w:r>
        <w:rPr>
          <w:rFonts w:hint="eastAsia" w:ascii="仿宋_GB2312" w:hAnsi="仿宋_GB2312" w:eastAsia="仿宋_GB2312" w:cs="仿宋_GB2312"/>
          <w:bCs/>
          <w:color w:val="auto"/>
          <w:sz w:val="32"/>
          <w:szCs w:val="32"/>
        </w:rPr>
        <w:t>项目</w:t>
      </w:r>
      <w:r>
        <w:rPr>
          <w:rFonts w:hint="eastAsia" w:ascii="仿宋_GB2312" w:hAnsi="仿宋_GB2312" w:eastAsia="仿宋_GB2312" w:cs="仿宋_GB2312"/>
          <w:bCs/>
          <w:color w:val="auto"/>
          <w:sz w:val="32"/>
          <w:szCs w:val="32"/>
          <w:lang w:val="en-US" w:eastAsia="zh-CN"/>
        </w:rPr>
        <w:t>实际</w:t>
      </w:r>
      <w:r>
        <w:rPr>
          <w:rFonts w:hint="eastAsia" w:ascii="仿宋_GB2312" w:hAnsi="仿宋_GB2312" w:eastAsia="仿宋_GB2312" w:cs="仿宋_GB2312"/>
          <w:bCs/>
          <w:color w:val="auto"/>
          <w:sz w:val="32"/>
          <w:szCs w:val="32"/>
        </w:rPr>
        <w:t>支出</w:t>
      </w:r>
      <w:r>
        <w:rPr>
          <w:rFonts w:hint="eastAsia" w:ascii="仿宋_GB2312" w:hAnsi="仿宋_GB2312" w:eastAsia="仿宋_GB2312" w:cs="仿宋_GB2312"/>
          <w:bCs/>
          <w:color w:val="auto"/>
          <w:sz w:val="32"/>
          <w:szCs w:val="32"/>
          <w:lang w:val="en-US" w:eastAsia="zh-CN"/>
        </w:rPr>
        <w:t>总金额为</w:t>
      </w:r>
      <w:r>
        <w:rPr>
          <w:rFonts w:hint="eastAsia" w:ascii="仿宋_GB2312" w:hAnsi="仿宋_GB2312" w:eastAsia="仿宋_GB2312" w:cs="仿宋_GB2312"/>
          <w:bCs/>
          <w:sz w:val="32"/>
          <w:szCs w:val="32"/>
          <w:lang w:val="en-US" w:eastAsia="zh-CN"/>
        </w:rPr>
        <w:t>358.41</w:t>
      </w:r>
      <w:r>
        <w:rPr>
          <w:rFonts w:hint="eastAsia" w:ascii="仿宋_GB2312" w:hAnsi="仿宋_GB2312" w:eastAsia="仿宋_GB2312" w:cs="仿宋_GB2312"/>
          <w:bCs/>
          <w:color w:val="auto"/>
          <w:sz w:val="32"/>
          <w:szCs w:val="32"/>
        </w:rPr>
        <w:t>万元，</w:t>
      </w:r>
      <w:r>
        <w:rPr>
          <w:rFonts w:hint="eastAsia" w:ascii="仿宋_GB2312" w:hAnsi="仿宋_GB2312" w:eastAsia="仿宋_GB2312" w:cs="仿宋_GB2312"/>
          <w:bCs/>
          <w:color w:val="auto"/>
          <w:sz w:val="32"/>
          <w:szCs w:val="32"/>
          <w:lang w:val="en-US" w:eastAsia="zh-CN"/>
        </w:rPr>
        <w:t>其中</w:t>
      </w:r>
      <w:r>
        <w:rPr>
          <w:rFonts w:hint="eastAsia" w:ascii="仿宋_GB2312" w:hAnsi="仿宋_GB2312" w:eastAsia="仿宋_GB2312" w:cs="仿宋_GB2312"/>
          <w:color w:val="auto"/>
          <w:sz w:val="32"/>
          <w:szCs w:val="32"/>
        </w:rPr>
        <w:t>城管事务</w:t>
      </w:r>
      <w:r>
        <w:rPr>
          <w:rFonts w:hint="eastAsia" w:ascii="仿宋_GB2312" w:hAnsi="仿宋_GB2312" w:eastAsia="仿宋_GB2312" w:cs="仿宋_GB2312"/>
          <w:color w:val="auto"/>
          <w:sz w:val="32"/>
          <w:szCs w:val="32"/>
          <w:lang w:val="en-US" w:eastAsia="zh-CN"/>
        </w:rPr>
        <w:t>管理</w:t>
      </w:r>
      <w:r>
        <w:rPr>
          <w:rFonts w:hint="eastAsia" w:ascii="仿宋_GB2312" w:hAnsi="仿宋_GB2312" w:eastAsia="仿宋_GB2312" w:cs="仿宋_GB2312"/>
          <w:color w:val="auto"/>
          <w:sz w:val="32"/>
          <w:szCs w:val="32"/>
        </w:rPr>
        <w:t>经费</w:t>
      </w:r>
      <w:r>
        <w:rPr>
          <w:rFonts w:hint="eastAsia" w:ascii="仿宋_GB2312" w:hAnsi="仿宋_GB2312" w:eastAsia="仿宋_GB2312" w:cs="仿宋_GB2312"/>
          <w:color w:val="auto"/>
          <w:sz w:val="32"/>
          <w:szCs w:val="32"/>
          <w:lang w:val="en-US" w:eastAsia="zh-CN"/>
        </w:rPr>
        <w:t>支出170.82</w:t>
      </w:r>
      <w:r>
        <w:rPr>
          <w:rFonts w:hint="eastAsia" w:ascii="仿宋_GB2312" w:hAnsi="仿宋_GB2312" w:eastAsia="仿宋_GB2312" w:cs="仿宋_GB2312"/>
          <w:bCs/>
          <w:color w:val="auto"/>
          <w:sz w:val="32"/>
          <w:szCs w:val="32"/>
        </w:rPr>
        <w:t>万元</w:t>
      </w:r>
      <w:r>
        <w:rPr>
          <w:rFonts w:hint="eastAsia" w:ascii="仿宋_GB2312" w:hAnsi="仿宋_GB2312" w:eastAsia="仿宋_GB2312" w:cs="仿宋_GB2312"/>
          <w:color w:val="auto"/>
          <w:sz w:val="32"/>
          <w:szCs w:val="32"/>
          <w:lang w:val="en-US" w:eastAsia="zh-CN"/>
        </w:rPr>
        <w:t>、</w:t>
      </w:r>
      <w:r>
        <w:rPr>
          <w:rFonts w:hint="eastAsia" w:ascii="仿宋_GB2312" w:hAnsi="仿宋_GB2312" w:eastAsia="仿宋_GB2312" w:cs="仿宋_GB2312"/>
          <w:color w:val="auto"/>
          <w:sz w:val="32"/>
          <w:szCs w:val="32"/>
        </w:rPr>
        <w:t>城管</w:t>
      </w:r>
      <w:r>
        <w:rPr>
          <w:rFonts w:hint="eastAsia" w:ascii="仿宋_GB2312" w:hAnsi="仿宋_GB2312" w:eastAsia="仿宋_GB2312" w:cs="仿宋_GB2312"/>
          <w:color w:val="auto"/>
          <w:sz w:val="32"/>
          <w:szCs w:val="32"/>
          <w:lang w:val="en-US" w:eastAsia="zh-CN"/>
        </w:rPr>
        <w:t>协管员人员</w:t>
      </w:r>
      <w:r>
        <w:rPr>
          <w:rFonts w:hint="eastAsia" w:ascii="仿宋_GB2312" w:hAnsi="仿宋_GB2312" w:eastAsia="仿宋_GB2312" w:cs="仿宋_GB2312"/>
          <w:color w:val="auto"/>
          <w:sz w:val="32"/>
          <w:szCs w:val="32"/>
        </w:rPr>
        <w:t>经费</w:t>
      </w:r>
      <w:r>
        <w:rPr>
          <w:rFonts w:hint="eastAsia" w:ascii="仿宋_GB2312" w:hAnsi="仿宋_GB2312" w:eastAsia="仿宋_GB2312" w:cs="仿宋_GB2312"/>
          <w:color w:val="auto"/>
          <w:sz w:val="32"/>
          <w:szCs w:val="32"/>
          <w:lang w:eastAsia="zh-CN"/>
        </w:rPr>
        <w:t>支出</w:t>
      </w:r>
      <w:r>
        <w:rPr>
          <w:rFonts w:hint="eastAsia" w:ascii="仿宋_GB2312" w:hAnsi="仿宋_GB2312" w:eastAsia="仿宋_GB2312" w:cs="仿宋_GB2312"/>
          <w:bCs/>
          <w:color w:val="auto"/>
          <w:sz w:val="32"/>
          <w:szCs w:val="32"/>
          <w:lang w:val="en-US" w:eastAsia="zh-CN"/>
        </w:rPr>
        <w:t>187.59万</w:t>
      </w:r>
      <w:r>
        <w:rPr>
          <w:rFonts w:hint="eastAsia" w:ascii="仿宋_GB2312" w:hAnsi="仿宋_GB2312" w:eastAsia="仿宋_GB2312" w:cs="仿宋_GB2312"/>
          <w:bCs/>
          <w:color w:val="auto"/>
          <w:sz w:val="32"/>
          <w:szCs w:val="32"/>
        </w:rPr>
        <w:t>元</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bCs/>
          <w:color w:val="auto"/>
          <w:sz w:val="32"/>
          <w:szCs w:val="32"/>
          <w:lang w:val="en-US" w:eastAsia="zh-CN"/>
        </w:rPr>
        <w:t>主要用于执法办案、燃气执法、固废执法、基建场地污染整治、户外广告整治、破道停车整治、扬尘治理、噪音治理、专业性考核</w:t>
      </w:r>
      <w:r>
        <w:rPr>
          <w:rFonts w:hint="eastAsia" w:ascii="仿宋_GB2312" w:hAnsi="仿宋_GB2312" w:eastAsia="仿宋_GB2312" w:cs="仿宋_GB2312"/>
          <w:bCs/>
          <w:strike w:val="0"/>
          <w:dstrike w:val="0"/>
          <w:color w:val="000000" w:themeColor="text1"/>
          <w:sz w:val="32"/>
          <w:szCs w:val="32"/>
          <w:lang w:val="en-US" w:eastAsia="zh-CN"/>
          <w14:textFill>
            <w14:solidFill>
              <w14:schemeClr w14:val="tx1"/>
            </w14:solidFill>
          </w14:textFill>
        </w:rPr>
        <w:t>和</w:t>
      </w:r>
      <w:r>
        <w:rPr>
          <w:rFonts w:hint="eastAsia" w:ascii="仿宋_GB2312" w:hAnsi="仿宋_GB2312" w:eastAsia="仿宋_GB2312" w:cs="仿宋_GB2312"/>
          <w:bCs/>
          <w:color w:val="auto"/>
          <w:sz w:val="32"/>
          <w:szCs w:val="32"/>
          <w:lang w:val="en-US" w:eastAsia="zh-CN"/>
        </w:rPr>
        <w:t>协管员劳务费等项目支出。</w:t>
      </w:r>
    </w:p>
    <w:p w14:paraId="3541F769">
      <w:pPr>
        <w:pStyle w:val="11"/>
        <w:keepNext w:val="0"/>
        <w:keepLines w:val="0"/>
        <w:pageBreakBefore w:val="0"/>
        <w:widowControl/>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黑体" w:cs="Times New Roman"/>
          <w:sz w:val="32"/>
          <w:szCs w:val="32"/>
        </w:rPr>
      </w:pPr>
      <w:r>
        <w:rPr>
          <w:rFonts w:hint="eastAsia" w:ascii="Times New Roman" w:hAnsi="Times New Roman" w:eastAsia="黑体" w:cs="Times New Roman"/>
          <w:sz w:val="32"/>
          <w:szCs w:val="32"/>
          <w:lang w:val="en-US" w:eastAsia="zh-CN"/>
        </w:rPr>
        <w:t>三、</w:t>
      </w:r>
      <w:r>
        <w:rPr>
          <w:rFonts w:hint="default" w:ascii="Times New Roman" w:hAnsi="Times New Roman" w:eastAsia="黑体" w:cs="Times New Roman"/>
          <w:sz w:val="32"/>
          <w:szCs w:val="32"/>
        </w:rPr>
        <w:t>政府性基金预算支出情况</w:t>
      </w:r>
    </w:p>
    <w:p w14:paraId="29FAF202">
      <w:pPr>
        <w:pStyle w:val="11"/>
        <w:keepNext w:val="0"/>
        <w:keepLines w:val="0"/>
        <w:pageBreakBefore w:val="0"/>
        <w:widowControl/>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黑体" w:cs="Times New Roman"/>
          <w:sz w:val="32"/>
          <w:szCs w:val="32"/>
        </w:rPr>
      </w:pPr>
      <w:r>
        <w:rPr>
          <w:rFonts w:hint="eastAsia" w:ascii="仿宋_GB2312" w:hAnsi="仿宋_GB2312" w:eastAsia="仿宋_GB2312" w:cs="仿宋_GB2312"/>
          <w:sz w:val="32"/>
          <w:szCs w:val="32"/>
          <w:lang w:val="en-US" w:eastAsia="zh-CN"/>
        </w:rPr>
        <w:t>我单位无</w:t>
      </w:r>
      <w:r>
        <w:rPr>
          <w:rFonts w:hint="eastAsia" w:ascii="仿宋_GB2312" w:hAnsi="仿宋_GB2312" w:eastAsia="仿宋_GB2312" w:cs="仿宋_GB2312"/>
          <w:sz w:val="32"/>
          <w:szCs w:val="32"/>
        </w:rPr>
        <w:t>政府性基金预算支出</w:t>
      </w:r>
      <w:r>
        <w:rPr>
          <w:rFonts w:hint="eastAsia" w:ascii="仿宋_GB2312" w:hAnsi="仿宋_GB2312" w:eastAsia="仿宋_GB2312" w:cs="仿宋_GB2312"/>
          <w:sz w:val="32"/>
          <w:szCs w:val="32"/>
          <w:lang w:val="en-US" w:eastAsia="zh-CN"/>
        </w:rPr>
        <w:t>。</w:t>
      </w:r>
    </w:p>
    <w:p w14:paraId="3DA8947D">
      <w:pPr>
        <w:pStyle w:val="11"/>
        <w:keepNext w:val="0"/>
        <w:keepLines w:val="0"/>
        <w:pageBreakBefore w:val="0"/>
        <w:widowControl/>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黑体" w:cs="Times New Roman"/>
          <w:sz w:val="32"/>
          <w:szCs w:val="32"/>
        </w:rPr>
      </w:pPr>
      <w:r>
        <w:rPr>
          <w:rFonts w:hint="eastAsia" w:ascii="Times New Roman" w:hAnsi="Times New Roman" w:eastAsia="黑体" w:cs="Times New Roman"/>
          <w:sz w:val="32"/>
          <w:szCs w:val="32"/>
          <w:lang w:val="en-US" w:eastAsia="zh-CN"/>
        </w:rPr>
        <w:t>四、</w:t>
      </w:r>
      <w:r>
        <w:rPr>
          <w:rFonts w:hint="default" w:ascii="Times New Roman" w:hAnsi="Times New Roman" w:eastAsia="黑体" w:cs="Times New Roman"/>
          <w:sz w:val="32"/>
          <w:szCs w:val="32"/>
        </w:rPr>
        <w:t>国有资本经营预算支出情况</w:t>
      </w:r>
    </w:p>
    <w:p w14:paraId="1416444C">
      <w:pPr>
        <w:pStyle w:val="11"/>
        <w:keepNext w:val="0"/>
        <w:keepLines w:val="0"/>
        <w:pageBreakBefore w:val="0"/>
        <w:widowControl/>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eastAsia" w:ascii="Times New Roman" w:hAnsi="Times New Roman" w:eastAsia="黑体" w:cs="Times New Roman"/>
          <w:sz w:val="32"/>
          <w:szCs w:val="32"/>
          <w:lang w:val="en-US" w:eastAsia="zh-CN"/>
        </w:rPr>
      </w:pPr>
      <w:r>
        <w:rPr>
          <w:rFonts w:hint="eastAsia" w:ascii="仿宋_GB2312" w:hAnsi="仿宋_GB2312" w:eastAsia="仿宋_GB2312" w:cs="仿宋_GB2312"/>
          <w:sz w:val="32"/>
          <w:szCs w:val="32"/>
          <w:lang w:val="en-US" w:eastAsia="zh-CN"/>
        </w:rPr>
        <w:t>我单位</w:t>
      </w:r>
      <w:r>
        <w:rPr>
          <w:rFonts w:hint="eastAsia" w:ascii="仿宋_GB2312" w:hAnsi="仿宋_GB2312" w:eastAsia="仿宋_GB2312" w:cs="仿宋_GB2312"/>
          <w:sz w:val="32"/>
          <w:szCs w:val="32"/>
        </w:rPr>
        <w:t>国有资本经营预算支出</w:t>
      </w:r>
      <w:r>
        <w:rPr>
          <w:rFonts w:hint="eastAsia" w:ascii="仿宋_GB2312" w:hAnsi="仿宋_GB2312" w:eastAsia="仿宋_GB2312" w:cs="仿宋_GB2312"/>
          <w:sz w:val="32"/>
          <w:szCs w:val="32"/>
          <w:lang w:val="en-US" w:eastAsia="zh-CN"/>
        </w:rPr>
        <w:t>。</w:t>
      </w:r>
    </w:p>
    <w:p w14:paraId="452450B8">
      <w:pPr>
        <w:pStyle w:val="11"/>
        <w:keepNext w:val="0"/>
        <w:keepLines w:val="0"/>
        <w:pageBreakBefore w:val="0"/>
        <w:widowControl/>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黑体" w:cs="Times New Roman"/>
          <w:sz w:val="32"/>
          <w:szCs w:val="32"/>
        </w:rPr>
      </w:pPr>
      <w:r>
        <w:rPr>
          <w:rFonts w:hint="eastAsia" w:ascii="Times New Roman" w:hAnsi="Times New Roman" w:eastAsia="黑体" w:cs="Times New Roman"/>
          <w:sz w:val="32"/>
          <w:szCs w:val="32"/>
          <w:lang w:val="en-US" w:eastAsia="zh-CN"/>
        </w:rPr>
        <w:t>五、</w:t>
      </w:r>
      <w:r>
        <w:rPr>
          <w:rFonts w:hint="default" w:ascii="Times New Roman" w:hAnsi="Times New Roman" w:eastAsia="黑体" w:cs="Times New Roman"/>
          <w:sz w:val="32"/>
          <w:szCs w:val="32"/>
        </w:rPr>
        <w:t>社会保险基金预算支出情况</w:t>
      </w:r>
    </w:p>
    <w:p w14:paraId="38D37231">
      <w:pPr>
        <w:pStyle w:val="11"/>
        <w:keepNext w:val="0"/>
        <w:keepLines w:val="0"/>
        <w:pageBreakBefore w:val="0"/>
        <w:widowControl/>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黑体" w:cs="Times New Roman"/>
          <w:sz w:val="32"/>
          <w:szCs w:val="32"/>
        </w:rPr>
      </w:pPr>
      <w:r>
        <w:rPr>
          <w:rFonts w:hint="eastAsia" w:ascii="仿宋_GB2312" w:hAnsi="仿宋_GB2312" w:eastAsia="仿宋_GB2312" w:cs="仿宋_GB2312"/>
          <w:sz w:val="32"/>
          <w:szCs w:val="32"/>
          <w:lang w:val="en-US" w:eastAsia="zh-CN"/>
        </w:rPr>
        <w:t>我单位</w:t>
      </w:r>
      <w:r>
        <w:rPr>
          <w:rFonts w:hint="eastAsia" w:ascii="仿宋_GB2312" w:hAnsi="仿宋_GB2312" w:eastAsia="仿宋_GB2312" w:cs="仿宋_GB2312"/>
          <w:sz w:val="32"/>
          <w:szCs w:val="32"/>
        </w:rPr>
        <w:t>社会保险基金预算支出</w:t>
      </w:r>
      <w:r>
        <w:rPr>
          <w:rFonts w:hint="eastAsia" w:ascii="仿宋_GB2312" w:hAnsi="仿宋_GB2312" w:eastAsia="仿宋_GB2312" w:cs="仿宋_GB2312"/>
          <w:sz w:val="32"/>
          <w:szCs w:val="32"/>
          <w:lang w:val="en-US" w:eastAsia="zh-CN"/>
        </w:rPr>
        <w:t>。</w:t>
      </w:r>
    </w:p>
    <w:p w14:paraId="654FA475">
      <w:pPr>
        <w:keepNext w:val="0"/>
        <w:keepLines w:val="0"/>
        <w:pageBreakBefore w:val="0"/>
        <w:widowControl/>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黑体" w:cs="Times New Roman"/>
          <w:sz w:val="32"/>
          <w:szCs w:val="32"/>
        </w:rPr>
      </w:pPr>
      <w:r>
        <w:rPr>
          <w:rFonts w:hint="eastAsia" w:ascii="Times New Roman" w:hAnsi="Times New Roman" w:eastAsia="黑体" w:cs="Times New Roman"/>
          <w:sz w:val="32"/>
          <w:szCs w:val="32"/>
          <w:lang w:val="en-US" w:eastAsia="zh-CN"/>
        </w:rPr>
        <w:t>六</w:t>
      </w:r>
      <w:r>
        <w:rPr>
          <w:rFonts w:hint="default" w:ascii="Times New Roman" w:hAnsi="Times New Roman" w:eastAsia="黑体" w:cs="Times New Roman"/>
          <w:sz w:val="32"/>
          <w:szCs w:val="32"/>
        </w:rPr>
        <w:t>、部门整体支出绩效情况</w:t>
      </w:r>
    </w:p>
    <w:p w14:paraId="62FFCBE6">
      <w:pPr>
        <w:keepNext w:val="0"/>
        <w:keepLines w:val="0"/>
        <w:pageBreakBefore w:val="0"/>
        <w:widowControl/>
        <w:kinsoku/>
        <w:wordWrap/>
        <w:overflowPunct/>
        <w:topLinePunct w:val="0"/>
        <w:autoSpaceDE/>
        <w:autoSpaceDN/>
        <w:bidi w:val="0"/>
        <w:adjustRightInd/>
        <w:snapToGrid/>
        <w:spacing w:line="600" w:lineRule="exact"/>
        <w:ind w:firstLine="643" w:firstLineChars="200"/>
        <w:jc w:val="left"/>
        <w:textAlignment w:val="auto"/>
        <w:rPr>
          <w:rFonts w:hint="default" w:ascii="Times New Roman" w:hAnsi="Times New Roman" w:eastAsia="仿宋_GB2312" w:cs="Times New Roman"/>
          <w:color w:val="000000"/>
          <w:sz w:val="32"/>
          <w:szCs w:val="32"/>
        </w:rPr>
      </w:pPr>
      <w:r>
        <w:rPr>
          <w:rFonts w:hint="eastAsia" w:ascii="楷体_GB2312" w:hAnsi="楷体_GB2312" w:eastAsia="楷体_GB2312" w:cs="楷体_GB2312"/>
          <w:b/>
          <w:bCs w:val="0"/>
          <w:color w:val="auto"/>
          <w:kern w:val="2"/>
          <w:sz w:val="32"/>
          <w:szCs w:val="32"/>
          <w:highlight w:val="none"/>
          <w:lang w:val="en-US" w:eastAsia="zh-CN" w:bidi="ar-SA"/>
        </w:rPr>
        <w:t>（一）年度绩效目标</w:t>
      </w:r>
    </w:p>
    <w:p w14:paraId="03102589">
      <w:pPr>
        <w:keepNext w:val="0"/>
        <w:keepLines w:val="0"/>
        <w:pageBreakBefore w:val="0"/>
        <w:widowControl/>
        <w:numPr>
          <w:ilvl w:val="0"/>
          <w:numId w:val="0"/>
        </w:numPr>
        <w:kinsoku/>
        <w:wordWrap/>
        <w:overflowPunct/>
        <w:topLinePunct w:val="0"/>
        <w:autoSpaceDE/>
        <w:autoSpaceDN/>
        <w:bidi w:val="0"/>
        <w:adjustRightInd/>
        <w:snapToGrid/>
        <w:spacing w:line="600" w:lineRule="exact"/>
        <w:ind w:firstLine="640" w:firstLineChars="200"/>
        <w:jc w:val="left"/>
        <w:textAlignment w:val="auto"/>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lang w:val="en-US" w:eastAsia="zh-CN"/>
        </w:rPr>
        <w:t>目标1：</w:t>
      </w:r>
      <w:r>
        <w:rPr>
          <w:rFonts w:hint="eastAsia" w:ascii="仿宋_GB2312" w:hAnsi="仿宋_GB2312" w:eastAsia="仿宋_GB2312" w:cs="仿宋_GB2312"/>
          <w:color w:val="000000"/>
          <w:sz w:val="32"/>
          <w:szCs w:val="32"/>
          <w:highlight w:val="none"/>
        </w:rPr>
        <w:t>贯彻执行国家有关城市管理方面的法律法规规章和政策规定</w:t>
      </w:r>
      <w:r>
        <w:rPr>
          <w:rFonts w:hint="eastAsia" w:ascii="仿宋_GB2312" w:hAnsi="仿宋_GB2312" w:eastAsia="仿宋_GB2312" w:cs="仿宋_GB2312"/>
          <w:color w:val="000000"/>
          <w:sz w:val="32"/>
          <w:szCs w:val="32"/>
          <w:highlight w:val="none"/>
          <w:lang w:eastAsia="zh-CN"/>
        </w:rPr>
        <w:t>，行政执法程序合法、依据合理，以事实为依据，以法律为准绳</w:t>
      </w:r>
      <w:r>
        <w:rPr>
          <w:rFonts w:hint="eastAsia" w:ascii="仿宋_GB2312" w:hAnsi="仿宋_GB2312" w:eastAsia="仿宋_GB2312" w:cs="仿宋_GB2312"/>
          <w:color w:val="000000"/>
          <w:sz w:val="32"/>
          <w:szCs w:val="32"/>
          <w:highlight w:val="none"/>
        </w:rPr>
        <w:t>；</w:t>
      </w:r>
    </w:p>
    <w:p w14:paraId="0B448111">
      <w:pPr>
        <w:keepNext w:val="0"/>
        <w:keepLines w:val="0"/>
        <w:pageBreakBefore w:val="0"/>
        <w:widowControl/>
        <w:numPr>
          <w:ilvl w:val="0"/>
          <w:numId w:val="0"/>
        </w:numPr>
        <w:kinsoku/>
        <w:wordWrap/>
        <w:overflowPunct/>
        <w:topLinePunct w:val="0"/>
        <w:autoSpaceDE/>
        <w:autoSpaceDN/>
        <w:bidi w:val="0"/>
        <w:adjustRightInd/>
        <w:snapToGrid/>
        <w:spacing w:line="600" w:lineRule="exact"/>
        <w:ind w:leftChars="0" w:firstLine="640" w:firstLineChars="200"/>
        <w:jc w:val="left"/>
        <w:textAlignment w:val="auto"/>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lang w:val="en-US" w:eastAsia="zh-CN"/>
        </w:rPr>
        <w:t>目标2：</w:t>
      </w:r>
      <w:r>
        <w:rPr>
          <w:rFonts w:hint="eastAsia" w:ascii="仿宋_GB2312" w:hAnsi="仿宋_GB2312" w:eastAsia="仿宋_GB2312" w:cs="仿宋_GB2312"/>
          <w:color w:val="000000"/>
          <w:sz w:val="32"/>
          <w:szCs w:val="32"/>
          <w:highlight w:val="none"/>
        </w:rPr>
        <w:t>行使市本级管理权限范围内</w:t>
      </w:r>
      <w:r>
        <w:rPr>
          <w:rFonts w:hint="eastAsia" w:ascii="仿宋_GB2312" w:hAnsi="仿宋_GB2312" w:eastAsia="仿宋_GB2312" w:cs="仿宋_GB2312"/>
          <w:color w:val="000000"/>
          <w:sz w:val="32"/>
          <w:szCs w:val="32"/>
          <w:highlight w:val="none"/>
          <w:lang w:eastAsia="zh-CN"/>
        </w:rPr>
        <w:t>，</w:t>
      </w:r>
      <w:r>
        <w:rPr>
          <w:rFonts w:hint="eastAsia" w:ascii="仿宋_GB2312" w:hAnsi="仿宋_GB2312" w:eastAsia="仿宋_GB2312" w:cs="仿宋_GB2312"/>
          <w:color w:val="000000"/>
          <w:sz w:val="32"/>
          <w:szCs w:val="32"/>
          <w:highlight w:val="none"/>
        </w:rPr>
        <w:t>城市管理方面的行政处罚权及相应的行政强制权</w:t>
      </w:r>
      <w:r>
        <w:rPr>
          <w:rFonts w:hint="eastAsia" w:ascii="仿宋_GB2312" w:hAnsi="仿宋_GB2312" w:eastAsia="仿宋_GB2312" w:cs="仿宋_GB2312"/>
          <w:color w:val="000000"/>
          <w:sz w:val="32"/>
          <w:szCs w:val="32"/>
          <w:highlight w:val="none"/>
          <w:lang w:eastAsia="zh-CN"/>
        </w:rPr>
        <w:t>，及时处理违规行为，强化行政管理，案件办理达40起</w:t>
      </w:r>
      <w:r>
        <w:rPr>
          <w:rFonts w:hint="eastAsia" w:ascii="仿宋_GB2312" w:hAnsi="仿宋_GB2312" w:eastAsia="仿宋_GB2312" w:cs="仿宋_GB2312"/>
          <w:color w:val="000000"/>
          <w:sz w:val="32"/>
          <w:szCs w:val="32"/>
          <w:highlight w:val="none"/>
        </w:rPr>
        <w:t>；</w:t>
      </w:r>
    </w:p>
    <w:p w14:paraId="66CAA38E">
      <w:pPr>
        <w:keepNext w:val="0"/>
        <w:keepLines w:val="0"/>
        <w:pageBreakBefore w:val="0"/>
        <w:widowControl/>
        <w:numPr>
          <w:ilvl w:val="0"/>
          <w:numId w:val="0"/>
        </w:numPr>
        <w:kinsoku/>
        <w:wordWrap/>
        <w:overflowPunct/>
        <w:topLinePunct w:val="0"/>
        <w:autoSpaceDE/>
        <w:autoSpaceDN/>
        <w:bidi w:val="0"/>
        <w:adjustRightInd/>
        <w:snapToGrid/>
        <w:spacing w:line="600" w:lineRule="exact"/>
        <w:ind w:leftChars="0" w:firstLine="640" w:firstLineChars="200"/>
        <w:jc w:val="left"/>
        <w:textAlignment w:val="auto"/>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lang w:val="en-US" w:eastAsia="zh-CN"/>
        </w:rPr>
        <w:t>目标3：</w:t>
      </w:r>
      <w:r>
        <w:rPr>
          <w:rFonts w:hint="eastAsia" w:ascii="仿宋_GB2312" w:hAnsi="仿宋_GB2312" w:eastAsia="仿宋_GB2312" w:cs="仿宋_GB2312"/>
          <w:color w:val="000000"/>
          <w:sz w:val="32"/>
          <w:szCs w:val="32"/>
          <w:highlight w:val="none"/>
          <w:lang w:eastAsia="zh-CN"/>
        </w:rPr>
        <w:t>依法行政、文明执法，管理和服务相结合，提升执法形象；</w:t>
      </w:r>
    </w:p>
    <w:p w14:paraId="79E676A0">
      <w:pPr>
        <w:keepNext w:val="0"/>
        <w:keepLines w:val="0"/>
        <w:pageBreakBefore w:val="0"/>
        <w:widowControl w:val="0"/>
        <w:kinsoku/>
        <w:wordWrap/>
        <w:overflowPunct/>
        <w:topLinePunct w:val="0"/>
        <w:autoSpaceDE/>
        <w:autoSpaceDN/>
        <w:bidi w:val="0"/>
        <w:adjustRightInd/>
        <w:snapToGrid/>
        <w:spacing w:line="600" w:lineRule="exact"/>
        <w:ind w:leftChars="0" w:firstLine="640" w:firstLineChars="200"/>
        <w:jc w:val="both"/>
        <w:textAlignment w:val="auto"/>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lang w:val="en-US" w:eastAsia="zh-CN"/>
        </w:rPr>
        <w:t>目标4：</w:t>
      </w:r>
      <w:r>
        <w:rPr>
          <w:rFonts w:hint="eastAsia" w:ascii="仿宋_GB2312" w:hAnsi="仿宋_GB2312" w:eastAsia="仿宋_GB2312" w:cs="仿宋_GB2312"/>
          <w:color w:val="000000"/>
          <w:sz w:val="32"/>
          <w:szCs w:val="32"/>
          <w:highlight w:val="none"/>
          <w:lang w:eastAsia="zh-CN"/>
        </w:rPr>
        <w:t>加强常态化管理，确保市容秩序整洁、城区环境优美，</w:t>
      </w:r>
      <w:r>
        <w:rPr>
          <w:rFonts w:hint="eastAsia" w:ascii="仿宋_GB2312" w:hAnsi="仿宋_GB2312" w:eastAsia="仿宋_GB2312" w:cs="仿宋_GB2312"/>
          <w:color w:val="000000"/>
          <w:sz w:val="32"/>
          <w:szCs w:val="32"/>
          <w:highlight w:val="none"/>
        </w:rPr>
        <w:t>为我市打造名副其实的省域副中心城市创造良好的市容管理秩序</w:t>
      </w:r>
      <w:r>
        <w:rPr>
          <w:rFonts w:hint="eastAsia" w:ascii="仿宋_GB2312" w:hAnsi="仿宋_GB2312" w:eastAsia="仿宋_GB2312" w:cs="仿宋_GB2312"/>
          <w:color w:val="000000"/>
          <w:sz w:val="32"/>
          <w:szCs w:val="32"/>
          <w:highlight w:val="none"/>
          <w:lang w:eastAsia="zh-CN"/>
        </w:rPr>
        <w:t>；</w:t>
      </w:r>
      <w:r>
        <w:rPr>
          <w:rFonts w:hint="eastAsia" w:ascii="仿宋_GB2312" w:hAnsi="仿宋_GB2312" w:eastAsia="仿宋_GB2312" w:cs="仿宋_GB2312"/>
          <w:color w:val="000000"/>
          <w:sz w:val="32"/>
          <w:szCs w:val="32"/>
          <w:highlight w:val="none"/>
        </w:rPr>
        <w:t>　</w:t>
      </w:r>
    </w:p>
    <w:p w14:paraId="510646A1">
      <w:pPr>
        <w:keepNext w:val="0"/>
        <w:keepLines w:val="0"/>
        <w:pageBreakBefore w:val="0"/>
        <w:widowControl w:val="0"/>
        <w:kinsoku/>
        <w:wordWrap/>
        <w:overflowPunct/>
        <w:topLinePunct w:val="0"/>
        <w:autoSpaceDE/>
        <w:autoSpaceDN/>
        <w:bidi w:val="0"/>
        <w:adjustRightInd/>
        <w:snapToGrid/>
        <w:spacing w:line="600" w:lineRule="exact"/>
        <w:ind w:leftChars="0" w:firstLine="640" w:firstLineChars="200"/>
        <w:jc w:val="both"/>
        <w:textAlignment w:val="auto"/>
        <w:rPr>
          <w:rFonts w:hint="eastAsia" w:ascii="仿宋_GB2312" w:hAnsi="仿宋_GB2312" w:eastAsia="仿宋_GB2312" w:cs="仿宋_GB2312"/>
          <w:color w:val="000000"/>
          <w:sz w:val="32"/>
          <w:szCs w:val="32"/>
          <w:highlight w:val="none"/>
          <w:lang w:eastAsia="zh-CN"/>
        </w:rPr>
      </w:pPr>
      <w:r>
        <w:rPr>
          <w:rFonts w:hint="eastAsia" w:ascii="仿宋_GB2312" w:hAnsi="仿宋_GB2312" w:eastAsia="仿宋_GB2312" w:cs="仿宋_GB2312"/>
          <w:color w:val="000000"/>
          <w:sz w:val="32"/>
          <w:szCs w:val="32"/>
          <w:lang w:val="en-US" w:eastAsia="zh-CN"/>
        </w:rPr>
        <w:t>目标5：</w:t>
      </w:r>
      <w:r>
        <w:rPr>
          <w:rFonts w:hint="eastAsia" w:ascii="仿宋_GB2312" w:hAnsi="仿宋_GB2312" w:eastAsia="仿宋_GB2312" w:cs="仿宋_GB2312"/>
          <w:color w:val="000000"/>
          <w:sz w:val="32"/>
          <w:szCs w:val="32"/>
          <w:highlight w:val="none"/>
          <w:lang w:eastAsia="zh-CN"/>
        </w:rPr>
        <w:t>按照计划和进度完成全年工作。</w:t>
      </w:r>
    </w:p>
    <w:p w14:paraId="340F2290">
      <w:pPr>
        <w:pStyle w:val="11"/>
        <w:keepNext w:val="0"/>
        <w:keepLines w:val="0"/>
        <w:pageBreakBefore w:val="0"/>
        <w:widowControl/>
        <w:numPr>
          <w:ilvl w:val="0"/>
          <w:numId w:val="3"/>
        </w:numPr>
        <w:kinsoku/>
        <w:wordWrap/>
        <w:overflowPunct/>
        <w:topLinePunct w:val="0"/>
        <w:autoSpaceDE/>
        <w:autoSpaceDN/>
        <w:bidi w:val="0"/>
        <w:adjustRightInd/>
        <w:snapToGrid/>
        <w:spacing w:line="600" w:lineRule="exact"/>
        <w:ind w:firstLine="643" w:firstLineChars="200"/>
        <w:jc w:val="left"/>
        <w:textAlignment w:val="auto"/>
        <w:rPr>
          <w:rFonts w:hint="eastAsia" w:ascii="楷体_GB2312" w:hAnsi="楷体_GB2312" w:eastAsia="楷体_GB2312" w:cs="楷体_GB2312"/>
          <w:b/>
          <w:bCs/>
          <w:kern w:val="0"/>
          <w:sz w:val="32"/>
          <w:szCs w:val="32"/>
          <w:lang w:val="en-US" w:eastAsia="zh-CN"/>
        </w:rPr>
      </w:pPr>
      <w:r>
        <w:rPr>
          <w:rFonts w:hint="eastAsia" w:ascii="楷体_GB2312" w:hAnsi="楷体_GB2312" w:eastAsia="楷体_GB2312" w:cs="楷体_GB2312"/>
          <w:b/>
          <w:bCs w:val="0"/>
          <w:color w:val="auto"/>
          <w:kern w:val="2"/>
          <w:sz w:val="32"/>
          <w:szCs w:val="32"/>
          <w:highlight w:val="none"/>
          <w:lang w:val="en-US" w:eastAsia="zh-CN" w:bidi="ar-SA"/>
        </w:rPr>
        <w:t>完成情况及</w:t>
      </w:r>
      <w:r>
        <w:rPr>
          <w:rFonts w:hint="eastAsia" w:ascii="楷体_GB2312" w:hAnsi="楷体_GB2312" w:eastAsia="楷体_GB2312" w:cs="楷体_GB2312"/>
          <w:b/>
          <w:bCs/>
          <w:kern w:val="0"/>
          <w:sz w:val="32"/>
          <w:szCs w:val="32"/>
          <w:lang w:val="en-US" w:eastAsia="zh-CN"/>
        </w:rPr>
        <w:t>取得的效益情况</w:t>
      </w:r>
    </w:p>
    <w:p w14:paraId="3A55B68F">
      <w:pPr>
        <w:keepNext w:val="0"/>
        <w:keepLines w:val="0"/>
        <w:pageBreakBefore w:val="0"/>
        <w:widowControl/>
        <w:numPr>
          <w:ilvl w:val="0"/>
          <w:numId w:val="0"/>
        </w:numPr>
        <w:kinsoku/>
        <w:wordWrap/>
        <w:overflowPunct/>
        <w:topLinePunct w:val="0"/>
        <w:autoSpaceDE/>
        <w:autoSpaceDN/>
        <w:bidi w:val="0"/>
        <w:adjustRightInd/>
        <w:snapToGrid/>
        <w:spacing w:line="600" w:lineRule="exact"/>
        <w:ind w:firstLine="640" w:firstLineChars="200"/>
        <w:jc w:val="lef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color w:val="000000"/>
          <w:sz w:val="32"/>
          <w:szCs w:val="32"/>
          <w:lang w:val="en-US" w:eastAsia="zh-CN"/>
        </w:rPr>
        <w:t>目标1完成情况：</w:t>
      </w:r>
      <w:r>
        <w:rPr>
          <w:rFonts w:hint="eastAsia" w:ascii="仿宋_GB2312" w:hAnsi="仿宋_GB2312" w:eastAsia="仿宋_GB2312" w:cs="仿宋_GB2312"/>
          <w:sz w:val="32"/>
          <w:szCs w:val="32"/>
          <w:lang w:eastAsia="zh-CN"/>
        </w:rPr>
        <w:t>贯彻执行国家有关城市管理方面的法律法规、规章</w:t>
      </w:r>
      <w:r>
        <w:rPr>
          <w:rFonts w:hint="eastAsia" w:ascii="仿宋_GB2312" w:hAnsi="仿宋_GB2312" w:eastAsia="仿宋_GB2312" w:cs="仿宋_GB2312"/>
          <w:sz w:val="32"/>
          <w:szCs w:val="32"/>
          <w:lang w:val="en-US" w:eastAsia="zh-CN"/>
        </w:rPr>
        <w:t>等</w:t>
      </w:r>
      <w:r>
        <w:rPr>
          <w:rFonts w:hint="eastAsia" w:ascii="仿宋_GB2312" w:hAnsi="仿宋_GB2312" w:eastAsia="仿宋_GB2312" w:cs="仿宋_GB2312"/>
          <w:sz w:val="32"/>
          <w:szCs w:val="32"/>
          <w:lang w:eastAsia="zh-CN"/>
        </w:rPr>
        <w:t>政策规定</w:t>
      </w:r>
      <w:r>
        <w:rPr>
          <w:rFonts w:hint="eastAsia" w:ascii="仿宋_GB2312" w:hAnsi="仿宋_GB2312" w:eastAsia="仿宋_GB2312" w:cs="仿宋_GB2312"/>
          <w:sz w:val="32"/>
          <w:szCs w:val="32"/>
          <w:lang w:val="en-US" w:eastAsia="zh-CN"/>
        </w:rPr>
        <w:t>效果良好，</w:t>
      </w:r>
      <w:r>
        <w:rPr>
          <w:rFonts w:hint="eastAsia" w:ascii="仿宋_GB2312" w:hAnsi="仿宋_GB2312" w:eastAsia="仿宋_GB2312" w:cs="仿宋_GB2312"/>
          <w:color w:val="000000"/>
          <w:sz w:val="32"/>
          <w:szCs w:val="32"/>
          <w:highlight w:val="none"/>
          <w:lang w:eastAsia="zh-CN"/>
        </w:rPr>
        <w:t>行政执法程序合法合规，以事实为依据，以法律为准绳，全年无法律纠纷</w:t>
      </w:r>
      <w:r>
        <w:rPr>
          <w:rFonts w:hint="eastAsia" w:ascii="仿宋_GB2312" w:hAnsi="仿宋_GB2312" w:eastAsia="仿宋_GB2312" w:cs="仿宋_GB2312"/>
          <w:color w:val="000000"/>
          <w:sz w:val="32"/>
          <w:szCs w:val="32"/>
          <w:highlight w:val="none"/>
        </w:rPr>
        <w:t>；</w:t>
      </w:r>
    </w:p>
    <w:p w14:paraId="47832990">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lang w:val="en-US" w:eastAsia="zh-CN"/>
        </w:rPr>
        <w:t>目标2完成情况：依法行使</w:t>
      </w:r>
      <w:r>
        <w:rPr>
          <w:rFonts w:hint="eastAsia" w:ascii="仿宋_GB2312" w:hAnsi="仿宋_GB2312" w:eastAsia="仿宋_GB2312" w:cs="仿宋_GB2312"/>
          <w:color w:val="000000"/>
          <w:sz w:val="32"/>
          <w:szCs w:val="32"/>
          <w:highlight w:val="none"/>
        </w:rPr>
        <w:t>市本级管理权限范围内</w:t>
      </w:r>
      <w:r>
        <w:rPr>
          <w:rFonts w:hint="eastAsia" w:ascii="仿宋_GB2312" w:hAnsi="仿宋_GB2312" w:eastAsia="仿宋_GB2312" w:cs="仿宋_GB2312"/>
          <w:color w:val="000000"/>
          <w:sz w:val="32"/>
          <w:szCs w:val="32"/>
          <w:highlight w:val="none"/>
          <w:lang w:eastAsia="zh-CN"/>
        </w:rPr>
        <w:t>，</w:t>
      </w:r>
      <w:r>
        <w:rPr>
          <w:rFonts w:hint="eastAsia" w:ascii="仿宋_GB2312" w:hAnsi="仿宋_GB2312" w:eastAsia="仿宋_GB2312" w:cs="仿宋_GB2312"/>
          <w:color w:val="000000"/>
          <w:sz w:val="32"/>
          <w:szCs w:val="32"/>
          <w:highlight w:val="none"/>
        </w:rPr>
        <w:t>城市管理方面的行政处罚权及相应的行政强制权</w:t>
      </w:r>
      <w:r>
        <w:rPr>
          <w:rFonts w:hint="eastAsia" w:ascii="仿宋_GB2312" w:hAnsi="仿宋_GB2312" w:eastAsia="仿宋_GB2312" w:cs="仿宋_GB2312"/>
          <w:color w:val="000000"/>
          <w:sz w:val="32"/>
          <w:szCs w:val="32"/>
          <w:highlight w:val="none"/>
          <w:lang w:eastAsia="zh-CN"/>
        </w:rPr>
        <w:t>，违规行为得到及时处置</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执法合法合规，效果良好</w:t>
      </w:r>
      <w:r>
        <w:rPr>
          <w:rFonts w:hint="eastAsia" w:ascii="仿宋_GB2312" w:hAnsi="仿宋_GB2312" w:eastAsia="仿宋_GB2312" w:cs="仿宋_GB2312"/>
          <w:sz w:val="32"/>
          <w:szCs w:val="32"/>
          <w:lang w:eastAsia="zh-CN"/>
        </w:rPr>
        <w:t>；</w:t>
      </w:r>
    </w:p>
    <w:p w14:paraId="242BF203">
      <w:pPr>
        <w:keepNext w:val="0"/>
        <w:keepLines w:val="0"/>
        <w:pageBreakBefore w:val="0"/>
        <w:widowControl/>
        <w:numPr>
          <w:ilvl w:val="0"/>
          <w:numId w:val="0"/>
        </w:numPr>
        <w:kinsoku/>
        <w:wordWrap/>
        <w:overflowPunct/>
        <w:topLinePunct w:val="0"/>
        <w:autoSpaceDE/>
        <w:autoSpaceDN/>
        <w:bidi w:val="0"/>
        <w:adjustRightInd/>
        <w:snapToGrid/>
        <w:spacing w:line="600" w:lineRule="exact"/>
        <w:ind w:leftChars="0" w:firstLine="640" w:firstLineChars="200"/>
        <w:jc w:val="left"/>
        <w:textAlignment w:val="auto"/>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lang w:val="en-US" w:eastAsia="zh-CN"/>
        </w:rPr>
        <w:t>目标3完成情况：进一步规范了</w:t>
      </w:r>
      <w:r>
        <w:rPr>
          <w:rFonts w:hint="eastAsia" w:ascii="仿宋_GB2312" w:hAnsi="仿宋_GB2312" w:eastAsia="仿宋_GB2312" w:cs="仿宋_GB2312"/>
          <w:color w:val="000000"/>
          <w:sz w:val="32"/>
          <w:szCs w:val="32"/>
          <w:highlight w:val="none"/>
          <w:lang w:eastAsia="zh-CN"/>
        </w:rPr>
        <w:t>行政执法程序和流程，管理和服务相结合，公众对城管执法工作认可度显著提升；</w:t>
      </w:r>
    </w:p>
    <w:p w14:paraId="4C708BE5">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color w:val="000000"/>
          <w:sz w:val="32"/>
          <w:szCs w:val="32"/>
          <w:lang w:val="en-US" w:eastAsia="zh-CN"/>
        </w:rPr>
        <w:t>目标4完成情况：</w:t>
      </w:r>
      <w:r>
        <w:rPr>
          <w:rFonts w:hint="eastAsia" w:ascii="仿宋_GB2312" w:hAnsi="仿宋_GB2312" w:eastAsia="仿宋_GB2312" w:cs="仿宋_GB2312"/>
          <w:color w:val="000000"/>
          <w:sz w:val="32"/>
          <w:szCs w:val="32"/>
          <w:highlight w:val="none"/>
          <w:lang w:eastAsia="zh-CN"/>
        </w:rPr>
        <w:t>加强了</w:t>
      </w:r>
      <w:r>
        <w:rPr>
          <w:rFonts w:hint="eastAsia" w:ascii="仿宋_GB2312" w:hAnsi="仿宋_GB2312" w:eastAsia="仿宋_GB2312" w:cs="仿宋_GB2312"/>
          <w:sz w:val="32"/>
          <w:szCs w:val="32"/>
          <w:lang w:eastAsia="zh-CN"/>
        </w:rPr>
        <w:t>市本级管理权限范围内建筑施工场地噪音污染、扬尘污染等生态环境保护和</w:t>
      </w:r>
      <w:r>
        <w:rPr>
          <w:rFonts w:hint="eastAsia" w:ascii="仿宋_GB2312" w:hAnsi="仿宋_GB2312" w:eastAsia="仿宋_GB2312" w:cs="仿宋_GB2312"/>
          <w:color w:val="000000"/>
          <w:sz w:val="32"/>
          <w:szCs w:val="32"/>
          <w:highlight w:val="none"/>
          <w:lang w:eastAsia="zh-CN"/>
        </w:rPr>
        <w:t>市容秩序</w:t>
      </w:r>
      <w:r>
        <w:rPr>
          <w:rFonts w:hint="eastAsia" w:ascii="仿宋_GB2312" w:hAnsi="仿宋_GB2312" w:eastAsia="仿宋_GB2312" w:cs="仿宋_GB2312"/>
          <w:sz w:val="32"/>
          <w:szCs w:val="32"/>
          <w:lang w:eastAsia="zh-CN"/>
        </w:rPr>
        <w:t>方面的</w:t>
      </w:r>
      <w:r>
        <w:rPr>
          <w:rFonts w:hint="eastAsia" w:ascii="仿宋_GB2312" w:hAnsi="仿宋_GB2312" w:eastAsia="仿宋_GB2312" w:cs="仿宋_GB2312"/>
          <w:color w:val="000000"/>
          <w:sz w:val="32"/>
          <w:szCs w:val="32"/>
          <w:highlight w:val="none"/>
          <w:lang w:eastAsia="zh-CN"/>
        </w:rPr>
        <w:t>常态化管理，</w:t>
      </w:r>
      <w:r>
        <w:rPr>
          <w:rFonts w:hint="eastAsia" w:ascii="仿宋_GB2312" w:hAnsi="仿宋_GB2312" w:eastAsia="仿宋_GB2312" w:cs="仿宋_GB2312"/>
          <w:color w:val="000000"/>
          <w:sz w:val="32"/>
          <w:szCs w:val="32"/>
          <w:highlight w:val="none"/>
        </w:rPr>
        <w:t>为我市打造名副其实的省域副中心城市创造</w:t>
      </w:r>
      <w:r>
        <w:rPr>
          <w:rFonts w:hint="eastAsia" w:ascii="仿宋_GB2312" w:hAnsi="仿宋_GB2312" w:eastAsia="仿宋_GB2312" w:cs="仿宋_GB2312"/>
          <w:color w:val="000000"/>
          <w:sz w:val="32"/>
          <w:szCs w:val="32"/>
          <w:highlight w:val="none"/>
          <w:lang w:eastAsia="zh-CN"/>
        </w:rPr>
        <w:t>了</w:t>
      </w:r>
      <w:r>
        <w:rPr>
          <w:rFonts w:hint="eastAsia" w:ascii="仿宋_GB2312" w:hAnsi="仿宋_GB2312" w:eastAsia="仿宋_GB2312" w:cs="仿宋_GB2312"/>
          <w:color w:val="000000"/>
          <w:sz w:val="32"/>
          <w:szCs w:val="32"/>
          <w:highlight w:val="none"/>
        </w:rPr>
        <w:t>良好的市容管理秩序</w:t>
      </w:r>
      <w:r>
        <w:rPr>
          <w:rFonts w:hint="eastAsia" w:ascii="仿宋_GB2312" w:hAnsi="仿宋_GB2312" w:eastAsia="仿宋_GB2312" w:cs="仿宋_GB2312"/>
          <w:sz w:val="32"/>
          <w:szCs w:val="32"/>
          <w:lang w:val="en-US" w:eastAsia="zh-CN"/>
        </w:rPr>
        <w:t>；</w:t>
      </w:r>
    </w:p>
    <w:p w14:paraId="3B721799">
      <w:pPr>
        <w:pStyle w:val="11"/>
        <w:keepNext w:val="0"/>
        <w:keepLines w:val="0"/>
        <w:pageBreakBefore w:val="0"/>
        <w:widowControl/>
        <w:numPr>
          <w:ilvl w:val="0"/>
          <w:numId w:val="0"/>
        </w:numPr>
        <w:kinsoku/>
        <w:wordWrap/>
        <w:overflowPunct/>
        <w:topLinePunct w:val="0"/>
        <w:autoSpaceDE/>
        <w:autoSpaceDN/>
        <w:bidi w:val="0"/>
        <w:adjustRightInd/>
        <w:snapToGrid/>
        <w:spacing w:line="600" w:lineRule="exact"/>
        <w:jc w:val="left"/>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color w:val="000000"/>
          <w:sz w:val="32"/>
          <w:szCs w:val="32"/>
          <w:lang w:val="en-US" w:eastAsia="zh-CN"/>
        </w:rPr>
        <w:t>目标5完成情况：</w:t>
      </w:r>
      <w:r>
        <w:rPr>
          <w:rFonts w:hint="eastAsia" w:ascii="仿宋_GB2312" w:hAnsi="仿宋_GB2312" w:eastAsia="仿宋_GB2312" w:cs="仿宋_GB2312"/>
          <w:color w:val="000000"/>
          <w:sz w:val="32"/>
          <w:szCs w:val="32"/>
          <w:highlight w:val="none"/>
          <w:lang w:eastAsia="zh-CN"/>
        </w:rPr>
        <w:t>如期高质量圆满完成了</w:t>
      </w:r>
      <w:r>
        <w:rPr>
          <w:rFonts w:hint="eastAsia" w:ascii="仿宋_GB2312" w:hAnsi="仿宋_GB2312" w:eastAsia="仿宋_GB2312" w:cs="仿宋_GB2312"/>
          <w:color w:val="000000"/>
          <w:sz w:val="32"/>
          <w:szCs w:val="32"/>
          <w:lang w:val="en-US" w:eastAsia="zh-CN"/>
        </w:rPr>
        <w:t>年度各项工作</w:t>
      </w:r>
      <w:r>
        <w:rPr>
          <w:rFonts w:hint="eastAsia" w:ascii="仿宋_GB2312" w:hAnsi="仿宋_GB2312" w:eastAsia="仿宋_GB2312" w:cs="仿宋_GB2312"/>
          <w:color w:val="000000"/>
          <w:sz w:val="32"/>
          <w:szCs w:val="32"/>
          <w:highlight w:val="none"/>
          <w:lang w:eastAsia="zh-CN"/>
        </w:rPr>
        <w:t>任务。</w:t>
      </w:r>
    </w:p>
    <w:p w14:paraId="3DB59480">
      <w:pPr>
        <w:pStyle w:val="11"/>
        <w:keepNext w:val="0"/>
        <w:keepLines w:val="0"/>
        <w:pageBreakBefore w:val="0"/>
        <w:widowControl/>
        <w:numPr>
          <w:ilvl w:val="0"/>
          <w:numId w:val="0"/>
        </w:numPr>
        <w:kinsoku/>
        <w:wordWrap/>
        <w:overflowPunct/>
        <w:topLinePunct w:val="0"/>
        <w:autoSpaceDE/>
        <w:autoSpaceDN/>
        <w:bidi w:val="0"/>
        <w:adjustRightInd/>
        <w:snapToGrid/>
        <w:spacing w:line="600" w:lineRule="exact"/>
        <w:ind w:firstLine="643" w:firstLineChars="200"/>
        <w:jc w:val="left"/>
        <w:textAlignment w:val="auto"/>
        <w:rPr>
          <w:rFonts w:hint="eastAsia" w:ascii="仿宋_GB2312" w:hAnsi="仿宋_GB2312" w:eastAsia="仿宋_GB2312" w:cs="仿宋_GB2312"/>
          <w:b w:val="0"/>
          <w:bCs w:val="0"/>
          <w:color w:val="auto"/>
          <w:kern w:val="0"/>
          <w:sz w:val="32"/>
          <w:szCs w:val="32"/>
          <w:lang w:val="en-US" w:eastAsia="zh-CN"/>
        </w:rPr>
      </w:pPr>
      <w:r>
        <w:rPr>
          <w:rFonts w:hint="eastAsia" w:ascii="仿宋_GB2312" w:hAnsi="仿宋_GB2312" w:eastAsia="仿宋_GB2312" w:cs="仿宋_GB2312"/>
          <w:b/>
          <w:bCs/>
          <w:color w:val="auto"/>
          <w:kern w:val="0"/>
          <w:sz w:val="32"/>
          <w:szCs w:val="32"/>
          <w:lang w:val="en-US" w:eastAsia="zh-CN"/>
        </w:rPr>
        <w:t>取得的效益情况：</w:t>
      </w:r>
    </w:p>
    <w:p w14:paraId="4CC7F38F">
      <w:pPr>
        <w:keepNext w:val="0"/>
        <w:keepLines w:val="0"/>
        <w:pageBreakBefore w:val="0"/>
        <w:widowControl w:val="0"/>
        <w:numPr>
          <w:ilvl w:val="0"/>
          <w:numId w:val="0"/>
        </w:numPr>
        <w:kinsoku/>
        <w:wordWrap/>
        <w:overflowPunct/>
        <w:topLinePunct w:val="0"/>
        <w:autoSpaceDE/>
        <w:autoSpaceDN/>
        <w:bidi w:val="0"/>
        <w:adjustRightInd/>
        <w:snapToGrid w:val="0"/>
        <w:spacing w:line="540" w:lineRule="exact"/>
        <w:ind w:right="0" w:rightChars="0" w:firstLine="640" w:firstLineChars="200"/>
        <w:jc w:val="both"/>
        <w:textAlignment w:val="auto"/>
        <w:rPr>
          <w:rFonts w:hint="eastAsia" w:ascii="仿宋_GB2312" w:hAnsi="仿宋_GB2312" w:eastAsia="仿宋_GB2312" w:cs="仿宋_GB2312"/>
          <w:sz w:val="32"/>
          <w:szCs w:val="32"/>
          <w:lang w:val="en" w:eastAsia="zh-CN"/>
        </w:rPr>
      </w:pPr>
      <w:r>
        <w:rPr>
          <w:rFonts w:hint="eastAsia" w:ascii="仿宋_GB2312" w:hAnsi="仿宋_GB2312" w:eastAsia="仿宋_GB2312" w:cs="仿宋_GB2312"/>
          <w:sz w:val="32"/>
          <w:szCs w:val="32"/>
          <w:lang w:val="en-US" w:eastAsia="zh-CN"/>
        </w:rPr>
        <w:t>2025年，在市委市政府和市城管局的坚强领导下，全队上下始终保持昂扬向上、奋发有为的精神状态，把准事业方向，鼓舞工作干劲，以精管善治赋能“七个岳阳”，用执法为民守护“六大城管”，为城管执法事业高质量发展提供坚实有力的支撑和保障，</w:t>
      </w:r>
      <w:r>
        <w:rPr>
          <w:rFonts w:hint="eastAsia" w:ascii="仿宋_GB2312" w:hAnsi="仿宋_GB2312" w:eastAsia="仿宋_GB2312" w:cs="仿宋_GB2312"/>
          <w:sz w:val="32"/>
          <w:szCs w:val="32"/>
          <w:lang w:val="en" w:eastAsia="zh-CN"/>
        </w:rPr>
        <w:t>具体情况如下：</w:t>
      </w:r>
    </w:p>
    <w:p w14:paraId="2590C684">
      <w:pPr>
        <w:keepNext w:val="0"/>
        <w:keepLines w:val="0"/>
        <w:pageBreakBefore w:val="0"/>
        <w:widowControl w:val="0"/>
        <w:numPr>
          <w:ilvl w:val="0"/>
          <w:numId w:val="0"/>
        </w:numPr>
        <w:kinsoku/>
        <w:wordWrap/>
        <w:overflowPunct/>
        <w:topLinePunct w:val="0"/>
        <w:autoSpaceDE/>
        <w:autoSpaceDN/>
        <w:bidi w:val="0"/>
        <w:adjustRightInd/>
        <w:snapToGrid w:val="0"/>
        <w:spacing w:line="540" w:lineRule="exact"/>
        <w:ind w:right="0" w:rightChars="0"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1、坚持政治领航、把舵定向，在筑牢党建根基中凝聚奋进力量</w:t>
      </w:r>
    </w:p>
    <w:p w14:paraId="69CB441A">
      <w:pPr>
        <w:keepNext w:val="0"/>
        <w:keepLines w:val="0"/>
        <w:pageBreakBefore w:val="0"/>
        <w:widowControl w:val="0"/>
        <w:numPr>
          <w:ilvl w:val="0"/>
          <w:numId w:val="0"/>
        </w:numPr>
        <w:kinsoku/>
        <w:wordWrap/>
        <w:overflowPunct/>
        <w:topLinePunct w:val="0"/>
        <w:autoSpaceDE/>
        <w:autoSpaceDN/>
        <w:bidi w:val="0"/>
        <w:adjustRightInd/>
        <w:snapToGrid w:val="0"/>
        <w:spacing w:line="540" w:lineRule="exact"/>
        <w:ind w:right="0" w:rightChars="0"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政治忠诚底色更加鲜明。始终把党的政治建设摆在首位，将学习贯彻习近平新时代中国特色社会主义思想和党的二十届四中全会精神以及习近平总书记最新重要讲话和指示批示精神作为首要政治任务。支队党委理论学习中心组全年开展12次集中学习，举办读书班4期，党委班子成员深入基层带头讲授专题党课12次，各级基层党组织开展主题党日等活动60多次，跟进学习研讨活动上百次。深化意识形态与执法实践融合，将思想引领嵌入执法全流程，完善舆情监测处置机制，全年稳妥应对网络舆情3起，刊发正面宣传报道300余篇，切实筑牢了意识形态安全屏障。</w:t>
      </w:r>
    </w:p>
    <w:p w14:paraId="596556FA">
      <w:pPr>
        <w:keepNext w:val="0"/>
        <w:keepLines w:val="0"/>
        <w:pageBreakBefore w:val="0"/>
        <w:widowControl w:val="0"/>
        <w:numPr>
          <w:ilvl w:val="0"/>
          <w:numId w:val="0"/>
        </w:numPr>
        <w:kinsoku/>
        <w:wordWrap/>
        <w:overflowPunct/>
        <w:topLinePunct w:val="0"/>
        <w:autoSpaceDE/>
        <w:autoSpaceDN/>
        <w:bidi w:val="0"/>
        <w:adjustRightInd/>
        <w:snapToGrid w:val="0"/>
        <w:spacing w:line="540" w:lineRule="exact"/>
        <w:ind w:right="0" w:rightChars="0"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党建引领作用更加突显。紧扣干部队伍调整实际，7个党总（支）部通过党员大会增补委员29名、调整书记2名；推进基层党堡垒建设，完成机关退休党支部换届，指导5个党总支设立30个党支部并完成支委选举，基层党组织架构体系实现全覆盖。强化党建履职责任，组织9个党（总）支开展年度述职评议，评议对象和点评形式分获市局好评。规范党员教育管理，采取“上级调训+自主培训”模式组织党建业务培训6次，推选住建大队党支部在市局培训班情境模拟演示组织生活会规范流程，受多方点赞；完成498名党员党内统计工作，严格审核2名预备党员转正、1名发展对象入党，党员队伍结构持续优化。</w:t>
      </w:r>
    </w:p>
    <w:p w14:paraId="64FE1340">
      <w:pPr>
        <w:keepNext w:val="0"/>
        <w:keepLines w:val="0"/>
        <w:pageBreakBefore w:val="0"/>
        <w:widowControl w:val="0"/>
        <w:numPr>
          <w:ilvl w:val="0"/>
          <w:numId w:val="0"/>
        </w:numPr>
        <w:kinsoku/>
        <w:wordWrap/>
        <w:overflowPunct/>
        <w:topLinePunct w:val="0"/>
        <w:autoSpaceDE/>
        <w:autoSpaceDN/>
        <w:bidi w:val="0"/>
        <w:adjustRightInd/>
        <w:snapToGrid w:val="0"/>
        <w:spacing w:line="540" w:lineRule="exact"/>
        <w:ind w:right="0" w:rightChars="0"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党群同心合力更加强劲。坚持以党建带群建，工会通过代表大会和会员大会构建起“联合工会+基层工会”的组织网络，先后举办了女职工讲座、“夏送清凉”、健步行等一系列活动，组织干部职工参与的市直羽毛球、游泳、拔河等文体比赛屡获佳绩。党群和工会线建立帮扶台账，全年慰问困难职工及党员83人次，持续传递组织温暖；组织退休老同志开展红色教育等主题活动，有效凝聚“银发力量”。坚持以党建合群心，始终把职工关切点作为党委关注点，推动市委编办出台政策口径文件，稳妥解决了一批关系职工政治、经济待遇等切身利益的问题；始终把基层需求作为党委所求，全力保障执法车辆、装备配备及各项事务经费的落实，为队伍稳定与高效运转提供了坚实支撑。</w:t>
      </w:r>
    </w:p>
    <w:p w14:paraId="79ED735B">
      <w:pPr>
        <w:keepNext w:val="0"/>
        <w:keepLines w:val="0"/>
        <w:pageBreakBefore w:val="0"/>
        <w:widowControl w:val="0"/>
        <w:numPr>
          <w:ilvl w:val="0"/>
          <w:numId w:val="0"/>
        </w:numPr>
        <w:kinsoku/>
        <w:wordWrap/>
        <w:overflowPunct/>
        <w:topLinePunct w:val="0"/>
        <w:autoSpaceDE/>
        <w:autoSpaceDN/>
        <w:bidi w:val="0"/>
        <w:adjustRightInd/>
        <w:snapToGrid w:val="0"/>
        <w:spacing w:line="540" w:lineRule="exact"/>
        <w:ind w:right="0" w:rightChars="0"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2、坚持精细管理、创新赋能，在提升城市品质中展现城管作为</w:t>
      </w:r>
    </w:p>
    <w:p w14:paraId="1D56E7ED">
      <w:pPr>
        <w:keepNext w:val="0"/>
        <w:keepLines w:val="0"/>
        <w:pageBreakBefore w:val="0"/>
        <w:widowControl w:val="0"/>
        <w:numPr>
          <w:ilvl w:val="0"/>
          <w:numId w:val="0"/>
        </w:numPr>
        <w:kinsoku/>
        <w:wordWrap/>
        <w:overflowPunct/>
        <w:topLinePunct w:val="0"/>
        <w:autoSpaceDE/>
        <w:autoSpaceDN/>
        <w:bidi w:val="0"/>
        <w:adjustRightInd/>
        <w:snapToGrid w:val="0"/>
        <w:spacing w:line="540" w:lineRule="exact"/>
        <w:ind w:right="0" w:rightChars="0"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市容秩序管控更加精准。全年规范出店及占道经营18.6万余起、流动摊点2.7万余个。聚焦重点区域，在校园周边设立“党员护学岗”，常态维护上下学秩序；对农集贸市场周边实行“错时值守+联合巡查”，有效整治马路市场。扎实推进安全隐患排查，拆除破损违规广告牌341处、伸缩棚100余个，切实守护群众“头顶安全”。深化停车秩序治理，劝离违停车辆5.1万余台次、贴单处罚3.1万余台，施划更新停车位300余个，停车乱象得到明显改善。</w:t>
      </w:r>
    </w:p>
    <w:p w14:paraId="689939D1">
      <w:pPr>
        <w:keepNext w:val="0"/>
        <w:keepLines w:val="0"/>
        <w:pageBreakBefore w:val="0"/>
        <w:widowControl w:val="0"/>
        <w:numPr>
          <w:ilvl w:val="0"/>
          <w:numId w:val="0"/>
        </w:numPr>
        <w:kinsoku/>
        <w:wordWrap/>
        <w:overflowPunct/>
        <w:topLinePunct w:val="0"/>
        <w:autoSpaceDE/>
        <w:autoSpaceDN/>
        <w:bidi w:val="0"/>
        <w:adjustRightInd/>
        <w:snapToGrid w:val="0"/>
        <w:spacing w:line="540" w:lineRule="exact"/>
        <w:ind w:right="0" w:rightChars="0"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治理模式创新更加有力。全面推行“扫码入企”智慧监管，落实执法人员“证码双亮”，全年共规范入企检查23次，有效减轻企业负担。升级建筑垃圾管控体系，安装7处太阳能监控并接入智慧城管平台，依托电子围栏、实时抓拍功能实现24小时不间断防控，推动监管从“人防”向“技防”转型。建立“城管+公安+交通”联勤联动机制，开展“打非治违”联合执法行动190次，查处非法运营车辆36台，移送公安机关依法行政拘留1人，有力维护了岳阳窗口形象。</w:t>
      </w:r>
    </w:p>
    <w:p w14:paraId="21EC3487">
      <w:pPr>
        <w:keepNext w:val="0"/>
        <w:keepLines w:val="0"/>
        <w:pageBreakBefore w:val="0"/>
        <w:widowControl w:val="0"/>
        <w:numPr>
          <w:ilvl w:val="0"/>
          <w:numId w:val="0"/>
        </w:numPr>
        <w:kinsoku/>
        <w:wordWrap/>
        <w:overflowPunct/>
        <w:topLinePunct w:val="0"/>
        <w:autoSpaceDE/>
        <w:autoSpaceDN/>
        <w:bidi w:val="0"/>
        <w:adjustRightInd/>
        <w:snapToGrid w:val="0"/>
        <w:spacing w:line="540" w:lineRule="exact"/>
        <w:ind w:right="0" w:rightChars="0"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专项行动成果更加显著。聚焦重点领域开展系列整治，完成29家停车场合规化整改，拆除违规道闸54处，畅通静态交通环境；规范整治“一店多招”131处，协同完成18处门头招牌标准化改造，提升街区立面秩序；扎实开展燃气安全专项执法检查1647家次，整改隐患1700余处，切实守护群众生活环境与用气安全。特别是春节期间“禁炮”专项行动，我们提前部署、全面动员，建立起全域覆盖、联防联控的工作体系。跨年夜、除夕夜、元宵夜期间，各级班子带头下沉一线，按照“定人、定岗、定责”要求，在景区、广场等重点部位冒雨坚守、全程管控，圆满完成禁燃任务；除夕当天中心城区PM2.5浓度同比下降超70%，空气质量达近年最优水平，工作成效获得上级充分肯定。</w:t>
      </w:r>
    </w:p>
    <w:p w14:paraId="75C4DC95">
      <w:pPr>
        <w:keepNext w:val="0"/>
        <w:keepLines w:val="0"/>
        <w:pageBreakBefore w:val="0"/>
        <w:widowControl w:val="0"/>
        <w:numPr>
          <w:ilvl w:val="0"/>
          <w:numId w:val="0"/>
        </w:numPr>
        <w:kinsoku/>
        <w:wordWrap/>
        <w:overflowPunct/>
        <w:topLinePunct w:val="0"/>
        <w:autoSpaceDE/>
        <w:autoSpaceDN/>
        <w:bidi w:val="0"/>
        <w:adjustRightInd/>
        <w:snapToGrid w:val="0"/>
        <w:spacing w:line="540" w:lineRule="exact"/>
        <w:ind w:right="0" w:rightChars="0"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3、坚持依法行政、规范履职，在深化法治实践中彰显执法权威</w:t>
      </w:r>
    </w:p>
    <w:p w14:paraId="46F502AF">
      <w:pPr>
        <w:keepNext w:val="0"/>
        <w:keepLines w:val="0"/>
        <w:pageBreakBefore w:val="0"/>
        <w:widowControl w:val="0"/>
        <w:numPr>
          <w:ilvl w:val="0"/>
          <w:numId w:val="0"/>
        </w:numPr>
        <w:kinsoku/>
        <w:wordWrap/>
        <w:overflowPunct/>
        <w:topLinePunct w:val="0"/>
        <w:autoSpaceDE/>
        <w:autoSpaceDN/>
        <w:bidi w:val="0"/>
        <w:adjustRightInd/>
        <w:snapToGrid w:val="0"/>
        <w:spacing w:line="540" w:lineRule="exact"/>
        <w:ind w:right="0" w:rightChars="0"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法制宣传教育更加深入。制定并落实年度法制培训计划，组织开展专题培训8次、“以案释法”研讨6次，坚持集中学习与个人自学相结合，实现全体在职人员学法考法通过率100%，新增77人通过行政执法资格考试。创新普法形式，深入开展“法律六进”活动112次，发放宣传资料14.6万余份，覆盖群众上万人，全面落实“谁执法谁普法”的普法责任，让法治理念浸润人心、落地生根。</w:t>
      </w:r>
    </w:p>
    <w:p w14:paraId="1E042CC5">
      <w:pPr>
        <w:keepNext w:val="0"/>
        <w:keepLines w:val="0"/>
        <w:pageBreakBefore w:val="0"/>
        <w:widowControl w:val="0"/>
        <w:numPr>
          <w:ilvl w:val="0"/>
          <w:numId w:val="0"/>
        </w:numPr>
        <w:kinsoku/>
        <w:wordWrap/>
        <w:overflowPunct/>
        <w:topLinePunct w:val="0"/>
        <w:autoSpaceDE/>
        <w:autoSpaceDN/>
        <w:bidi w:val="0"/>
        <w:adjustRightInd/>
        <w:snapToGrid w:val="0"/>
        <w:spacing w:line="540" w:lineRule="exact"/>
        <w:ind w:right="0" w:rightChars="0"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执法案件办理更加严谨。持续完善执法制度体系，优化案件办理全流程。全年办理行政处罚案件1081起，处罚金额154万余元，未发生重大执法过错。强化案件审核监督，组织召开案件合议会8次，完成法制初步审核169件；规范执法程序与文书制作，完善案卷自查与评查闭环机制，全年开展案卷检查4次，16卷参评案卷均高质量通过省、市司法部门评查，坚实筑牢执法公信力根基。</w:t>
      </w:r>
    </w:p>
    <w:p w14:paraId="08607665">
      <w:pPr>
        <w:keepNext w:val="0"/>
        <w:keepLines w:val="0"/>
        <w:pageBreakBefore w:val="0"/>
        <w:widowControl w:val="0"/>
        <w:numPr>
          <w:ilvl w:val="0"/>
          <w:numId w:val="0"/>
        </w:numPr>
        <w:kinsoku/>
        <w:wordWrap/>
        <w:overflowPunct/>
        <w:topLinePunct w:val="0"/>
        <w:autoSpaceDE/>
        <w:autoSpaceDN/>
        <w:bidi w:val="0"/>
        <w:adjustRightInd/>
        <w:snapToGrid w:val="0"/>
        <w:spacing w:line="540" w:lineRule="exact"/>
        <w:ind w:right="0" w:rightChars="0"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依法执法行为更加规范。建立执法联动和协调机制，积极协调司法、住建、交通、生态环境等部门，推动解决生态环保、生活噪音、建设工程质量、非法营运等专业执法问题，办理了“KOK酒吧噪音污染”“洞庭新天地装修”等一批重大典型案例。依法妥善处置行政复议与诉讼，办理“信息公开”行政复议和行政诉讼案各1起。邀请驻队律师常态化参与指导，精准提供专业法律意见，为支队法制建设提供了坚实保障。</w:t>
      </w:r>
    </w:p>
    <w:p w14:paraId="5DE692DB">
      <w:pPr>
        <w:keepNext w:val="0"/>
        <w:keepLines w:val="0"/>
        <w:pageBreakBefore w:val="0"/>
        <w:widowControl w:val="0"/>
        <w:numPr>
          <w:ilvl w:val="0"/>
          <w:numId w:val="0"/>
        </w:numPr>
        <w:kinsoku/>
        <w:wordWrap/>
        <w:overflowPunct/>
        <w:topLinePunct w:val="0"/>
        <w:autoSpaceDE/>
        <w:autoSpaceDN/>
        <w:bidi w:val="0"/>
        <w:adjustRightInd/>
        <w:snapToGrid w:val="0"/>
        <w:spacing w:line="540" w:lineRule="exact"/>
        <w:ind w:right="0" w:rightChars="0"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4、坚持人民至上、共建共享，在优化服务保障中增进民生福祉</w:t>
      </w:r>
    </w:p>
    <w:p w14:paraId="7C46B901">
      <w:pPr>
        <w:keepNext w:val="0"/>
        <w:keepLines w:val="0"/>
        <w:pageBreakBefore w:val="0"/>
        <w:widowControl w:val="0"/>
        <w:numPr>
          <w:ilvl w:val="0"/>
          <w:numId w:val="0"/>
        </w:numPr>
        <w:kinsoku/>
        <w:wordWrap/>
        <w:overflowPunct/>
        <w:topLinePunct w:val="0"/>
        <w:autoSpaceDE/>
        <w:autoSpaceDN/>
        <w:bidi w:val="0"/>
        <w:adjustRightInd/>
        <w:snapToGrid w:val="0"/>
        <w:spacing w:line="540" w:lineRule="exact"/>
        <w:ind w:right="0" w:rightChars="0"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1）共建共治氛围更加浓厚。推行“宣传+服务”双轮驱动模式，各派驻大队联合属地街道、社区，在步步高广场、巴陵广场等区域深入普及城市管理法律法规，全面展示专项整治成效与便民服务举措，通过设置宣传展板、现场演示操作、面对面讲解等形式，开展大型主题宣传活动85场，发放宣传资料1.4万余份，不断提升市民群众对城管工作的知晓度、理解度和支持度。 </w:t>
      </w:r>
    </w:p>
    <w:p w14:paraId="41DB1902">
      <w:pPr>
        <w:keepNext w:val="0"/>
        <w:keepLines w:val="0"/>
        <w:pageBreakBefore w:val="0"/>
        <w:widowControl w:val="0"/>
        <w:numPr>
          <w:ilvl w:val="0"/>
          <w:numId w:val="0"/>
        </w:numPr>
        <w:kinsoku/>
        <w:wordWrap/>
        <w:overflowPunct/>
        <w:topLinePunct w:val="0"/>
        <w:autoSpaceDE/>
        <w:autoSpaceDN/>
        <w:bidi w:val="0"/>
        <w:adjustRightInd/>
        <w:snapToGrid w:val="0"/>
        <w:spacing w:line="540" w:lineRule="exact"/>
        <w:ind w:right="0" w:rightChars="0"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协同联动机制更加顺畅。以“城管进社区、服务面对面”为纽带，持续完善与街道、社区、物业及相关部门的常态化联动机制，构建“问题收集—任务分派—联合处置—结果反馈”的闭环管理体系，有效提升基层治理响应速度和处置质效。加强与公安、交警等部门的协同配合，圆满完成旅发大会、马拉松、“湘超”赛事等重大活动保障任务，实现全程“零投诉、零事故”，部门协同、上下联动、高效运转的工作格局全面巩固。</w:t>
      </w:r>
    </w:p>
    <w:p w14:paraId="391A4363">
      <w:pPr>
        <w:keepNext w:val="0"/>
        <w:keepLines w:val="0"/>
        <w:pageBreakBefore w:val="0"/>
        <w:widowControl w:val="0"/>
        <w:numPr>
          <w:ilvl w:val="0"/>
          <w:numId w:val="0"/>
        </w:numPr>
        <w:kinsoku/>
        <w:wordWrap/>
        <w:overflowPunct/>
        <w:topLinePunct w:val="0"/>
        <w:autoSpaceDE/>
        <w:autoSpaceDN/>
        <w:bidi w:val="0"/>
        <w:adjustRightInd/>
        <w:snapToGrid w:val="0"/>
        <w:spacing w:line="540" w:lineRule="exact"/>
        <w:ind w:right="0" w:rightChars="0"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民生诉求回应更加高效。坚持以群众满意为导向，构建“整治—规范—提升”全链条制度体系。针对夜市扰民、占道经营、车辆违停等高频高发诉求，实行机制化推进、清单化管理、项目化落实，确保问题发现及时、处置高效、市民满意。全年累计办结群众各类诉求9000余件，一批群众急难愁盼问题得到有效解决，城市环境秩序持续改善，群众满意度不断增强。</w:t>
      </w:r>
    </w:p>
    <w:p w14:paraId="066707C3">
      <w:pPr>
        <w:keepNext w:val="0"/>
        <w:keepLines w:val="0"/>
        <w:pageBreakBefore w:val="0"/>
        <w:widowControl w:val="0"/>
        <w:numPr>
          <w:ilvl w:val="0"/>
          <w:numId w:val="0"/>
        </w:numPr>
        <w:kinsoku/>
        <w:wordWrap/>
        <w:overflowPunct/>
        <w:topLinePunct w:val="0"/>
        <w:autoSpaceDE/>
        <w:autoSpaceDN/>
        <w:bidi w:val="0"/>
        <w:adjustRightInd/>
        <w:snapToGrid w:val="0"/>
        <w:spacing w:line="540" w:lineRule="exact"/>
        <w:ind w:right="0" w:rightChars="0" w:firstLine="640" w:firstLineChars="200"/>
        <w:jc w:val="both"/>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5、坚持严管厚爱、淬炼本领，在锻造过硬队伍中夯实发展根基</w:t>
      </w:r>
    </w:p>
    <w:p w14:paraId="0DD8DDF7">
      <w:pPr>
        <w:keepNext w:val="0"/>
        <w:keepLines w:val="0"/>
        <w:pageBreakBefore w:val="0"/>
        <w:widowControl w:val="0"/>
        <w:numPr>
          <w:ilvl w:val="0"/>
          <w:numId w:val="0"/>
        </w:numPr>
        <w:kinsoku/>
        <w:wordWrap/>
        <w:overflowPunct/>
        <w:topLinePunct w:val="0"/>
        <w:autoSpaceDE/>
        <w:autoSpaceDN/>
        <w:bidi w:val="0"/>
        <w:adjustRightInd/>
        <w:snapToGrid w:val="0"/>
        <w:spacing w:line="540" w:lineRule="exact"/>
        <w:ind w:right="0" w:rightChars="0"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考核评价体系更加科学。紧扣执法体制改革新形势新要求，制定出台《城市管理执法工作考核实施细则》，构建“支队统筹、大队落实、中队执行”三级监督考评网络。坚持常态化开展“四不两直”督导检查，全年围绕执法规范、履职效能、队容风纪等开展督查300余次，通报并督促整改问题1000余项；系统梳理共性问题30余类，精准制定改进措施65条，实现以考促改、以改促优的良性循环。</w:t>
      </w:r>
    </w:p>
    <w:p w14:paraId="6694AD8D">
      <w:pPr>
        <w:keepNext w:val="0"/>
        <w:keepLines w:val="0"/>
        <w:pageBreakBefore w:val="0"/>
        <w:widowControl w:val="0"/>
        <w:numPr>
          <w:ilvl w:val="0"/>
          <w:numId w:val="0"/>
        </w:numPr>
        <w:kinsoku/>
        <w:wordWrap/>
        <w:overflowPunct/>
        <w:topLinePunct w:val="0"/>
        <w:autoSpaceDE/>
        <w:autoSpaceDN/>
        <w:bidi w:val="0"/>
        <w:adjustRightInd/>
        <w:snapToGrid w:val="0"/>
        <w:spacing w:line="540" w:lineRule="exact"/>
        <w:ind w:right="0" w:rightChars="0"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综合能力素质更加全面。聚焦专业化、规范化建设目标，分层分类开展能力培训。组织220名中层骨干在市委党校进行为期两天半的封闭培训，围绕职业道德、法律适用与实务操作等重点内容强化赋能，提升队伍纪律规矩意识、知法用法水平和职业道德修养。督促372名事业编制人员完成线上继续教育学时，组织副科以上干部完成干部教育网络培训，实现关键岗位全覆盖、履职能力整体跃升。</w:t>
      </w:r>
    </w:p>
    <w:p w14:paraId="41AB3099">
      <w:pPr>
        <w:keepNext w:val="0"/>
        <w:keepLines w:val="0"/>
        <w:pageBreakBefore w:val="0"/>
        <w:widowControl w:val="0"/>
        <w:numPr>
          <w:ilvl w:val="0"/>
          <w:numId w:val="0"/>
        </w:numPr>
        <w:kinsoku/>
        <w:wordWrap/>
        <w:overflowPunct/>
        <w:topLinePunct w:val="0"/>
        <w:autoSpaceDE/>
        <w:autoSpaceDN/>
        <w:bidi w:val="0"/>
        <w:adjustRightInd/>
        <w:snapToGrid w:val="0"/>
        <w:spacing w:line="540" w:lineRule="exact"/>
        <w:ind w:right="0" w:rightChars="0" w:firstLine="640" w:firstLineChars="200"/>
        <w:jc w:val="both"/>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队伍精神面貌更加昂扬。强化队伍规范化建设与激励保障，不断优化队伍结构、激发干事活力。启动编制台账管理，对564名在编人员确认编制台账信息。推进档案清理工作，完成454名转隶人员档案整理与数字化建设。坚持一线走访、组织推荐相结合，按需任免了28名副大队长，明确了70名中队长及股室负责人，选派6名骨干投身乡村振兴驻村工作。印发职级晋升方案，统筹启动了3次职级并行工作，先后完成56名参公人员职级晋升。结合岗位实际完成全员岗位设置，分批次、分身份先后办理干部职工岗位聘用备案和职级晋升手续，对符合专技职称晋升条件的及时进行申报和评定，队伍的向心力、凝聚力持续增强。</w:t>
      </w:r>
    </w:p>
    <w:p w14:paraId="0483455F">
      <w:pPr>
        <w:keepNext w:val="0"/>
        <w:keepLines w:val="0"/>
        <w:pageBreakBefore w:val="0"/>
        <w:widowControl w:val="0"/>
        <w:numPr>
          <w:ilvl w:val="0"/>
          <w:numId w:val="0"/>
        </w:numPr>
        <w:kinsoku/>
        <w:wordWrap/>
        <w:overflowPunct/>
        <w:topLinePunct w:val="0"/>
        <w:autoSpaceDE/>
        <w:autoSpaceDN/>
        <w:bidi w:val="0"/>
        <w:adjustRightInd/>
        <w:snapToGrid w:val="0"/>
        <w:spacing w:line="540" w:lineRule="exact"/>
        <w:ind w:right="0" w:rightChars="0"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6、坚持从严治党、正风肃纪，在建设清廉队伍中涵养政治生态</w:t>
      </w:r>
    </w:p>
    <w:p w14:paraId="232B7E7C">
      <w:pPr>
        <w:keepNext w:val="0"/>
        <w:keepLines w:val="0"/>
        <w:pageBreakBefore w:val="0"/>
        <w:widowControl w:val="0"/>
        <w:numPr>
          <w:ilvl w:val="0"/>
          <w:numId w:val="0"/>
        </w:numPr>
        <w:kinsoku/>
        <w:wordWrap/>
        <w:overflowPunct/>
        <w:topLinePunct w:val="0"/>
        <w:autoSpaceDE/>
        <w:autoSpaceDN/>
        <w:bidi w:val="0"/>
        <w:adjustRightInd/>
        <w:snapToGrid w:val="0"/>
        <w:spacing w:line="540" w:lineRule="exact"/>
        <w:ind w:right="0" w:rightChars="0"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廉政教育成效更加巩固。全面落实中央八项规定精神及上级纪委工作部署，构建“线上+线下+警示”三位一体教育体系。全年开展廉政教育62次，谈心谈话600余人次。深入推进清廉文化建设，开展“好家风·好传承”“清廉家庭”等主题活动，签订清廉家庭、违规吃喝承诺书600余份，编印《清廉执法手册》实现全员覆盖。举办“清风相伴·廉洁同行”主题微党课初赛，打磨推选2个作品参加市局比赛，《筑牢思想防线 永葆清廉本色》获评“市直十佳”并获三等奖；组织70名年轻及新提拔干部赴岳阳监狱接受警示教育，106名中层干部旁听职务犯罪庭审，线上廉政测试覆盖786人次，纪律意识持续筑牢。相关经验做法在“清廉岳阳”公众号重点推介。</w:t>
      </w:r>
    </w:p>
    <w:p w14:paraId="5D8B358D">
      <w:pPr>
        <w:keepNext w:val="0"/>
        <w:keepLines w:val="0"/>
        <w:pageBreakBefore w:val="0"/>
        <w:widowControl w:val="0"/>
        <w:numPr>
          <w:ilvl w:val="0"/>
          <w:numId w:val="0"/>
        </w:numPr>
        <w:kinsoku/>
        <w:wordWrap/>
        <w:overflowPunct/>
        <w:topLinePunct w:val="0"/>
        <w:autoSpaceDE/>
        <w:autoSpaceDN/>
        <w:bidi w:val="0"/>
        <w:adjustRightInd/>
        <w:snapToGrid w:val="0"/>
        <w:spacing w:line="540" w:lineRule="exact"/>
        <w:ind w:right="0" w:rightChars="0"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监督防控网络更加健全。健全常态化纪律监督体系，将干部纪律表现、违规吃喝整治、群众身边腐败问题等纳入日常监督和专项检查范围。完善干部管理基础工作，系统梳理近五年受处分人员信息，为评先评优、职级晋升、选拔任用提供重要依据。集中开展干部职工兼职取酬专项排查，共清理违规在企业兼职或开办公司27人次，有效堵塞监管漏洞，构建起全流程、多层次的廉政风险防控网络。</w:t>
      </w:r>
    </w:p>
    <w:p w14:paraId="1CC1E2A9">
      <w:pPr>
        <w:keepNext w:val="0"/>
        <w:keepLines w:val="0"/>
        <w:pageBreakBefore w:val="0"/>
        <w:widowControl w:val="0"/>
        <w:numPr>
          <w:ilvl w:val="0"/>
          <w:numId w:val="0"/>
        </w:numPr>
        <w:kinsoku/>
        <w:wordWrap/>
        <w:overflowPunct/>
        <w:topLinePunct w:val="0"/>
        <w:autoSpaceDE/>
        <w:autoSpaceDN/>
        <w:bidi w:val="0"/>
        <w:adjustRightInd/>
        <w:snapToGrid w:val="0"/>
        <w:spacing w:line="540" w:lineRule="exact"/>
        <w:ind w:right="0" w:rightChars="0" w:firstLine="640" w:firstLineChars="200"/>
        <w:jc w:val="both"/>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作风建设常态更加严实。聚焦执法重点领域，强化监督执纪问责。全年接收并核查问题线索8件，坚持依规依纪处置，给予党纪轻处分4人、党纪重处分4人。持续整治形式主义、官僚主义，大力精简会议文件，规范督查检查，切实为基层减负，推动干部职工将精力集中于履职尽责、服务群众，不断巩固风清气正的政治生态，维护城管执法队伍清廉务实的良好形象。</w:t>
      </w:r>
    </w:p>
    <w:p w14:paraId="32715457">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120" w:beforeLines="50" w:line="600" w:lineRule="exact"/>
        <w:ind w:right="11" w:rightChars="0" w:firstLine="667" w:firstLineChars="200"/>
        <w:jc w:val="both"/>
        <w:textAlignment w:val="baseline"/>
        <w:rPr>
          <w:rFonts w:hint="eastAsia" w:ascii="楷体_GB2312" w:hAnsi="楷体_GB2312" w:eastAsia="楷体_GB2312" w:cs="楷体_GB2312"/>
          <w:b/>
          <w:bCs/>
          <w:spacing w:val="6"/>
          <w:kern w:val="0"/>
          <w:sz w:val="32"/>
          <w:szCs w:val="32"/>
          <w:lang w:val="en-US" w:eastAsia="zh-CN"/>
        </w:rPr>
      </w:pPr>
      <w:r>
        <w:rPr>
          <w:rFonts w:hint="eastAsia" w:ascii="楷体_GB2312" w:hAnsi="楷体_GB2312" w:eastAsia="楷体_GB2312" w:cs="楷体_GB2312"/>
          <w:b/>
          <w:bCs/>
          <w:spacing w:val="6"/>
          <w:kern w:val="0"/>
          <w:sz w:val="32"/>
          <w:szCs w:val="32"/>
          <w:lang w:val="en-US" w:eastAsia="zh-CN"/>
        </w:rPr>
        <w:t>（三）资金支出绩效管理情况</w:t>
      </w:r>
    </w:p>
    <w:p w14:paraId="0C4315CD">
      <w:pPr>
        <w:pStyle w:val="2"/>
        <w:keepNext w:val="0"/>
        <w:keepLines w:val="0"/>
        <w:pageBreakBefore w:val="0"/>
        <w:numPr>
          <w:ilvl w:val="0"/>
          <w:numId w:val="0"/>
        </w:numPr>
        <w:wordWrap/>
        <w:overflowPunct/>
        <w:topLinePunct w:val="0"/>
        <w:bidi w:val="0"/>
        <w:spacing w:line="600" w:lineRule="exact"/>
        <w:ind w:firstLine="640" w:firstLineChars="200"/>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根据</w:t>
      </w:r>
      <w:r>
        <w:rPr>
          <w:rFonts w:hint="eastAsia" w:ascii="仿宋_GB2312" w:hAnsi="宋体" w:eastAsia="仿宋_GB2312" w:cs="宋体"/>
          <w:sz w:val="32"/>
          <w:szCs w:val="32"/>
          <w:highlight w:val="none"/>
        </w:rPr>
        <w:t>《中华人民共和国预算法》</w:t>
      </w:r>
      <w:r>
        <w:rPr>
          <w:rFonts w:hint="eastAsia" w:ascii="仿宋_GB2312" w:hAnsi="宋体" w:eastAsia="仿宋_GB2312" w:cs="宋体"/>
          <w:sz w:val="32"/>
          <w:szCs w:val="32"/>
          <w:highlight w:val="none"/>
          <w:lang w:eastAsia="zh-CN"/>
        </w:rPr>
        <w:t>、</w:t>
      </w:r>
      <w:r>
        <w:rPr>
          <w:rFonts w:hint="eastAsia" w:ascii="仿宋_GB2312" w:hAnsi="仿宋_GB2312" w:eastAsia="仿宋_GB2312" w:cs="仿宋_GB2312"/>
          <w:kern w:val="0"/>
          <w:sz w:val="32"/>
          <w:szCs w:val="32"/>
          <w:highlight w:val="none"/>
          <w:lang w:val="en-US" w:eastAsia="zh-CN"/>
        </w:rPr>
        <w:t>《政府会计制度》</w:t>
      </w:r>
      <w:r>
        <w:rPr>
          <w:rFonts w:hint="eastAsia" w:ascii="仿宋_GB2312" w:hAnsi="宋体" w:eastAsia="仿宋_GB2312" w:cs="宋体"/>
          <w:sz w:val="32"/>
          <w:szCs w:val="32"/>
          <w:highlight w:val="none"/>
          <w:lang w:val="en-US" w:eastAsia="zh-CN"/>
        </w:rPr>
        <w:t>和</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val="en-US" w:eastAsia="zh-CN"/>
        </w:rPr>
        <w:t>中共岳阳市委办公室 岳阳市人民政府办公室关于印发</w:t>
      </w:r>
      <w:r>
        <w:rPr>
          <w:rFonts w:hint="eastAsia" w:ascii="仿宋" w:hAnsi="仿宋" w:eastAsia="仿宋" w:cs="仿宋"/>
          <w:color w:val="auto"/>
          <w:sz w:val="32"/>
          <w:szCs w:val="32"/>
          <w:lang w:val="en-US" w:eastAsia="zh-CN"/>
        </w:rPr>
        <w:t>&lt;</w:t>
      </w:r>
      <w:r>
        <w:rPr>
          <w:rFonts w:hint="eastAsia" w:ascii="仿宋_GB2312" w:hAnsi="仿宋_GB2312" w:eastAsia="仿宋_GB2312" w:cs="仿宋_GB2312"/>
          <w:color w:val="auto"/>
          <w:sz w:val="32"/>
          <w:szCs w:val="32"/>
          <w:lang w:val="en-US" w:eastAsia="zh-CN"/>
        </w:rPr>
        <w:t>岳阳市</w:t>
      </w:r>
      <w:r>
        <w:rPr>
          <w:rFonts w:hint="eastAsia" w:ascii="仿宋_GB2312" w:hAnsi="仿宋_GB2312" w:eastAsia="仿宋_GB2312" w:cs="仿宋_GB2312"/>
          <w:color w:val="auto"/>
          <w:sz w:val="32"/>
          <w:szCs w:val="32"/>
        </w:rPr>
        <w:t>预算绩效管理</w:t>
      </w:r>
      <w:r>
        <w:rPr>
          <w:rFonts w:hint="eastAsia" w:ascii="仿宋_GB2312" w:hAnsi="仿宋_GB2312" w:eastAsia="仿宋_GB2312" w:cs="仿宋_GB2312"/>
          <w:color w:val="auto"/>
          <w:sz w:val="32"/>
          <w:szCs w:val="32"/>
          <w:lang w:val="en-US" w:eastAsia="zh-CN"/>
        </w:rPr>
        <w:t>实施办法&gt;</w:t>
      </w:r>
      <w:r>
        <w:rPr>
          <w:rFonts w:hint="eastAsia" w:ascii="仿宋_GB2312" w:hAnsi="仿宋_GB2312" w:eastAsia="仿宋_GB2312" w:cs="仿宋_GB2312"/>
          <w:color w:val="auto"/>
          <w:sz w:val="32"/>
          <w:szCs w:val="32"/>
        </w:rPr>
        <w:t>的通知》（岳办</w:t>
      </w:r>
      <w:r>
        <w:rPr>
          <w:rFonts w:hint="eastAsia" w:ascii="仿宋_GB2312" w:hAnsi="仿宋_GB2312" w:eastAsia="仿宋_GB2312" w:cs="仿宋_GB2312"/>
          <w:color w:val="auto"/>
          <w:sz w:val="32"/>
          <w:szCs w:val="32"/>
          <w:lang w:val="en-US" w:eastAsia="zh-CN"/>
        </w:rPr>
        <w:t>发</w:t>
      </w:r>
      <w:r>
        <w:rPr>
          <w:rFonts w:hint="eastAsia" w:ascii="仿宋_GB2312" w:hAnsi="仿宋_GB2312" w:eastAsia="仿宋_GB2312" w:cs="仿宋_GB2312"/>
          <w:color w:val="auto"/>
          <w:sz w:val="32"/>
          <w:szCs w:val="32"/>
        </w:rPr>
        <w:t>〔20</w:t>
      </w:r>
      <w:r>
        <w:rPr>
          <w:rFonts w:hint="eastAsia" w:ascii="仿宋_GB2312" w:hAnsi="仿宋_GB2312" w:eastAsia="仿宋_GB2312" w:cs="仿宋_GB2312"/>
          <w:color w:val="auto"/>
          <w:sz w:val="32"/>
          <w:szCs w:val="32"/>
          <w:lang w:val="en-US" w:eastAsia="zh-CN"/>
        </w:rPr>
        <w:t>20</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val="en-US" w:eastAsia="zh-CN"/>
        </w:rPr>
        <w:t>4</w:t>
      </w:r>
      <w:r>
        <w:rPr>
          <w:rFonts w:hint="eastAsia" w:ascii="仿宋_GB2312" w:hAnsi="仿宋_GB2312" w:eastAsia="仿宋_GB2312" w:cs="仿宋_GB2312"/>
          <w:color w:val="auto"/>
          <w:sz w:val="32"/>
          <w:szCs w:val="32"/>
        </w:rPr>
        <w:t>号）</w:t>
      </w:r>
      <w:r>
        <w:rPr>
          <w:rFonts w:hint="eastAsia" w:ascii="仿宋_GB2312" w:hAnsi="仿宋_GB2312" w:eastAsia="仿宋_GB2312" w:cs="仿宋_GB2312"/>
          <w:sz w:val="32"/>
          <w:szCs w:val="32"/>
          <w:lang w:val="en-US" w:eastAsia="zh-CN"/>
        </w:rPr>
        <w:t>及其他相关文件精神，支队成立了绩效评价和监督小组，定期开展相关工作。</w:t>
      </w:r>
    </w:p>
    <w:p w14:paraId="145BC34F">
      <w:pPr>
        <w:pStyle w:val="3"/>
        <w:keepNext w:val="0"/>
        <w:keepLines w:val="0"/>
        <w:pageBreakBefore w:val="0"/>
        <w:wordWrap/>
        <w:overflowPunct/>
        <w:topLinePunct w:val="0"/>
        <w:bidi w:val="0"/>
        <w:spacing w:line="600" w:lineRule="exact"/>
        <w:ind w:left="0" w:leftChars="0" w:firstLine="643" w:firstLineChars="200"/>
        <w:jc w:val="both"/>
        <w:rPr>
          <w:rFonts w:hint="default" w:ascii="仿宋_GB2312" w:hAnsi="仿宋_GB2312" w:eastAsia="仿宋_GB2312" w:cs="仿宋_GB2312"/>
          <w:b/>
          <w:bCs/>
          <w:sz w:val="32"/>
          <w:szCs w:val="32"/>
          <w:lang w:val="en-US" w:eastAsia="zh-CN"/>
        </w:rPr>
      </w:pPr>
      <w:r>
        <w:rPr>
          <w:rFonts w:hint="default" w:ascii="仿宋_GB2312" w:hAnsi="仿宋_GB2312" w:eastAsia="仿宋_GB2312" w:cs="仿宋_GB2312"/>
          <w:b/>
          <w:bCs/>
          <w:sz w:val="32"/>
          <w:szCs w:val="32"/>
          <w:lang w:val="en" w:eastAsia="zh-CN"/>
        </w:rPr>
        <w:t>1</w:t>
      </w:r>
      <w:r>
        <w:rPr>
          <w:rFonts w:hint="eastAsia" w:ascii="仿宋_GB2312" w:hAnsi="仿宋_GB2312" w:eastAsia="仿宋_GB2312" w:cs="仿宋_GB2312"/>
          <w:b/>
          <w:bCs/>
          <w:sz w:val="32"/>
          <w:szCs w:val="32"/>
          <w:lang w:val="en" w:eastAsia="zh-CN"/>
        </w:rPr>
        <w:t>、</w:t>
      </w:r>
      <w:r>
        <w:rPr>
          <w:rFonts w:hint="eastAsia" w:ascii="仿宋_GB2312" w:hAnsi="仿宋_GB2312" w:eastAsia="仿宋_GB2312" w:cs="仿宋_GB2312"/>
          <w:b/>
          <w:bCs/>
          <w:sz w:val="32"/>
          <w:szCs w:val="32"/>
          <w:lang w:val="en-US" w:eastAsia="zh-CN"/>
        </w:rPr>
        <w:t>预算及绩效管理</w:t>
      </w:r>
    </w:p>
    <w:p w14:paraId="4D8FE10B">
      <w:pPr>
        <w:pStyle w:val="2"/>
        <w:keepNext w:val="0"/>
        <w:keepLines w:val="0"/>
        <w:pageBreakBefore w:val="0"/>
        <w:wordWrap/>
        <w:overflowPunct/>
        <w:topLinePunct w:val="0"/>
        <w:bidi w:val="0"/>
        <w:spacing w:line="600" w:lineRule="exact"/>
        <w:ind w:firstLine="664" w:firstLineChars="200"/>
        <w:rPr>
          <w:rFonts w:hint="eastAsia" w:ascii="仿宋_GB2312" w:hAnsi="仿宋_GB2312" w:eastAsia="仿宋_GB2312" w:cs="仿宋_GB2312"/>
          <w:spacing w:val="6"/>
          <w:kern w:val="0"/>
          <w:sz w:val="32"/>
          <w:szCs w:val="32"/>
          <w:lang w:val="en-US" w:eastAsia="zh-CN"/>
        </w:rPr>
      </w:pPr>
      <w:r>
        <w:rPr>
          <w:rFonts w:hint="eastAsia" w:ascii="仿宋_GB2312" w:hAnsi="仿宋_GB2312" w:eastAsia="仿宋_GB2312" w:cs="仿宋_GB2312"/>
          <w:spacing w:val="6"/>
          <w:kern w:val="0"/>
          <w:sz w:val="32"/>
          <w:szCs w:val="32"/>
          <w:lang w:val="en-US" w:eastAsia="zh-CN"/>
        </w:rPr>
        <w:t>加强</w:t>
      </w:r>
      <w:r>
        <w:rPr>
          <w:rFonts w:hint="eastAsia" w:ascii="仿宋_GB2312" w:hAnsi="仿宋_GB2312" w:eastAsia="仿宋_GB2312" w:cs="仿宋_GB2312"/>
          <w:spacing w:val="6"/>
          <w:kern w:val="0"/>
          <w:sz w:val="32"/>
          <w:szCs w:val="32"/>
        </w:rPr>
        <w:t>预算管理</w:t>
      </w:r>
      <w:r>
        <w:rPr>
          <w:rFonts w:hint="eastAsia" w:ascii="仿宋_GB2312" w:hAnsi="仿宋_GB2312" w:eastAsia="仿宋_GB2312" w:cs="仿宋_GB2312"/>
          <w:spacing w:val="6"/>
          <w:kern w:val="0"/>
          <w:sz w:val="32"/>
          <w:szCs w:val="32"/>
          <w:lang w:val="en-US" w:eastAsia="zh-CN"/>
        </w:rPr>
        <w:t>，从预算编制环节入手，编制</w:t>
      </w:r>
      <w:r>
        <w:rPr>
          <w:rFonts w:hint="eastAsia" w:ascii="仿宋_GB2312" w:hAnsi="仿宋_GB2312" w:eastAsia="仿宋_GB2312" w:cs="仿宋_GB2312"/>
          <w:spacing w:val="6"/>
          <w:kern w:val="0"/>
          <w:sz w:val="32"/>
          <w:szCs w:val="32"/>
        </w:rPr>
        <w:t>资金预算</w:t>
      </w:r>
      <w:r>
        <w:rPr>
          <w:rFonts w:hint="eastAsia" w:ascii="仿宋_GB2312" w:hAnsi="仿宋_GB2312" w:eastAsia="仿宋_GB2312" w:cs="仿宋_GB2312"/>
          <w:spacing w:val="6"/>
          <w:kern w:val="0"/>
          <w:sz w:val="32"/>
          <w:szCs w:val="32"/>
          <w:lang w:val="en-US" w:eastAsia="zh-CN"/>
        </w:rPr>
        <w:t>必须先</w:t>
      </w:r>
      <w:r>
        <w:rPr>
          <w:rFonts w:hint="eastAsia" w:ascii="仿宋_GB2312" w:hAnsi="仿宋_GB2312" w:eastAsia="仿宋_GB2312" w:cs="仿宋_GB2312"/>
          <w:spacing w:val="6"/>
          <w:kern w:val="0"/>
          <w:sz w:val="32"/>
          <w:szCs w:val="32"/>
        </w:rPr>
        <w:t>编制</w:t>
      </w:r>
      <w:r>
        <w:rPr>
          <w:rFonts w:hint="eastAsia" w:ascii="仿宋_GB2312" w:hAnsi="仿宋_GB2312" w:eastAsia="仿宋_GB2312" w:cs="仿宋_GB2312"/>
          <w:spacing w:val="6"/>
          <w:kern w:val="0"/>
          <w:sz w:val="32"/>
          <w:szCs w:val="32"/>
          <w:lang w:val="en-US" w:eastAsia="zh-CN"/>
        </w:rPr>
        <w:t>预算绩效</w:t>
      </w:r>
      <w:r>
        <w:rPr>
          <w:rFonts w:hint="eastAsia" w:ascii="仿宋_GB2312" w:hAnsi="仿宋_GB2312" w:eastAsia="仿宋_GB2312" w:cs="仿宋_GB2312"/>
          <w:spacing w:val="6"/>
          <w:kern w:val="0"/>
          <w:sz w:val="32"/>
          <w:szCs w:val="32"/>
        </w:rPr>
        <w:t>目标</w:t>
      </w:r>
      <w:r>
        <w:rPr>
          <w:rFonts w:hint="eastAsia" w:ascii="仿宋_GB2312" w:hAnsi="仿宋_GB2312" w:eastAsia="仿宋_GB2312" w:cs="仿宋_GB2312"/>
          <w:spacing w:val="6"/>
          <w:kern w:val="0"/>
          <w:sz w:val="32"/>
          <w:szCs w:val="32"/>
          <w:lang w:eastAsia="zh-CN"/>
        </w:rPr>
        <w:t>，</w:t>
      </w:r>
      <w:r>
        <w:rPr>
          <w:rFonts w:hint="eastAsia" w:ascii="仿宋_GB2312" w:hAnsi="仿宋_GB2312" w:eastAsia="仿宋_GB2312" w:cs="仿宋_GB2312"/>
          <w:spacing w:val="6"/>
          <w:kern w:val="0"/>
          <w:sz w:val="32"/>
          <w:szCs w:val="32"/>
          <w:lang w:val="en-US" w:eastAsia="zh-CN"/>
        </w:rPr>
        <w:t>各部门、大队根据支队年度工作计划分别制订所负责项目绩效目标草案，财务汇总审核后提交支队办公会研究，做到了资金预算有目标，确保财政资金支出效益。</w:t>
      </w:r>
    </w:p>
    <w:p w14:paraId="18276736">
      <w:pPr>
        <w:pStyle w:val="6"/>
        <w:keepNext w:val="0"/>
        <w:keepLines w:val="0"/>
        <w:widowControl/>
        <w:suppressLineNumbers w:val="0"/>
        <w:spacing w:before="0" w:beforeAutospacing="0" w:after="0" w:afterAutospacing="0"/>
        <w:ind w:left="0" w:right="0" w:firstLine="0"/>
        <w:jc w:val="left"/>
        <w:rPr>
          <w:rFonts w:hint="default" w:eastAsia="宋体"/>
          <w:sz w:val="32"/>
          <w:szCs w:val="32"/>
          <w:lang w:val="en-US" w:eastAsia="zh-CN"/>
        </w:rPr>
      </w:pPr>
      <w:r>
        <w:rPr>
          <w:rFonts w:hint="eastAsia" w:ascii="仿宋_GB2312" w:hAnsi="仿宋_GB2312" w:eastAsia="仿宋_GB2312" w:cs="仿宋_GB2312"/>
          <w:spacing w:val="6"/>
          <w:kern w:val="0"/>
          <w:sz w:val="32"/>
          <w:szCs w:val="32"/>
          <w:lang w:val="en-US" w:eastAsia="zh-CN"/>
        </w:rPr>
        <w:t xml:space="preserve">    </w:t>
      </w:r>
      <w:r>
        <w:rPr>
          <w:rFonts w:hint="eastAsia" w:ascii="CESI仿宋-GB2312" w:hAnsi="CESI仿宋-GB2312" w:eastAsia="CESI仿宋-GB2312" w:cs="CESI仿宋-GB2312"/>
          <w:color w:val="auto"/>
          <w:spacing w:val="6"/>
          <w:kern w:val="0"/>
          <w:sz w:val="32"/>
          <w:szCs w:val="32"/>
          <w:lang w:val="en-US" w:eastAsia="zh-CN"/>
        </w:rPr>
        <w:t>依据</w:t>
      </w:r>
      <w:r>
        <w:rPr>
          <w:rFonts w:hint="eastAsia" w:ascii="CESI仿宋-GB2312" w:hAnsi="CESI仿宋-GB2312" w:eastAsia="CESI仿宋-GB2312" w:cs="CESI仿宋-GB2312"/>
          <w:color w:val="auto"/>
          <w:sz w:val="32"/>
          <w:szCs w:val="32"/>
          <w:lang w:eastAsia="zh-CN"/>
        </w:rPr>
        <w:t>岳阳市财政局</w:t>
      </w:r>
      <w:r>
        <w:rPr>
          <w:rFonts w:hint="eastAsia" w:ascii="仿宋_GB2312" w:hAnsi="仿宋_GB2312" w:eastAsia="仿宋_GB2312" w:cs="仿宋_GB2312"/>
          <w:color w:val="auto"/>
          <w:sz w:val="32"/>
          <w:szCs w:val="32"/>
          <w:lang w:val="en-US" w:eastAsia="zh-CN"/>
        </w:rPr>
        <w:t>《关于印发&lt;岳阳市市级预算部门绩效自评操作规程&gt;的通知》（岳财函〔2022〕209号）文件精神，</w:t>
      </w:r>
      <w:r>
        <w:rPr>
          <w:rFonts w:hint="eastAsia" w:ascii="仿宋_GB2312" w:hAnsi="仿宋_GB2312" w:eastAsia="仿宋_GB2312" w:cs="仿宋_GB2312"/>
          <w:sz w:val="32"/>
          <w:szCs w:val="32"/>
          <w:lang w:val="en-US" w:eastAsia="zh-CN"/>
        </w:rPr>
        <w:t>结合</w:t>
      </w:r>
      <w:r>
        <w:rPr>
          <w:rFonts w:hint="eastAsia" w:ascii="仿宋_GB2312" w:eastAsia="仿宋_GB2312"/>
          <w:sz w:val="32"/>
          <w:szCs w:val="32"/>
          <w:lang w:val="en-US" w:eastAsia="zh-CN"/>
        </w:rPr>
        <w:t>岳阳市2025年市本级财政预算批复和预算绩效目标，支队</w:t>
      </w:r>
      <w:r>
        <w:rPr>
          <w:rFonts w:hint="eastAsia" w:ascii="仿宋_GB2312" w:hAnsi="仿宋_GB2312" w:eastAsia="仿宋_GB2312" w:cs="仿宋_GB2312"/>
          <w:spacing w:val="6"/>
          <w:kern w:val="0"/>
          <w:sz w:val="32"/>
          <w:szCs w:val="32"/>
          <w:lang w:val="en-US" w:eastAsia="zh-CN"/>
        </w:rPr>
        <w:t>于2025年11月初，组织开展了</w:t>
      </w:r>
      <w:r>
        <w:rPr>
          <w:rFonts w:hint="eastAsia" w:ascii="仿宋_GB2312" w:hAnsi="仿宋_GB2312" w:eastAsia="仿宋_GB2312" w:cs="仿宋_GB2312"/>
          <w:spacing w:val="6"/>
          <w:kern w:val="0"/>
          <w:sz w:val="32"/>
          <w:szCs w:val="32"/>
        </w:rPr>
        <w:t>进行预算执行分析</w:t>
      </w:r>
      <w:r>
        <w:rPr>
          <w:rFonts w:hint="eastAsia" w:ascii="仿宋_GB2312" w:hAnsi="仿宋_GB2312" w:eastAsia="仿宋_GB2312" w:cs="仿宋_GB2312"/>
          <w:spacing w:val="6"/>
          <w:kern w:val="0"/>
          <w:sz w:val="32"/>
          <w:szCs w:val="32"/>
          <w:lang w:val="en-US" w:eastAsia="zh-CN"/>
        </w:rPr>
        <w:t>，适时分析预算执行过程中的</w:t>
      </w:r>
      <w:r>
        <w:rPr>
          <w:rFonts w:hint="eastAsia" w:ascii="仿宋_GB2312" w:hAnsi="仿宋_GB2312" w:eastAsia="仿宋_GB2312" w:cs="仿宋_GB2312"/>
          <w:color w:val="000000"/>
          <w:sz w:val="32"/>
          <w:szCs w:val="32"/>
        </w:rPr>
        <w:t>偏差</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lang w:val="en-US" w:eastAsia="zh-CN"/>
        </w:rPr>
        <w:t>并及时制定</w:t>
      </w:r>
      <w:r>
        <w:rPr>
          <w:rFonts w:hint="eastAsia" w:ascii="仿宋_GB2312" w:hAnsi="仿宋_GB2312" w:eastAsia="仿宋_GB2312" w:cs="仿宋_GB2312"/>
          <w:color w:val="000000"/>
          <w:sz w:val="32"/>
          <w:szCs w:val="32"/>
        </w:rPr>
        <w:t>改进措施</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spacing w:val="6"/>
          <w:kern w:val="0"/>
          <w:sz w:val="32"/>
          <w:szCs w:val="32"/>
          <w:lang w:val="en-US" w:eastAsia="zh-CN"/>
        </w:rPr>
        <w:t>2026年5月上旬，开始组织对上年经费支出进行绩效自评工作，做到了</w:t>
      </w:r>
      <w:r>
        <w:rPr>
          <w:rFonts w:hint="eastAsia" w:ascii="仿宋_GB2312" w:hAnsi="仿宋_GB2312" w:eastAsia="仿宋_GB2312" w:cs="仿宋_GB2312"/>
          <w:spacing w:val="6"/>
          <w:kern w:val="0"/>
          <w:sz w:val="32"/>
          <w:szCs w:val="32"/>
        </w:rPr>
        <w:t>预算</w:t>
      </w:r>
      <w:r>
        <w:rPr>
          <w:rFonts w:hint="eastAsia" w:ascii="仿宋_GB2312" w:hAnsi="仿宋_GB2312" w:eastAsia="仿宋_GB2312" w:cs="仿宋_GB2312"/>
          <w:spacing w:val="6"/>
          <w:kern w:val="0"/>
          <w:sz w:val="32"/>
          <w:szCs w:val="32"/>
          <w:lang w:val="en-US" w:eastAsia="zh-CN"/>
        </w:rPr>
        <w:t>执行</w:t>
      </w:r>
      <w:r>
        <w:rPr>
          <w:rFonts w:hint="eastAsia" w:ascii="仿宋_GB2312" w:hAnsi="仿宋_GB2312" w:eastAsia="仿宋_GB2312" w:cs="仿宋_GB2312"/>
          <w:spacing w:val="6"/>
          <w:kern w:val="0"/>
          <w:sz w:val="32"/>
          <w:szCs w:val="32"/>
        </w:rPr>
        <w:t>完成有评价</w:t>
      </w:r>
      <w:r>
        <w:rPr>
          <w:rFonts w:hint="eastAsia" w:ascii="仿宋_GB2312" w:hAnsi="仿宋_GB2312" w:eastAsia="仿宋_GB2312" w:cs="仿宋_GB2312"/>
          <w:spacing w:val="6"/>
          <w:kern w:val="0"/>
          <w:sz w:val="32"/>
          <w:szCs w:val="32"/>
          <w:lang w:eastAsia="zh-CN"/>
        </w:rPr>
        <w:t>，</w:t>
      </w:r>
      <w:r>
        <w:rPr>
          <w:rFonts w:hint="eastAsia" w:ascii="仿宋_GB2312" w:hAnsi="仿宋_GB2312" w:eastAsia="仿宋_GB2312" w:cs="仿宋_GB2312"/>
          <w:spacing w:val="6"/>
          <w:kern w:val="0"/>
          <w:sz w:val="32"/>
          <w:szCs w:val="32"/>
        </w:rPr>
        <w:t>使单位经济业务从事前、事中、事后得到</w:t>
      </w:r>
      <w:r>
        <w:rPr>
          <w:rFonts w:hint="eastAsia" w:ascii="仿宋_GB2312" w:hAnsi="仿宋_GB2312" w:eastAsia="仿宋_GB2312" w:cs="仿宋_GB2312"/>
          <w:spacing w:val="6"/>
          <w:kern w:val="0"/>
          <w:sz w:val="32"/>
          <w:szCs w:val="32"/>
          <w:lang w:val="en-US" w:eastAsia="zh-CN"/>
        </w:rPr>
        <w:t>了</w:t>
      </w:r>
      <w:r>
        <w:rPr>
          <w:rFonts w:hint="eastAsia" w:ascii="仿宋_GB2312" w:hAnsi="仿宋_GB2312" w:eastAsia="仿宋_GB2312" w:cs="仿宋_GB2312"/>
          <w:spacing w:val="6"/>
          <w:kern w:val="0"/>
          <w:sz w:val="32"/>
          <w:szCs w:val="32"/>
        </w:rPr>
        <w:t>有效管控</w:t>
      </w:r>
      <w:r>
        <w:rPr>
          <w:rFonts w:hint="eastAsia" w:ascii="仿宋_GB2312" w:hAnsi="仿宋_GB2312" w:eastAsia="仿宋_GB2312" w:cs="仿宋_GB2312"/>
          <w:spacing w:val="6"/>
          <w:kern w:val="0"/>
          <w:sz w:val="32"/>
          <w:szCs w:val="32"/>
          <w:lang w:eastAsia="zh-CN"/>
        </w:rPr>
        <w:t>，</w:t>
      </w:r>
      <w:r>
        <w:rPr>
          <w:rFonts w:hint="eastAsia" w:ascii="仿宋_GB2312" w:hAnsi="仿宋_GB2312" w:eastAsia="仿宋_GB2312" w:cs="仿宋_GB2312"/>
          <w:spacing w:val="6"/>
          <w:kern w:val="0"/>
          <w:sz w:val="32"/>
          <w:szCs w:val="32"/>
          <w:lang w:val="en-US" w:eastAsia="zh-CN"/>
        </w:rPr>
        <w:t>增强了单位管理人员预算意识和绩效意识</w:t>
      </w:r>
      <w:r>
        <w:rPr>
          <w:rFonts w:hint="eastAsia" w:ascii="仿宋_GB2312" w:hAnsi="仿宋_GB2312" w:eastAsia="仿宋_GB2312" w:cs="仿宋_GB2312"/>
          <w:spacing w:val="6"/>
          <w:kern w:val="0"/>
          <w:sz w:val="32"/>
          <w:szCs w:val="32"/>
          <w:lang w:eastAsia="zh-CN"/>
        </w:rPr>
        <w:t>，</w:t>
      </w:r>
      <w:r>
        <w:rPr>
          <w:rFonts w:hint="eastAsia" w:ascii="仿宋_GB2312" w:hAnsi="仿宋_GB2312" w:eastAsia="仿宋_GB2312" w:cs="仿宋_GB2312"/>
          <w:spacing w:val="6"/>
          <w:kern w:val="0"/>
          <w:sz w:val="32"/>
          <w:szCs w:val="32"/>
          <w:lang w:val="en-US" w:eastAsia="zh-CN"/>
        </w:rPr>
        <w:t>提升了单位预算资金支出绩效。</w:t>
      </w:r>
    </w:p>
    <w:p w14:paraId="7E4FFFBA">
      <w:pPr>
        <w:keepNext w:val="0"/>
        <w:keepLines w:val="0"/>
        <w:pageBreakBefore w:val="0"/>
        <w:kinsoku/>
        <w:wordWrap/>
        <w:overflowPunct/>
        <w:topLinePunct w:val="0"/>
        <w:autoSpaceDE/>
        <w:autoSpaceDN/>
        <w:bidi w:val="0"/>
        <w:adjustRightInd/>
        <w:snapToGrid/>
        <w:spacing w:line="600" w:lineRule="exact"/>
        <w:ind w:firstLine="643" w:firstLineChars="200"/>
        <w:jc w:val="left"/>
        <w:outlineLvl w:val="2"/>
        <w:rPr>
          <w:rFonts w:hint="eastAsia" w:ascii="仿宋_GB2312" w:hAnsi="仿宋_GB2312" w:eastAsia="仿宋_GB2312" w:cs="仿宋_GB2312"/>
          <w:b/>
          <w:bCs w:val="0"/>
          <w:sz w:val="32"/>
          <w:szCs w:val="32"/>
        </w:rPr>
      </w:pPr>
      <w:r>
        <w:rPr>
          <w:rFonts w:hint="eastAsia" w:ascii="仿宋_GB2312" w:hAnsi="仿宋_GB2312" w:eastAsia="仿宋_GB2312" w:cs="仿宋_GB2312"/>
          <w:b/>
          <w:bCs w:val="0"/>
          <w:sz w:val="32"/>
          <w:szCs w:val="32"/>
          <w:lang w:val="en-US" w:eastAsia="zh-CN"/>
        </w:rPr>
        <w:t>2、</w:t>
      </w:r>
      <w:r>
        <w:rPr>
          <w:rFonts w:hint="eastAsia" w:ascii="仿宋_GB2312" w:hAnsi="仿宋_GB2312" w:eastAsia="仿宋_GB2312" w:cs="仿宋_GB2312"/>
          <w:b/>
          <w:bCs w:val="0"/>
          <w:sz w:val="32"/>
          <w:szCs w:val="32"/>
        </w:rPr>
        <w:t>资金管理情况</w:t>
      </w:r>
    </w:p>
    <w:p w14:paraId="08D8C935">
      <w:pPr>
        <w:ind w:firstLine="640" w:firstLineChars="200"/>
        <w:rPr>
          <w:rFonts w:hint="eastAsia" w:ascii="仿宋_GB2312" w:hAnsi="仿宋_GB2312" w:eastAsia="仿宋_GB2312" w:cs="仿宋_GB2312"/>
          <w:bCs/>
          <w:color w:val="FF0000"/>
          <w:sz w:val="32"/>
          <w:szCs w:val="32"/>
          <w:lang w:val="en-US" w:eastAsia="zh-CN"/>
        </w:rPr>
      </w:pPr>
      <w:r>
        <w:rPr>
          <w:rFonts w:hint="eastAsia" w:ascii="CESI仿宋-GB2312" w:hAnsi="CESI仿宋-GB2312" w:eastAsia="CESI仿宋-GB2312" w:cs="CESI仿宋-GB2312"/>
          <w:sz w:val="32"/>
          <w:szCs w:val="32"/>
          <w:lang w:val="en-US" w:eastAsia="zh-CN"/>
        </w:rPr>
        <w:t>进一步优化了支队各项管理制度，各部门、大队严格按照《财务管理制度》、《</w:t>
      </w:r>
      <w:r>
        <w:rPr>
          <w:rFonts w:hint="eastAsia" w:ascii="CESI仿宋-GB2312" w:hAnsi="CESI仿宋-GB2312" w:eastAsia="CESI仿宋-GB2312" w:cs="CESI仿宋-GB2312"/>
          <w:sz w:val="32"/>
          <w:szCs w:val="32"/>
        </w:rPr>
        <w:t>岳阳市城市管理综合行政执法支队</w:t>
      </w:r>
      <w:r>
        <w:rPr>
          <w:rFonts w:hint="eastAsia" w:ascii="CESI仿宋-GB2312" w:hAnsi="CESI仿宋-GB2312" w:eastAsia="CESI仿宋-GB2312" w:cs="CESI仿宋-GB2312"/>
          <w:sz w:val="32"/>
          <w:szCs w:val="32"/>
          <w:lang w:val="en-US" w:eastAsia="zh-CN"/>
        </w:rPr>
        <w:t>内部控制手册》、《管理考评实施方案》、《规范行政执法程序的规定》、《协管员管理暂行规定》等规章制度执行，支队实行定期讲评制度，每季度公开评选先进集体，纪检部门负责对规章制度实施的具体协调、监督，起到了以讲促进，以评促干的良好效果，有力推动了全年目标任务完成。</w:t>
      </w:r>
    </w:p>
    <w:p w14:paraId="720752E8">
      <w:pPr>
        <w:keepNext w:val="0"/>
        <w:keepLines w:val="0"/>
        <w:pageBreakBefore w:val="0"/>
        <w:wordWrap/>
        <w:overflowPunct/>
        <w:topLinePunct w:val="0"/>
        <w:bidi w:val="0"/>
        <w:spacing w:line="600" w:lineRule="exact"/>
        <w:ind w:firstLine="640" w:firstLineChars="200"/>
        <w:jc w:val="left"/>
        <w:rPr>
          <w:rFonts w:hint="default" w:ascii="仿宋_GB2312" w:hAnsi="仿宋_GB2312" w:eastAsia="仿宋_GB2312" w:cs="仿宋_GB2312"/>
          <w:bCs/>
          <w:sz w:val="32"/>
          <w:szCs w:val="32"/>
          <w:lang w:val="en-US" w:eastAsia="zh-CN"/>
        </w:rPr>
      </w:pPr>
      <w:r>
        <w:rPr>
          <w:rFonts w:hint="eastAsia" w:ascii="仿宋_GB2312" w:hAnsi="仿宋_GB2312" w:eastAsia="仿宋_GB2312" w:cs="仿宋_GB2312"/>
          <w:bCs/>
          <w:sz w:val="32"/>
          <w:szCs w:val="32"/>
          <w:lang w:val="en-US" w:eastAsia="zh-CN"/>
        </w:rPr>
        <w:t>专项资金管理经依法批准的预算执行，按照专款专用的原则，进行日常财务管理和会计核算，配合市财政、监察和审计等部门对项目专项资金的使用和管理情况进行监督检查，并开展绩效评价工作。</w:t>
      </w:r>
    </w:p>
    <w:p w14:paraId="6456A8D0">
      <w:pPr>
        <w:pStyle w:val="2"/>
        <w:keepNext w:val="0"/>
        <w:keepLines w:val="0"/>
        <w:pageBreakBefore w:val="0"/>
        <w:wordWrap/>
        <w:overflowPunct/>
        <w:topLinePunct w:val="0"/>
        <w:bidi w:val="0"/>
        <w:spacing w:line="600" w:lineRule="exact"/>
        <w:ind w:firstLine="643" w:firstLineChars="200"/>
        <w:jc w:val="left"/>
        <w:rPr>
          <w:rFonts w:hint="default"/>
          <w:b/>
          <w:bCs w:val="0"/>
          <w:sz w:val="32"/>
          <w:szCs w:val="32"/>
          <w:lang w:val="en-US" w:eastAsia="zh-CN"/>
        </w:rPr>
      </w:pPr>
      <w:r>
        <w:rPr>
          <w:rFonts w:hint="eastAsia" w:ascii="仿宋_GB2312" w:hAnsi="仿宋_GB2312" w:eastAsia="仿宋_GB2312" w:cs="仿宋_GB2312"/>
          <w:b/>
          <w:bCs w:val="0"/>
          <w:sz w:val="32"/>
          <w:szCs w:val="32"/>
          <w:highlight w:val="none"/>
          <w:lang w:val="en-US" w:eastAsia="zh-CN"/>
        </w:rPr>
        <w:t>3、资产管理情况</w:t>
      </w:r>
    </w:p>
    <w:p w14:paraId="65B282FD">
      <w:pPr>
        <w:pStyle w:val="3"/>
        <w:keepNext w:val="0"/>
        <w:keepLines w:val="0"/>
        <w:pageBreakBefore w:val="0"/>
        <w:wordWrap/>
        <w:overflowPunct/>
        <w:topLinePunct w:val="0"/>
        <w:bidi w:val="0"/>
        <w:spacing w:line="600" w:lineRule="exact"/>
        <w:ind w:left="0" w:leftChars="0" w:firstLine="0" w:firstLineChars="0"/>
        <w:jc w:val="left"/>
        <w:rPr>
          <w:rFonts w:hint="default"/>
          <w:sz w:val="32"/>
          <w:szCs w:val="32"/>
        </w:rPr>
      </w:pPr>
      <w:r>
        <w:rPr>
          <w:rFonts w:hint="eastAsia" w:ascii="仿宋_GB2312" w:hAnsi="仿宋_GB2312" w:eastAsia="仿宋_GB2312" w:cs="仿宋_GB2312"/>
          <w:bCs/>
          <w:sz w:val="32"/>
          <w:szCs w:val="32"/>
          <w:highlight w:val="none"/>
          <w:lang w:val="en-US" w:eastAsia="zh-CN"/>
        </w:rPr>
        <w:t xml:space="preserve">    根据支队工作特点，适时修订了实物管理制度，加强实物资产管理。定期开展资产清查盘点工作，确保账实相符。按照厉行节约、物尽其用的原则，资产管理采取统一建账、统一核算，对每件固定资产使用明确保管职责，闲置资产由办公室统筹调配，合理流转，发挥其使用效益，提高资产资源利用效率，有效降低了单位履职运行成本。固定资产配置和处置，均严格按照规定程序办理，并按固定资产管理办法进行核算与管理。</w:t>
      </w:r>
    </w:p>
    <w:p w14:paraId="2C530BC9">
      <w:pPr>
        <w:keepNext w:val="0"/>
        <w:keepLines w:val="0"/>
        <w:pageBreakBefore w:val="0"/>
        <w:wordWrap/>
        <w:overflowPunct/>
        <w:topLinePunct w:val="0"/>
        <w:bidi w:val="0"/>
        <w:spacing w:line="600" w:lineRule="exact"/>
        <w:ind w:firstLine="643" w:firstLineChars="200"/>
        <w:jc w:val="left"/>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4、政府采购管理情况</w:t>
      </w:r>
    </w:p>
    <w:p w14:paraId="5BCC3022">
      <w:pPr>
        <w:pStyle w:val="2"/>
        <w:keepNext w:val="0"/>
        <w:keepLines w:val="0"/>
        <w:pageBreakBefore w:val="0"/>
        <w:widowControl/>
        <w:kinsoku/>
        <w:wordWrap/>
        <w:overflowPunct/>
        <w:topLinePunct w:val="0"/>
        <w:autoSpaceDE/>
        <w:autoSpaceDN/>
        <w:bidi w:val="0"/>
        <w:adjustRightInd/>
        <w:snapToGrid/>
        <w:spacing w:line="60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2025年，支队政府采购项目均严格按照</w:t>
      </w:r>
      <w:r>
        <w:rPr>
          <w:rFonts w:hint="eastAsia" w:ascii="仿宋_GB2312" w:hAnsi="仿宋_GB2312" w:eastAsia="仿宋_GB2312" w:cs="仿宋_GB2312"/>
          <w:color w:val="auto"/>
          <w:sz w:val="32"/>
          <w:szCs w:val="32"/>
        </w:rPr>
        <w:t>《中华人民共和国政府采购法》</w:t>
      </w:r>
      <w:r>
        <w:rPr>
          <w:rFonts w:hint="eastAsia" w:ascii="仿宋_GB2312" w:hAnsi="仿宋_GB2312" w:eastAsia="仿宋_GB2312" w:cs="仿宋_GB2312"/>
          <w:color w:val="auto"/>
          <w:sz w:val="32"/>
          <w:szCs w:val="32"/>
          <w:lang w:val="en-US" w:eastAsia="zh-CN"/>
        </w:rPr>
        <w:t>、</w:t>
      </w:r>
      <w:r>
        <w:rPr>
          <w:rFonts w:hint="eastAsia" w:ascii="仿宋_GB2312" w:hAnsi="仿宋_GB2312" w:eastAsia="仿宋_GB2312" w:cs="仿宋_GB2312"/>
          <w:sz w:val="32"/>
          <w:szCs w:val="32"/>
          <w:lang w:val="en-US" w:eastAsia="zh-CN"/>
        </w:rPr>
        <w:t>岳阳市财政局关于印发《岳阳市预算单位政府集中采购目录及标准指引（2022版）》的通知（岳财发〔2022〕2号和</w:t>
      </w:r>
      <w:r>
        <w:rPr>
          <w:rFonts w:hint="eastAsia" w:ascii="仿宋_GB2312" w:hAnsi="仿宋_GB2312" w:eastAsia="仿宋_GB2312" w:cs="仿宋_GB2312"/>
          <w:sz w:val="32"/>
          <w:szCs w:val="32"/>
        </w:rPr>
        <w:t>湖南省财政厅印发的《湖南省政府采购电子卖场管理办法》（湘财购［2019]27号</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等文件规定的标准和程序执行，全年累计政府采购交易额为</w:t>
      </w:r>
      <w:r>
        <w:rPr>
          <w:rFonts w:hint="eastAsia" w:ascii="仿宋_GB2312" w:hAnsi="仿宋_GB2312" w:eastAsia="仿宋_GB2312" w:cs="仿宋_GB2312"/>
          <w:color w:val="auto"/>
          <w:sz w:val="32"/>
          <w:szCs w:val="32"/>
          <w:lang w:val="en-US" w:eastAsia="zh-CN"/>
        </w:rPr>
        <w:t>359.01</w:t>
      </w:r>
      <w:r>
        <w:rPr>
          <w:rFonts w:hint="eastAsia" w:ascii="仿宋_GB2312" w:hAnsi="仿宋_GB2312" w:eastAsia="仿宋_GB2312" w:cs="仿宋_GB2312"/>
          <w:sz w:val="32"/>
          <w:szCs w:val="32"/>
          <w:lang w:val="en-US" w:eastAsia="zh-CN"/>
        </w:rPr>
        <w:t>万元。</w:t>
      </w:r>
    </w:p>
    <w:p w14:paraId="140DDEA0">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jc w:val="left"/>
        <w:textAlignment w:val="auto"/>
        <w:rPr>
          <w:rFonts w:hint="eastAsia" w:ascii="仿宋_GB2312" w:hAnsi="仿宋_GB2312" w:eastAsia="仿宋_GB2312" w:cs="仿宋_GB2312"/>
          <w:b/>
          <w:bCs w:val="0"/>
          <w:sz w:val="32"/>
          <w:szCs w:val="32"/>
          <w:highlight w:val="none"/>
          <w:lang w:val="en-US" w:eastAsia="zh-CN"/>
        </w:rPr>
      </w:pPr>
      <w:r>
        <w:rPr>
          <w:rFonts w:hint="eastAsia" w:ascii="仿宋_GB2312" w:hAnsi="仿宋_GB2312" w:eastAsia="仿宋_GB2312" w:cs="仿宋_GB2312"/>
          <w:b/>
          <w:bCs w:val="0"/>
          <w:sz w:val="32"/>
          <w:szCs w:val="32"/>
          <w:highlight w:val="none"/>
          <w:lang w:val="en-US" w:eastAsia="zh-CN"/>
        </w:rPr>
        <w:t>5、运行成本和管理效率</w:t>
      </w:r>
    </w:p>
    <w:p w14:paraId="04D8C9F3">
      <w:pPr>
        <w:pStyle w:val="2"/>
        <w:keepNext w:val="0"/>
        <w:keepLines w:val="0"/>
        <w:pageBreakBefore w:val="0"/>
        <w:numPr>
          <w:ilvl w:val="0"/>
          <w:numId w:val="0"/>
        </w:numPr>
        <w:wordWrap/>
        <w:overflowPunct/>
        <w:topLinePunct w:val="0"/>
        <w:bidi w:val="0"/>
        <w:spacing w:line="600" w:lineRule="exact"/>
        <w:ind w:firstLine="640" w:firstLineChars="200"/>
        <w:jc w:val="left"/>
        <w:rPr>
          <w:rFonts w:hint="eastAsia"/>
          <w:sz w:val="32"/>
          <w:szCs w:val="32"/>
          <w:lang w:val="en-US" w:eastAsia="zh-CN"/>
        </w:rPr>
      </w:pPr>
      <w:r>
        <w:rPr>
          <w:rFonts w:hint="eastAsia" w:ascii="仿宋_GB2312" w:hAnsi="仿宋_GB2312" w:eastAsia="仿宋_GB2312" w:cs="仿宋_GB2312"/>
          <w:sz w:val="32"/>
          <w:szCs w:val="32"/>
          <w:lang w:val="en-US" w:eastAsia="zh-CN"/>
        </w:rPr>
        <w:t>2025年，支队全年预算总金额为8288.80万元（其中一般公共预算金额为8226.15万元、其他资金预算金额为62.65万元），实际支出总金额为7934.65万元，其中基本支出金额为7576.24万元（含其他资金支出2.02万元）、项目支出金额为358.41万元，年度预算执行率为95.73%，单位运行成本控制在年度预算金额之内，资金周转利用效率高。</w:t>
      </w:r>
    </w:p>
    <w:p w14:paraId="7107C4B7">
      <w:pPr>
        <w:pStyle w:val="2"/>
        <w:keepNext w:val="0"/>
        <w:keepLines w:val="0"/>
        <w:pageBreakBefore w:val="0"/>
        <w:numPr>
          <w:ilvl w:val="0"/>
          <w:numId w:val="0"/>
        </w:numPr>
        <w:wordWrap/>
        <w:overflowPunct/>
        <w:topLinePunct w:val="0"/>
        <w:bidi w:val="0"/>
        <w:spacing w:line="600" w:lineRule="exact"/>
        <w:ind w:firstLine="640" w:firstLineChars="200"/>
        <w:jc w:val="left"/>
        <w:rPr>
          <w:rFonts w:hint="default"/>
          <w:color w:val="auto"/>
          <w:sz w:val="32"/>
          <w:szCs w:val="32"/>
        </w:rPr>
      </w:pPr>
      <w:r>
        <w:rPr>
          <w:rFonts w:hint="eastAsia" w:ascii="黑体" w:hAnsi="黑体" w:eastAsia="黑体" w:cs="黑体"/>
          <w:bCs/>
          <w:color w:val="auto"/>
          <w:sz w:val="32"/>
          <w:szCs w:val="32"/>
          <w:highlight w:val="none"/>
          <w:lang w:val="en-US" w:eastAsia="zh-CN"/>
        </w:rPr>
        <w:t>（四）履职效能、社会效应、可持续发展能力和服务对象满意度等方面情况</w:t>
      </w:r>
    </w:p>
    <w:p w14:paraId="77240C0F">
      <w:pPr>
        <w:pStyle w:val="3"/>
        <w:keepNext w:val="0"/>
        <w:keepLines w:val="0"/>
        <w:pageBreakBefore w:val="0"/>
        <w:wordWrap/>
        <w:overflowPunct/>
        <w:topLinePunct w:val="0"/>
        <w:bidi w:val="0"/>
        <w:spacing w:line="600" w:lineRule="exact"/>
        <w:ind w:left="0" w:lef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b w:val="0"/>
          <w:bCs w:val="0"/>
          <w:color w:val="auto"/>
          <w:sz w:val="32"/>
          <w:szCs w:val="32"/>
          <w:lang w:val="en-US" w:eastAsia="zh-CN"/>
        </w:rPr>
        <w:t>支队始终坚持</w:t>
      </w:r>
      <w:r>
        <w:rPr>
          <w:rFonts w:hint="eastAsia" w:ascii="仿宋_GB2312" w:hAnsi="仿宋_GB2312" w:eastAsia="仿宋_GB2312" w:cs="仿宋_GB2312"/>
          <w:b w:val="0"/>
          <w:bCs w:val="0"/>
          <w:color w:val="auto"/>
          <w:sz w:val="32"/>
          <w:szCs w:val="32"/>
        </w:rPr>
        <w:t>依法行政</w:t>
      </w:r>
      <w:r>
        <w:rPr>
          <w:rFonts w:hint="eastAsia" w:ascii="仿宋_GB2312" w:hAnsi="仿宋_GB2312" w:eastAsia="仿宋_GB2312" w:cs="仿宋_GB2312"/>
          <w:b w:val="0"/>
          <w:bCs w:val="0"/>
          <w:color w:val="auto"/>
          <w:sz w:val="32"/>
          <w:szCs w:val="32"/>
          <w:lang w:eastAsia="zh-CN"/>
        </w:rPr>
        <w:t>，</w:t>
      </w:r>
      <w:r>
        <w:rPr>
          <w:rFonts w:hint="eastAsia" w:ascii="仿宋_GB2312" w:hAnsi="仿宋_GB2312" w:eastAsia="仿宋_GB2312" w:cs="仿宋_GB2312"/>
          <w:color w:val="auto"/>
          <w:sz w:val="32"/>
          <w:szCs w:val="32"/>
          <w:lang w:val="en-US" w:eastAsia="zh-CN"/>
        </w:rPr>
        <w:t>将</w:t>
      </w:r>
      <w:r>
        <w:rPr>
          <w:rFonts w:hint="eastAsia" w:ascii="仿宋_GB2312" w:hAnsi="仿宋_GB2312" w:eastAsia="仿宋_GB2312" w:cs="仿宋_GB2312"/>
          <w:color w:val="auto"/>
          <w:sz w:val="32"/>
          <w:szCs w:val="32"/>
        </w:rPr>
        <w:t>依法履职作为第一准则，严格按照法定权限和程序行使权力，运用法治思维和法治方式推动工作。</w:t>
      </w:r>
      <w:r>
        <w:rPr>
          <w:rFonts w:hint="eastAsia" w:ascii="仿宋_GB2312" w:hAnsi="仿宋_GB2312" w:eastAsia="仿宋_GB2312" w:cs="仿宋_GB2312"/>
          <w:color w:val="auto"/>
          <w:sz w:val="32"/>
          <w:szCs w:val="32"/>
          <w:lang w:eastAsia="zh-CN"/>
        </w:rPr>
        <w:t>积极推进</w:t>
      </w:r>
      <w:r>
        <w:rPr>
          <w:rFonts w:hint="eastAsia" w:ascii="CESI仿宋-GB2312" w:hAnsi="CESI仿宋-GB2312" w:eastAsia="CESI仿宋-GB2312" w:cs="CESI仿宋-GB2312"/>
          <w:b w:val="0"/>
          <w:bCs w:val="0"/>
          <w:color w:val="auto"/>
          <w:kern w:val="2"/>
          <w:sz w:val="32"/>
          <w:szCs w:val="24"/>
          <w:lang w:val="en-US" w:eastAsia="zh-CN" w:bidi="ar-SA"/>
        </w:rPr>
        <w:t>机构改革，落实</w:t>
      </w:r>
      <w:r>
        <w:rPr>
          <w:rFonts w:hint="eastAsia" w:ascii="仿宋_GB2312" w:hAnsi="仿宋_GB2312" w:eastAsia="仿宋_GB2312" w:cs="仿宋_GB2312"/>
          <w:color w:val="auto"/>
          <w:kern w:val="2"/>
          <w:sz w:val="32"/>
          <w:szCs w:val="32"/>
          <w:lang w:val="en-US" w:eastAsia="zh-CN" w:bidi="ar-SA"/>
        </w:rPr>
        <w:t>“一支队伍管执法”的基层治理改革举措，整合资源、优化配置，提升基层执法效能。</w:t>
      </w:r>
      <w:r>
        <w:rPr>
          <w:rFonts w:hint="eastAsia" w:ascii="仿宋_GB2312" w:hAnsi="仿宋_GB2312" w:eastAsia="仿宋_GB2312" w:cs="仿宋_GB2312"/>
          <w:color w:val="auto"/>
          <w:sz w:val="32"/>
          <w:szCs w:val="32"/>
          <w:lang w:val="en-US" w:eastAsia="zh-CN"/>
        </w:rPr>
        <w:t>引入</w:t>
      </w:r>
      <w:r>
        <w:rPr>
          <w:rFonts w:hint="eastAsia" w:ascii="仿宋_GB2312" w:hAnsi="仿宋_GB2312" w:eastAsia="仿宋_GB2312" w:cs="仿宋_GB2312"/>
          <w:color w:val="auto"/>
          <w:sz w:val="32"/>
          <w:szCs w:val="32"/>
        </w:rPr>
        <w:t>法律顾问服务工作，</w:t>
      </w:r>
      <w:r>
        <w:rPr>
          <w:rFonts w:hint="eastAsia" w:ascii="仿宋_GB2312" w:hAnsi="仿宋_GB2312" w:eastAsia="仿宋_GB2312" w:cs="仿宋_GB2312"/>
          <w:color w:val="auto"/>
          <w:sz w:val="32"/>
          <w:szCs w:val="32"/>
          <w:lang w:val="en-US" w:eastAsia="zh-CN"/>
        </w:rPr>
        <w:t>实行</w:t>
      </w:r>
      <w:r>
        <w:rPr>
          <w:rFonts w:hint="eastAsia" w:ascii="仿宋_GB2312" w:hAnsi="仿宋_GB2312" w:eastAsia="仿宋_GB2312" w:cs="仿宋_GB2312"/>
          <w:color w:val="auto"/>
          <w:sz w:val="32"/>
          <w:szCs w:val="32"/>
        </w:rPr>
        <w:t>律师驻队工作模式，切实预防化解行政争议。严格落实行政执法“三项制度”，定期开展行政执法案件评查，确保各项工作始终在法制框架内开展、阳光下运行。</w:t>
      </w:r>
    </w:p>
    <w:p w14:paraId="69393BE2">
      <w:pPr>
        <w:keepNext w:val="0"/>
        <w:keepLines w:val="0"/>
        <w:pageBreakBefore w:val="0"/>
        <w:widowControl/>
        <w:kinsoku w:val="0"/>
        <w:wordWrap/>
        <w:overflowPunct/>
        <w:topLinePunct w:val="0"/>
        <w:autoSpaceDE w:val="0"/>
        <w:autoSpaceDN w:val="0"/>
        <w:bidi w:val="0"/>
        <w:adjustRightInd w:val="0"/>
        <w:snapToGrid w:val="0"/>
        <w:spacing w:before="120" w:beforeLines="50" w:line="600" w:lineRule="exact"/>
        <w:ind w:left="20" w:leftChars="7" w:right="11" w:firstLine="640" w:firstLineChars="200"/>
        <w:jc w:val="left"/>
        <w:textAlignment w:val="baseline"/>
        <w:rPr>
          <w:rFonts w:hint="eastAsia" w:ascii="黑体" w:hAnsi="黑体" w:eastAsia="黑体" w:cs="黑体"/>
          <w:color w:val="auto"/>
          <w:sz w:val="32"/>
          <w:szCs w:val="32"/>
          <w:highlight w:val="none"/>
          <w:lang w:eastAsia="zh-CN"/>
        </w:rPr>
      </w:pPr>
      <w:r>
        <w:rPr>
          <w:rFonts w:hint="eastAsia" w:ascii="仿宋_GB2312" w:hAnsi="仿宋_GB2312" w:eastAsia="仿宋_GB2312" w:cs="仿宋_GB2312"/>
          <w:b w:val="0"/>
          <w:bCs w:val="0"/>
          <w:color w:val="auto"/>
          <w:sz w:val="32"/>
          <w:szCs w:val="32"/>
          <w:lang w:val="en-US" w:eastAsia="zh-CN"/>
        </w:rPr>
        <w:t>在坚持</w:t>
      </w:r>
      <w:r>
        <w:rPr>
          <w:rFonts w:hint="eastAsia" w:ascii="仿宋_GB2312" w:hAnsi="仿宋_GB2312" w:eastAsia="仿宋_GB2312" w:cs="仿宋_GB2312"/>
          <w:b w:val="0"/>
          <w:bCs w:val="0"/>
          <w:color w:val="auto"/>
          <w:sz w:val="32"/>
          <w:szCs w:val="32"/>
        </w:rPr>
        <w:t>依法行政</w:t>
      </w:r>
      <w:r>
        <w:rPr>
          <w:rFonts w:hint="eastAsia" w:ascii="仿宋_GB2312" w:hAnsi="仿宋_GB2312" w:eastAsia="仿宋_GB2312" w:cs="仿宋_GB2312"/>
          <w:b w:val="0"/>
          <w:bCs w:val="0"/>
          <w:color w:val="auto"/>
          <w:sz w:val="32"/>
          <w:szCs w:val="32"/>
          <w:lang w:val="en-US" w:eastAsia="zh-CN"/>
        </w:rPr>
        <w:t>的同时，以宣传劝导与执法相结合的模式开展城市管理工作，</w:t>
      </w:r>
      <w:r>
        <w:rPr>
          <w:rFonts w:hint="eastAsia" w:ascii="仿宋_GB2312" w:hAnsi="仿宋_GB2312" w:eastAsia="仿宋_GB2312" w:cs="仿宋_GB2312"/>
          <w:color w:val="auto"/>
          <w:sz w:val="32"/>
          <w:szCs w:val="32"/>
          <w:lang w:eastAsia="zh-CN"/>
        </w:rPr>
        <w:t>通过人性化的执法方式</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eastAsia="zh-CN"/>
        </w:rPr>
        <w:t>民众对执法结果的接受度明显提高，形成了良好的社会互动氛围，</w:t>
      </w:r>
      <w:r>
        <w:rPr>
          <w:rFonts w:hint="eastAsia" w:ascii="仿宋_GB2312" w:hAnsi="仿宋_GB2312" w:eastAsia="仿宋_GB2312" w:cs="仿宋_GB2312"/>
          <w:color w:val="auto"/>
          <w:sz w:val="32"/>
          <w:szCs w:val="32"/>
        </w:rPr>
        <w:t>实现</w:t>
      </w:r>
      <w:r>
        <w:rPr>
          <w:rFonts w:hint="eastAsia" w:ascii="仿宋_GB2312" w:hAnsi="仿宋_GB2312" w:eastAsia="仿宋_GB2312" w:cs="仿宋_GB2312"/>
          <w:color w:val="auto"/>
          <w:sz w:val="32"/>
          <w:szCs w:val="32"/>
          <w:lang w:val="en-US" w:eastAsia="zh-CN"/>
        </w:rPr>
        <w:t>了</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val="en-US" w:eastAsia="zh-CN"/>
        </w:rPr>
        <w:t>办理一</w:t>
      </w:r>
      <w:r>
        <w:rPr>
          <w:rFonts w:hint="eastAsia" w:ascii="仿宋_GB2312" w:hAnsi="仿宋_GB2312" w:eastAsia="仿宋_GB2312" w:cs="仿宋_GB2312"/>
          <w:color w:val="auto"/>
          <w:sz w:val="32"/>
          <w:szCs w:val="32"/>
        </w:rPr>
        <w:t>案、</w:t>
      </w:r>
      <w:r>
        <w:rPr>
          <w:rFonts w:hint="eastAsia" w:ascii="仿宋_GB2312" w:hAnsi="仿宋_GB2312" w:eastAsia="仿宋_GB2312" w:cs="仿宋_GB2312"/>
          <w:color w:val="auto"/>
          <w:sz w:val="32"/>
          <w:szCs w:val="32"/>
          <w:lang w:val="en-US" w:eastAsia="zh-CN"/>
        </w:rPr>
        <w:t>解决一类</w:t>
      </w:r>
      <w:r>
        <w:rPr>
          <w:rFonts w:hint="eastAsia" w:ascii="仿宋_GB2312" w:hAnsi="仿宋_GB2312" w:eastAsia="仿宋_GB2312" w:cs="仿宋_GB2312"/>
          <w:color w:val="auto"/>
          <w:sz w:val="32"/>
          <w:szCs w:val="32"/>
        </w:rPr>
        <w:t>”的执法效果与社会效果有机统一，践行了为民初心</w:t>
      </w:r>
      <w:r>
        <w:rPr>
          <w:rFonts w:hint="eastAsia" w:ascii="仿宋_GB2312" w:hAnsi="仿宋_GB2312" w:eastAsia="仿宋_GB2312" w:cs="仿宋_GB2312"/>
          <w:color w:val="auto"/>
          <w:sz w:val="32"/>
          <w:szCs w:val="32"/>
          <w:lang w:eastAsia="zh-CN"/>
        </w:rPr>
        <w:t>，增强了公众信任。</w:t>
      </w:r>
      <w:r>
        <w:rPr>
          <w:rFonts w:hint="eastAsia" w:ascii="仿宋_GB2312" w:hAnsi="仿宋_GB2312" w:eastAsia="仿宋_GB2312" w:cs="仿宋_GB2312"/>
          <w:color w:val="auto"/>
          <w:sz w:val="32"/>
          <w:szCs w:val="32"/>
          <w:lang w:val="en-US" w:eastAsia="zh-CN"/>
        </w:rPr>
        <w:t>中心城区市容市貌整体提升</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得到了领导和市民的普遍赞誉。</w:t>
      </w:r>
    </w:p>
    <w:p w14:paraId="140F66EE">
      <w:pPr>
        <w:pStyle w:val="2"/>
        <w:keepNext w:val="0"/>
        <w:keepLines w:val="0"/>
        <w:pageBreakBefore w:val="0"/>
        <w:widowControl w:val="0"/>
        <w:kinsoku/>
        <w:wordWrap/>
        <w:overflowPunct/>
        <w:topLinePunct w:val="0"/>
        <w:autoSpaceDE/>
        <w:autoSpaceDN/>
        <w:bidi w:val="0"/>
        <w:adjustRightInd/>
        <w:snapToGrid/>
        <w:spacing w:line="600" w:lineRule="exact"/>
        <w:jc w:val="left"/>
        <w:textAlignment w:val="auto"/>
        <w:rPr>
          <w:rFonts w:hint="default"/>
          <w:sz w:val="32"/>
          <w:szCs w:val="32"/>
          <w:highlight w:val="none"/>
          <w:lang w:val="en-US" w:eastAsia="zh-CN"/>
        </w:rPr>
      </w:pPr>
      <w:r>
        <w:rPr>
          <w:rFonts w:hint="eastAsia" w:ascii="仿宋_GB2312" w:hAnsi="仿宋_GB2312" w:eastAsia="仿宋_GB2312" w:cs="仿宋_GB2312"/>
          <w:sz w:val="32"/>
          <w:szCs w:val="32"/>
          <w:highlight w:val="none"/>
          <w:lang w:val="en-US" w:eastAsia="zh-CN"/>
        </w:rPr>
        <w:t xml:space="preserve">   </w:t>
      </w:r>
      <w:r>
        <w:rPr>
          <w:rFonts w:hint="eastAsia" w:ascii="黑体" w:hAnsi="黑体" w:eastAsia="黑体" w:cs="黑体"/>
          <w:b w:val="0"/>
          <w:bCs w:val="0"/>
          <w:sz w:val="32"/>
          <w:szCs w:val="32"/>
          <w:highlight w:val="none"/>
          <w:lang w:val="en-US" w:eastAsia="zh-CN"/>
        </w:rPr>
        <w:t>（五）评价结果</w:t>
      </w:r>
    </w:p>
    <w:p w14:paraId="223CE184">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rPr>
        <w:t>20</w:t>
      </w:r>
      <w:r>
        <w:rPr>
          <w:rFonts w:hint="eastAsia" w:ascii="仿宋_GB2312" w:hAnsi="仿宋_GB2312" w:eastAsia="仿宋_GB2312" w:cs="仿宋_GB2312"/>
          <w:sz w:val="32"/>
          <w:szCs w:val="32"/>
          <w:highlight w:val="none"/>
          <w:lang w:val="en-US" w:eastAsia="zh-CN"/>
        </w:rPr>
        <w:t>25</w:t>
      </w:r>
      <w:r>
        <w:rPr>
          <w:rFonts w:hint="eastAsia" w:ascii="仿宋_GB2312" w:hAnsi="仿宋_GB2312" w:eastAsia="仿宋_GB2312" w:cs="仿宋_GB2312"/>
          <w:sz w:val="32"/>
          <w:szCs w:val="32"/>
          <w:highlight w:val="none"/>
        </w:rPr>
        <w:t>年</w:t>
      </w:r>
      <w:r>
        <w:rPr>
          <w:rFonts w:hint="eastAsia" w:ascii="仿宋_GB2312" w:hAnsi="仿宋_GB2312" w:eastAsia="仿宋_GB2312" w:cs="仿宋_GB2312"/>
          <w:sz w:val="32"/>
          <w:szCs w:val="32"/>
          <w:highlight w:val="none"/>
          <w:lang w:eastAsia="zh-CN"/>
        </w:rPr>
        <w:t>，岳阳市城市管理综合行政执法支队</w:t>
      </w:r>
      <w:r>
        <w:rPr>
          <w:rFonts w:hint="eastAsia" w:ascii="仿宋_GB2312" w:hAnsi="仿宋_GB2312" w:eastAsia="仿宋_GB2312" w:cs="仿宋_GB2312"/>
          <w:sz w:val="32"/>
          <w:szCs w:val="32"/>
          <w:highlight w:val="none"/>
        </w:rPr>
        <w:t>认真履行本部门职能职责，各部门年初目标任务</w:t>
      </w:r>
      <w:r>
        <w:rPr>
          <w:rFonts w:hint="eastAsia" w:ascii="仿宋_GB2312" w:hAnsi="仿宋_GB2312" w:eastAsia="仿宋_GB2312" w:cs="仿宋_GB2312"/>
          <w:sz w:val="32"/>
          <w:szCs w:val="32"/>
          <w:highlight w:val="none"/>
          <w:lang w:eastAsia="zh-CN"/>
        </w:rPr>
        <w:t>圆满完成</w:t>
      </w:r>
      <w:r>
        <w:rPr>
          <w:rFonts w:hint="eastAsia" w:ascii="仿宋_GB2312" w:hAnsi="仿宋_GB2312" w:eastAsia="仿宋_GB2312" w:cs="仿宋_GB2312"/>
          <w:sz w:val="32"/>
          <w:szCs w:val="32"/>
          <w:highlight w:val="none"/>
        </w:rPr>
        <w:t>，预算成本控制较好，整体支出绩效良好，达到</w:t>
      </w:r>
      <w:r>
        <w:rPr>
          <w:rFonts w:hint="eastAsia" w:ascii="仿宋_GB2312" w:hAnsi="仿宋_GB2312" w:eastAsia="仿宋_GB2312" w:cs="仿宋_GB2312"/>
          <w:sz w:val="32"/>
          <w:szCs w:val="32"/>
          <w:highlight w:val="none"/>
          <w:lang w:val="en-US" w:eastAsia="zh-CN"/>
        </w:rPr>
        <w:t>了</w:t>
      </w:r>
      <w:r>
        <w:rPr>
          <w:rFonts w:hint="eastAsia" w:ascii="仿宋_GB2312" w:hAnsi="仿宋_GB2312" w:eastAsia="仿宋_GB2312" w:cs="仿宋_GB2312"/>
          <w:sz w:val="32"/>
          <w:szCs w:val="32"/>
          <w:highlight w:val="none"/>
        </w:rPr>
        <w:t>既定的目标要求</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评价小组依</w:t>
      </w:r>
      <w:r>
        <w:rPr>
          <w:rFonts w:hint="eastAsia" w:ascii="仿宋_GB2312" w:hAnsi="仿宋_GB2312" w:eastAsia="仿宋_GB2312" w:cs="仿宋_GB2312"/>
          <w:sz w:val="32"/>
          <w:szCs w:val="32"/>
          <w:highlight w:val="none"/>
        </w:rPr>
        <w:t>据</w:t>
      </w:r>
      <w:r>
        <w:rPr>
          <w:rFonts w:hint="eastAsia" w:ascii="仿宋_GB2312" w:hAnsi="仿宋_GB2312" w:eastAsia="仿宋_GB2312" w:cs="仿宋_GB2312"/>
          <w:sz w:val="32"/>
          <w:szCs w:val="32"/>
          <w:highlight w:val="none"/>
          <w:lang w:val="en-US" w:eastAsia="zh-CN"/>
        </w:rPr>
        <w:t>岳阳市财政局《关于印发&lt;岳阳市市级预算部门绩效自评操作规程&gt;的通知》岳财函〔2022〕209号文件规定相关</w:t>
      </w:r>
      <w:r>
        <w:rPr>
          <w:rFonts w:hint="eastAsia" w:ascii="仿宋_GB2312" w:hAnsi="仿宋_GB2312" w:eastAsia="仿宋_GB2312" w:cs="仿宋_GB2312"/>
          <w:sz w:val="32"/>
          <w:szCs w:val="32"/>
          <w:highlight w:val="none"/>
        </w:rPr>
        <w:t>评价指标</w:t>
      </w:r>
      <w:r>
        <w:rPr>
          <w:rFonts w:hint="eastAsia" w:ascii="仿宋_GB2312" w:hAnsi="仿宋_GB2312" w:eastAsia="仿宋_GB2312" w:cs="仿宋_GB2312"/>
          <w:sz w:val="32"/>
          <w:szCs w:val="32"/>
          <w:highlight w:val="none"/>
          <w:lang w:val="en-US" w:eastAsia="zh-CN"/>
        </w:rPr>
        <w:t>和标准进行了</w:t>
      </w:r>
      <w:r>
        <w:rPr>
          <w:rFonts w:hint="eastAsia" w:ascii="仿宋_GB2312" w:hAnsi="仿宋_GB2312" w:eastAsia="仿宋_GB2312" w:cs="仿宋_GB2312"/>
          <w:sz w:val="32"/>
          <w:szCs w:val="32"/>
          <w:highlight w:val="none"/>
        </w:rPr>
        <w:t>评分，20</w:t>
      </w:r>
      <w:r>
        <w:rPr>
          <w:rFonts w:hint="eastAsia" w:ascii="仿宋_GB2312" w:hAnsi="仿宋_GB2312" w:eastAsia="仿宋_GB2312" w:cs="仿宋_GB2312"/>
          <w:sz w:val="32"/>
          <w:szCs w:val="32"/>
          <w:highlight w:val="none"/>
          <w:lang w:val="en-US" w:eastAsia="zh-CN"/>
        </w:rPr>
        <w:t>25</w:t>
      </w:r>
      <w:r>
        <w:rPr>
          <w:rFonts w:hint="eastAsia" w:ascii="仿宋_GB2312" w:hAnsi="仿宋_GB2312" w:eastAsia="仿宋_GB2312" w:cs="仿宋_GB2312"/>
          <w:sz w:val="32"/>
          <w:szCs w:val="32"/>
          <w:highlight w:val="none"/>
        </w:rPr>
        <w:t>年单位整体支出绩效自评得分为</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color w:val="auto"/>
          <w:sz w:val="32"/>
          <w:szCs w:val="32"/>
          <w:highlight w:val="none"/>
        </w:rPr>
        <w:t>9</w:t>
      </w:r>
      <w:r>
        <w:rPr>
          <w:rFonts w:hint="default" w:ascii="仿宋_GB2312" w:hAnsi="仿宋_GB2312" w:eastAsia="仿宋_GB2312" w:cs="仿宋_GB2312"/>
          <w:color w:val="auto"/>
          <w:sz w:val="32"/>
          <w:szCs w:val="32"/>
          <w:highlight w:val="none"/>
          <w:lang w:val="en" w:eastAsia="zh-CN"/>
        </w:rPr>
        <w:t>7.</w:t>
      </w:r>
      <w:r>
        <w:rPr>
          <w:rFonts w:hint="eastAsia" w:ascii="仿宋_GB2312" w:hAnsi="仿宋_GB2312" w:eastAsia="仿宋_GB2312" w:cs="仿宋_GB2312"/>
          <w:color w:val="auto"/>
          <w:sz w:val="32"/>
          <w:szCs w:val="32"/>
          <w:highlight w:val="none"/>
          <w:lang w:val="en-US" w:eastAsia="zh-CN"/>
        </w:rPr>
        <w:t>57”</w:t>
      </w:r>
      <w:r>
        <w:rPr>
          <w:rFonts w:hint="eastAsia" w:ascii="仿宋_GB2312" w:hAnsi="仿宋_GB2312" w:eastAsia="仿宋_GB2312" w:cs="仿宋_GB2312"/>
          <w:sz w:val="32"/>
          <w:szCs w:val="32"/>
          <w:highlight w:val="none"/>
        </w:rPr>
        <w:t>分</w:t>
      </w:r>
      <w:r>
        <w:rPr>
          <w:rFonts w:hint="eastAsia" w:ascii="仿宋_GB2312" w:hAnsi="仿宋_GB2312" w:eastAsia="仿宋_GB2312" w:cs="仿宋_GB2312"/>
          <w:sz w:val="32"/>
          <w:szCs w:val="32"/>
          <w:highlight w:val="none"/>
          <w:lang w:val="en-US" w:eastAsia="zh-CN"/>
        </w:rPr>
        <w:t>，评定等级为优秀</w:t>
      </w:r>
      <w:r>
        <w:rPr>
          <w:rFonts w:hint="eastAsia" w:ascii="仿宋_GB2312" w:hAnsi="仿宋_GB2312" w:eastAsia="仿宋_GB2312" w:cs="仿宋_GB2312"/>
          <w:sz w:val="32"/>
          <w:szCs w:val="32"/>
          <w:highlight w:val="none"/>
          <w:lang w:eastAsia="zh-CN"/>
        </w:rPr>
        <w:t>。</w:t>
      </w:r>
    </w:p>
    <w:p w14:paraId="421A388A">
      <w:pPr>
        <w:keepNext w:val="0"/>
        <w:keepLines w:val="0"/>
        <w:pageBreakBefore w:val="0"/>
        <w:widowControl w:val="0"/>
        <w:kinsoku/>
        <w:wordWrap/>
        <w:overflowPunct/>
        <w:topLinePunct w:val="0"/>
        <w:autoSpaceDE/>
        <w:autoSpaceDN/>
        <w:bidi w:val="0"/>
        <w:adjustRightInd/>
        <w:snapToGrid/>
        <w:spacing w:afterLines="0" w:line="600" w:lineRule="exact"/>
        <w:ind w:firstLine="640" w:firstLineChars="200"/>
        <w:jc w:val="both"/>
        <w:textAlignment w:val="auto"/>
        <w:rPr>
          <w:rFonts w:hint="default" w:ascii="Times New Roman" w:hAnsi="Times New Roman" w:eastAsia="黑体" w:cs="Times New Roman"/>
          <w:sz w:val="32"/>
          <w:szCs w:val="32"/>
          <w:highlight w:val="none"/>
          <w:lang w:val="en-US" w:eastAsia="zh-CN"/>
        </w:rPr>
      </w:pPr>
      <w:r>
        <w:rPr>
          <w:rFonts w:hint="eastAsia" w:ascii="Times New Roman" w:hAnsi="Times New Roman" w:eastAsia="黑体" w:cs="Times New Roman"/>
          <w:sz w:val="32"/>
          <w:szCs w:val="32"/>
          <w:highlight w:val="none"/>
          <w:lang w:val="en-US" w:eastAsia="zh-CN"/>
        </w:rPr>
        <w:t>七、</w:t>
      </w:r>
      <w:r>
        <w:rPr>
          <w:rFonts w:hint="default" w:ascii="Times New Roman" w:hAnsi="Times New Roman" w:eastAsia="黑体" w:cs="Times New Roman"/>
          <w:sz w:val="32"/>
          <w:szCs w:val="32"/>
          <w:highlight w:val="none"/>
          <w:lang w:val="en-US" w:eastAsia="zh-CN"/>
        </w:rPr>
        <w:t>存在的问题及原因分析</w:t>
      </w:r>
    </w:p>
    <w:p w14:paraId="2F98B8C2">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黑体" w:hAnsi="黑体" w:eastAsia="黑体" w:cs="黑体"/>
          <w:sz w:val="32"/>
          <w:szCs w:val="32"/>
          <w:highlight w:val="none"/>
          <w:lang w:eastAsia="zh-CN"/>
        </w:rPr>
      </w:pPr>
      <w:r>
        <w:rPr>
          <w:rFonts w:hint="eastAsia" w:ascii="仿宋_GB2312" w:hAnsi="仿宋_GB2312" w:eastAsia="仿宋_GB2312" w:cs="仿宋_GB2312"/>
          <w:sz w:val="32"/>
          <w:szCs w:val="32"/>
          <w:highlight w:val="none"/>
          <w:lang w:val="en-US" w:eastAsia="zh-CN"/>
        </w:rPr>
        <w:t>预算绩效目标编制不够规范，</w:t>
      </w:r>
      <w:r>
        <w:rPr>
          <w:rFonts w:hint="eastAsia" w:ascii="仿宋_GB2312" w:hAnsi="仿宋_GB2312" w:eastAsia="仿宋_GB2312" w:cs="仿宋_GB2312"/>
          <w:sz w:val="32"/>
          <w:szCs w:val="32"/>
          <w:highlight w:val="none"/>
          <w:lang w:eastAsia="zh-CN"/>
        </w:rPr>
        <w:t>指标</w:t>
      </w:r>
      <w:r>
        <w:rPr>
          <w:rFonts w:hint="eastAsia" w:ascii="仿宋_GB2312" w:hAnsi="仿宋_GB2312" w:eastAsia="仿宋_GB2312" w:cs="仿宋_GB2312"/>
          <w:sz w:val="32"/>
          <w:szCs w:val="32"/>
          <w:highlight w:val="none"/>
          <w:lang w:val="en-US" w:eastAsia="zh-CN"/>
        </w:rPr>
        <w:t>关联细化程度有待进一步提升，</w:t>
      </w:r>
      <w:r>
        <w:rPr>
          <w:rFonts w:hint="eastAsia" w:ascii="仿宋_GB2312" w:hAnsi="仿宋_GB2312" w:eastAsia="仿宋_GB2312" w:cs="仿宋_GB2312"/>
          <w:sz w:val="32"/>
          <w:szCs w:val="32"/>
          <w:highlight w:val="none"/>
          <w:lang w:eastAsia="zh-CN"/>
        </w:rPr>
        <w:t>可衡量性不强。</w:t>
      </w:r>
      <w:r>
        <w:rPr>
          <w:rFonts w:hint="eastAsia" w:ascii="仿宋_GB2312" w:hAnsi="仿宋_GB2312" w:eastAsia="仿宋_GB2312" w:cs="仿宋_GB2312"/>
          <w:sz w:val="32"/>
          <w:szCs w:val="32"/>
          <w:highlight w:val="none"/>
          <w:lang w:val="en-US" w:eastAsia="zh-CN"/>
        </w:rPr>
        <w:t>主要原因为</w:t>
      </w:r>
      <w:r>
        <w:rPr>
          <w:rFonts w:hint="eastAsia" w:ascii="仿宋_GB2312" w:hAnsi="仿宋_GB2312" w:eastAsia="仿宋_GB2312" w:cs="仿宋_GB2312"/>
          <w:sz w:val="32"/>
          <w:szCs w:val="32"/>
          <w:highlight w:val="none"/>
          <w:lang w:eastAsia="zh-CN"/>
        </w:rPr>
        <w:t>绩效管理</w:t>
      </w:r>
      <w:r>
        <w:rPr>
          <w:rFonts w:hint="eastAsia" w:ascii="仿宋_GB2312" w:hAnsi="仿宋_GB2312" w:eastAsia="仿宋_GB2312" w:cs="仿宋_GB2312"/>
          <w:sz w:val="32"/>
          <w:szCs w:val="32"/>
          <w:highlight w:val="none"/>
          <w:lang w:val="en-US" w:eastAsia="zh-CN"/>
        </w:rPr>
        <w:t>由财务部门兼任，</w:t>
      </w:r>
      <w:r>
        <w:rPr>
          <w:rFonts w:hint="eastAsia" w:ascii="仿宋_GB2312" w:hAnsi="仿宋_GB2312" w:eastAsia="仿宋_GB2312" w:cs="仿宋_GB2312"/>
          <w:sz w:val="32"/>
          <w:szCs w:val="32"/>
          <w:highlight w:val="none"/>
          <w:lang w:eastAsia="zh-CN"/>
        </w:rPr>
        <w:t>财务人员大多</w:t>
      </w:r>
      <w:r>
        <w:rPr>
          <w:rFonts w:hint="eastAsia" w:ascii="仿宋_GB2312" w:hAnsi="仿宋_GB2312" w:eastAsia="仿宋_GB2312" w:cs="仿宋_GB2312"/>
          <w:sz w:val="32"/>
          <w:szCs w:val="32"/>
          <w:highlight w:val="none"/>
          <w:lang w:val="en-US" w:eastAsia="zh-CN"/>
        </w:rPr>
        <w:t>非</w:t>
      </w:r>
      <w:r>
        <w:rPr>
          <w:rFonts w:hint="eastAsia" w:ascii="仿宋_GB2312" w:hAnsi="仿宋_GB2312" w:eastAsia="仿宋_GB2312" w:cs="仿宋_GB2312"/>
          <w:sz w:val="32"/>
          <w:szCs w:val="32"/>
          <w:highlight w:val="none"/>
          <w:lang w:eastAsia="zh-CN"/>
        </w:rPr>
        <w:t>会计、财务管理等专业</w:t>
      </w:r>
      <w:r>
        <w:rPr>
          <w:rFonts w:hint="eastAsia" w:ascii="仿宋_GB2312" w:hAnsi="仿宋_GB2312" w:eastAsia="仿宋_GB2312" w:cs="仿宋_GB2312"/>
          <w:sz w:val="32"/>
          <w:szCs w:val="32"/>
          <w:highlight w:val="none"/>
          <w:lang w:val="en-US" w:eastAsia="zh-CN"/>
        </w:rPr>
        <w:t>人员</w:t>
      </w:r>
      <w:r>
        <w:rPr>
          <w:rFonts w:hint="eastAsia" w:ascii="仿宋_GB2312" w:hAnsi="仿宋_GB2312" w:eastAsia="仿宋_GB2312" w:cs="仿宋_GB2312"/>
          <w:sz w:val="32"/>
          <w:szCs w:val="32"/>
          <w:highlight w:val="none"/>
          <w:lang w:eastAsia="zh-CN"/>
        </w:rPr>
        <w:t>，绩效</w:t>
      </w:r>
      <w:r>
        <w:rPr>
          <w:rFonts w:hint="eastAsia" w:ascii="仿宋_GB2312" w:hAnsi="仿宋_GB2312" w:eastAsia="仿宋_GB2312" w:cs="仿宋_GB2312"/>
          <w:sz w:val="32"/>
          <w:szCs w:val="32"/>
          <w:highlight w:val="none"/>
          <w:lang w:val="en-US" w:eastAsia="zh-CN"/>
        </w:rPr>
        <w:t>管理不但</w:t>
      </w:r>
      <w:r>
        <w:rPr>
          <w:rFonts w:hint="eastAsia" w:ascii="仿宋_GB2312" w:hAnsi="仿宋_GB2312" w:eastAsia="仿宋_GB2312" w:cs="仿宋_GB2312"/>
          <w:sz w:val="32"/>
          <w:szCs w:val="32"/>
          <w:highlight w:val="none"/>
          <w:lang w:eastAsia="zh-CN"/>
        </w:rPr>
        <w:t>需要掌握财经知识，还</w:t>
      </w:r>
      <w:r>
        <w:rPr>
          <w:rFonts w:hint="eastAsia" w:ascii="仿宋_GB2312" w:hAnsi="仿宋_GB2312" w:eastAsia="仿宋_GB2312" w:cs="仿宋_GB2312"/>
          <w:sz w:val="32"/>
          <w:szCs w:val="32"/>
          <w:highlight w:val="none"/>
          <w:lang w:val="en-US" w:eastAsia="zh-CN"/>
        </w:rPr>
        <w:t>需</w:t>
      </w:r>
      <w:r>
        <w:rPr>
          <w:rFonts w:hint="eastAsia" w:ascii="仿宋_GB2312" w:hAnsi="仿宋_GB2312" w:eastAsia="仿宋_GB2312" w:cs="仿宋_GB2312"/>
          <w:sz w:val="32"/>
          <w:szCs w:val="32"/>
          <w:highlight w:val="none"/>
          <w:lang w:eastAsia="zh-CN"/>
        </w:rPr>
        <w:t>熟悉相关政策、了解项目业务</w:t>
      </w:r>
      <w:r>
        <w:rPr>
          <w:rFonts w:hint="eastAsia" w:ascii="仿宋_GB2312" w:hAnsi="仿宋_GB2312" w:eastAsia="仿宋_GB2312" w:cs="仿宋_GB2312"/>
          <w:sz w:val="32"/>
          <w:szCs w:val="32"/>
          <w:highlight w:val="none"/>
          <w:lang w:val="en-US" w:eastAsia="zh-CN"/>
        </w:rPr>
        <w:t>情况</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需要</w:t>
      </w:r>
      <w:r>
        <w:rPr>
          <w:rFonts w:hint="eastAsia" w:ascii="仿宋_GB2312" w:hAnsi="仿宋_GB2312" w:eastAsia="仿宋_GB2312" w:cs="仿宋_GB2312"/>
          <w:sz w:val="32"/>
          <w:szCs w:val="32"/>
          <w:highlight w:val="none"/>
          <w:lang w:eastAsia="zh-CN"/>
        </w:rPr>
        <w:t>具备管理学、法学、统计学等方面的知识，并</w:t>
      </w:r>
      <w:r>
        <w:rPr>
          <w:rFonts w:hint="eastAsia" w:ascii="仿宋_GB2312" w:hAnsi="仿宋_GB2312" w:eastAsia="仿宋_GB2312" w:cs="仿宋_GB2312"/>
          <w:sz w:val="32"/>
          <w:szCs w:val="32"/>
          <w:highlight w:val="none"/>
          <w:lang w:val="en-US" w:eastAsia="zh-CN"/>
        </w:rPr>
        <w:t>需要</w:t>
      </w:r>
      <w:r>
        <w:rPr>
          <w:rFonts w:hint="eastAsia" w:ascii="仿宋_GB2312" w:hAnsi="仿宋_GB2312" w:eastAsia="仿宋_GB2312" w:cs="仿宋_GB2312"/>
          <w:sz w:val="32"/>
          <w:szCs w:val="32"/>
          <w:highlight w:val="none"/>
          <w:lang w:eastAsia="zh-CN"/>
        </w:rPr>
        <w:t>持续更新知识体系</w:t>
      </w:r>
      <w:r>
        <w:rPr>
          <w:rFonts w:hint="eastAsia" w:ascii="仿宋_GB2312" w:hAnsi="仿宋_GB2312" w:eastAsia="仿宋_GB2312" w:cs="仿宋_GB2312"/>
          <w:sz w:val="32"/>
          <w:szCs w:val="32"/>
          <w:highlight w:val="none"/>
          <w:lang w:val="en-US" w:eastAsia="zh-CN"/>
        </w:rPr>
        <w:t>。</w:t>
      </w:r>
    </w:p>
    <w:p w14:paraId="5C00D5B2">
      <w:pPr>
        <w:keepNext w:val="0"/>
        <w:keepLines w:val="0"/>
        <w:pageBreakBefore w:val="0"/>
        <w:widowControl w:val="0"/>
        <w:kinsoku/>
        <w:wordWrap/>
        <w:overflowPunct/>
        <w:topLinePunct w:val="0"/>
        <w:autoSpaceDE/>
        <w:autoSpaceDN/>
        <w:bidi w:val="0"/>
        <w:adjustRightInd/>
        <w:snapToGrid/>
        <w:spacing w:afterLines="0" w:line="600" w:lineRule="exact"/>
        <w:ind w:firstLine="640" w:firstLineChars="200"/>
        <w:jc w:val="both"/>
        <w:textAlignment w:val="auto"/>
        <w:rPr>
          <w:rFonts w:hint="eastAsia" w:ascii="黑体" w:hAnsi="黑体" w:eastAsia="黑体" w:cs="黑体"/>
          <w:sz w:val="32"/>
          <w:szCs w:val="32"/>
          <w:highlight w:val="none"/>
          <w:lang w:eastAsia="zh-CN"/>
        </w:rPr>
      </w:pPr>
      <w:r>
        <w:rPr>
          <w:rFonts w:hint="eastAsia" w:ascii="Times New Roman" w:hAnsi="Times New Roman" w:eastAsia="黑体" w:cs="Times New Roman"/>
          <w:sz w:val="32"/>
          <w:szCs w:val="32"/>
          <w:highlight w:val="none"/>
          <w:lang w:val="en-US" w:eastAsia="zh-CN"/>
        </w:rPr>
        <w:t>八、</w:t>
      </w:r>
      <w:r>
        <w:rPr>
          <w:rFonts w:hint="default" w:ascii="Times New Roman" w:hAnsi="Times New Roman" w:eastAsia="黑体" w:cs="Times New Roman"/>
          <w:sz w:val="32"/>
          <w:szCs w:val="32"/>
          <w:highlight w:val="none"/>
        </w:rPr>
        <w:t>下一步改进措施</w:t>
      </w:r>
    </w:p>
    <w:p w14:paraId="4CA6B820">
      <w:pPr>
        <w:pStyle w:val="6"/>
        <w:keepNext w:val="0"/>
        <w:keepLines w:val="0"/>
        <w:pageBreakBefore w:val="0"/>
        <w:widowControl/>
        <w:suppressLineNumbers w:val="0"/>
        <w:shd w:val="clear" w:color="auto" w:fill="FFFFFF"/>
        <w:kinsoku/>
        <w:wordWrap/>
        <w:overflowPunct/>
        <w:topLinePunct w:val="0"/>
        <w:autoSpaceDE/>
        <w:autoSpaceDN/>
        <w:bidi w:val="0"/>
        <w:adjustRightInd/>
        <w:snapToGrid/>
        <w:spacing w:before="0" w:beforeAutospacing="0" w:after="0" w:afterAutospacing="0" w:line="600" w:lineRule="exact"/>
        <w:ind w:left="0" w:right="0" w:firstLine="640" w:firstLineChars="200"/>
        <w:textAlignment w:val="auto"/>
        <w:rPr>
          <w:rFonts w:hint="eastAsia" w:ascii="黑体" w:hAnsi="黑体" w:eastAsia="黑体" w:cs="黑体"/>
          <w:sz w:val="32"/>
          <w:szCs w:val="32"/>
          <w:highlight w:val="none"/>
          <w:lang w:eastAsia="zh-CN"/>
        </w:rPr>
      </w:pPr>
      <w:r>
        <w:rPr>
          <w:rFonts w:hint="eastAsia" w:ascii="仿宋_GB2312" w:hAnsi="仿宋_GB2312" w:eastAsia="仿宋_GB2312" w:cs="仿宋_GB2312"/>
          <w:b w:val="0"/>
          <w:bCs/>
          <w:color w:val="auto"/>
          <w:sz w:val="32"/>
          <w:szCs w:val="32"/>
          <w:highlight w:val="none"/>
          <w:shd w:val="clear" w:color="auto" w:fill="FFFFFF"/>
          <w:lang w:eastAsia="zh-CN"/>
        </w:rPr>
        <w:t>加快</w:t>
      </w:r>
      <w:r>
        <w:rPr>
          <w:rFonts w:hint="eastAsia" w:ascii="仿宋_GB2312" w:hAnsi="仿宋_GB2312" w:eastAsia="仿宋_GB2312" w:cs="仿宋_GB2312"/>
          <w:b w:val="0"/>
          <w:bCs/>
          <w:color w:val="auto"/>
          <w:sz w:val="32"/>
          <w:szCs w:val="32"/>
          <w:highlight w:val="none"/>
          <w:shd w:val="clear" w:color="auto" w:fill="FFFFFF"/>
          <w:lang w:val="en-US" w:eastAsia="zh-CN"/>
        </w:rPr>
        <w:t>人才</w:t>
      </w:r>
      <w:r>
        <w:rPr>
          <w:rFonts w:hint="eastAsia" w:ascii="仿宋_GB2312" w:hAnsi="仿宋_GB2312" w:eastAsia="仿宋_GB2312" w:cs="仿宋_GB2312"/>
          <w:b w:val="0"/>
          <w:bCs/>
          <w:color w:val="auto"/>
          <w:sz w:val="32"/>
          <w:szCs w:val="32"/>
          <w:highlight w:val="none"/>
          <w:shd w:val="clear" w:color="auto" w:fill="FFFFFF"/>
          <w:lang w:eastAsia="zh-CN"/>
        </w:rPr>
        <w:t>队伍建设，提</w:t>
      </w:r>
      <w:r>
        <w:rPr>
          <w:rFonts w:hint="eastAsia" w:ascii="仿宋_GB2312" w:hAnsi="仿宋_GB2312" w:eastAsia="仿宋_GB2312" w:cs="仿宋_GB2312"/>
          <w:b w:val="0"/>
          <w:bCs/>
          <w:color w:val="auto"/>
          <w:sz w:val="32"/>
          <w:szCs w:val="32"/>
          <w:highlight w:val="none"/>
          <w:shd w:val="clear" w:color="auto" w:fill="FFFFFF"/>
          <w:lang w:val="en-US" w:eastAsia="zh-CN"/>
        </w:rPr>
        <w:t>升绩效</w:t>
      </w:r>
      <w:r>
        <w:rPr>
          <w:rFonts w:hint="eastAsia" w:ascii="仿宋_GB2312" w:hAnsi="仿宋_GB2312" w:eastAsia="仿宋_GB2312" w:cs="仿宋_GB2312"/>
          <w:b w:val="0"/>
          <w:bCs/>
          <w:color w:val="auto"/>
          <w:sz w:val="32"/>
          <w:szCs w:val="32"/>
          <w:highlight w:val="none"/>
          <w:shd w:val="clear" w:color="auto" w:fill="FFFFFF"/>
          <w:lang w:eastAsia="zh-CN"/>
        </w:rPr>
        <w:t>管理人员专业水平。</w:t>
      </w:r>
      <w:r>
        <w:rPr>
          <w:rFonts w:hint="eastAsia" w:ascii="仿宋_GB2312" w:hAnsi="仿宋_GB2312" w:eastAsia="仿宋_GB2312" w:cs="仿宋_GB2312"/>
          <w:b w:val="0"/>
          <w:bCs/>
          <w:color w:val="000000"/>
          <w:sz w:val="32"/>
          <w:szCs w:val="32"/>
          <w:highlight w:val="none"/>
          <w:shd w:val="clear" w:color="auto" w:fill="FFFFFF"/>
          <w:lang w:val="en-US" w:eastAsia="zh-CN"/>
        </w:rPr>
        <w:t>引进专业</w:t>
      </w:r>
      <w:r>
        <w:rPr>
          <w:rFonts w:hint="eastAsia" w:ascii="仿宋_GB2312" w:hAnsi="仿宋_GB2312" w:eastAsia="仿宋_GB2312" w:cs="仿宋_GB2312"/>
          <w:b w:val="0"/>
          <w:bCs/>
          <w:color w:val="000000"/>
          <w:sz w:val="32"/>
          <w:szCs w:val="32"/>
          <w:highlight w:val="none"/>
          <w:shd w:val="clear" w:color="auto" w:fill="FFFFFF"/>
          <w:lang w:eastAsia="zh-CN"/>
        </w:rPr>
        <w:t>人</w:t>
      </w:r>
      <w:r>
        <w:rPr>
          <w:rFonts w:hint="eastAsia" w:ascii="仿宋_GB2312" w:hAnsi="仿宋_GB2312" w:eastAsia="仿宋_GB2312" w:cs="仿宋_GB2312"/>
          <w:b w:val="0"/>
          <w:bCs/>
          <w:color w:val="000000"/>
          <w:sz w:val="32"/>
          <w:szCs w:val="32"/>
          <w:highlight w:val="none"/>
          <w:shd w:val="clear" w:color="auto" w:fill="FFFFFF"/>
          <w:lang w:val="en-US" w:eastAsia="zh-CN"/>
        </w:rPr>
        <w:t>才</w:t>
      </w:r>
      <w:r>
        <w:rPr>
          <w:rFonts w:hint="eastAsia" w:ascii="仿宋_GB2312" w:hAnsi="仿宋_GB2312" w:eastAsia="仿宋_GB2312" w:cs="仿宋_GB2312"/>
          <w:b w:val="0"/>
          <w:bCs/>
          <w:color w:val="000000"/>
          <w:sz w:val="32"/>
          <w:szCs w:val="32"/>
          <w:highlight w:val="none"/>
          <w:shd w:val="clear" w:color="auto" w:fill="FFFFFF"/>
          <w:lang w:eastAsia="zh-CN"/>
        </w:rPr>
        <w:t>，</w:t>
      </w:r>
      <w:r>
        <w:rPr>
          <w:rFonts w:hint="eastAsia" w:ascii="仿宋_GB2312" w:hAnsi="仿宋_GB2312" w:eastAsia="仿宋_GB2312" w:cs="仿宋_GB2312"/>
          <w:b w:val="0"/>
          <w:bCs/>
          <w:color w:val="000000"/>
          <w:sz w:val="32"/>
          <w:szCs w:val="32"/>
          <w:highlight w:val="none"/>
          <w:shd w:val="clear" w:color="auto" w:fill="FFFFFF"/>
          <w:lang w:val="en-US" w:eastAsia="zh-CN"/>
        </w:rPr>
        <w:t>充实</w:t>
      </w:r>
      <w:r>
        <w:rPr>
          <w:rFonts w:hint="eastAsia" w:ascii="仿宋_GB2312" w:hAnsi="仿宋_GB2312" w:eastAsia="仿宋_GB2312" w:cs="仿宋_GB2312"/>
          <w:b w:val="0"/>
          <w:bCs/>
          <w:color w:val="000000"/>
          <w:sz w:val="32"/>
          <w:szCs w:val="32"/>
          <w:highlight w:val="none"/>
          <w:shd w:val="clear" w:color="auto" w:fill="FFFFFF"/>
          <w:lang w:eastAsia="zh-CN"/>
        </w:rPr>
        <w:t>绩效管理</w:t>
      </w:r>
      <w:r>
        <w:rPr>
          <w:rFonts w:hint="eastAsia" w:ascii="仿宋_GB2312" w:hAnsi="仿宋_GB2312" w:eastAsia="仿宋_GB2312" w:cs="仿宋_GB2312"/>
          <w:b w:val="0"/>
          <w:bCs/>
          <w:color w:val="000000"/>
          <w:sz w:val="32"/>
          <w:szCs w:val="32"/>
          <w:highlight w:val="none"/>
          <w:shd w:val="clear" w:color="auto" w:fill="FFFFFF"/>
          <w:lang w:val="en-US" w:eastAsia="zh-CN"/>
        </w:rPr>
        <w:t>人才队伍</w:t>
      </w:r>
      <w:r>
        <w:rPr>
          <w:rFonts w:hint="eastAsia" w:ascii="仿宋_GB2312" w:hAnsi="仿宋_GB2312" w:eastAsia="仿宋_GB2312" w:cs="仿宋_GB2312"/>
          <w:b w:val="0"/>
          <w:bCs/>
          <w:color w:val="000000"/>
          <w:sz w:val="32"/>
          <w:szCs w:val="32"/>
          <w:highlight w:val="none"/>
          <w:shd w:val="clear" w:color="auto" w:fill="FFFFFF"/>
          <w:lang w:eastAsia="zh-CN"/>
        </w:rPr>
        <w:t>，加强</w:t>
      </w:r>
      <w:r>
        <w:rPr>
          <w:rFonts w:hint="eastAsia" w:ascii="仿宋_GB2312" w:hAnsi="仿宋_GB2312" w:eastAsia="仿宋_GB2312" w:cs="仿宋_GB2312"/>
          <w:b w:val="0"/>
          <w:bCs/>
          <w:color w:val="000000"/>
          <w:sz w:val="32"/>
          <w:szCs w:val="32"/>
          <w:highlight w:val="none"/>
          <w:shd w:val="clear" w:color="auto" w:fill="FFFFFF"/>
          <w:lang w:val="en-US" w:eastAsia="zh-CN"/>
        </w:rPr>
        <w:t>业务培训，提升绩效管理人员综合素质</w:t>
      </w:r>
      <w:r>
        <w:rPr>
          <w:rFonts w:hint="eastAsia" w:ascii="Times New Roman" w:hAnsi="Times New Roman" w:eastAsia="仿宋_GB2312" w:cs="仿宋_GB2312"/>
          <w:color w:val="000000"/>
          <w:sz w:val="32"/>
          <w:szCs w:val="32"/>
          <w:highlight w:val="none"/>
          <w:shd w:val="clear" w:color="auto" w:fill="FFFFFF"/>
          <w:lang w:eastAsia="zh-CN"/>
        </w:rPr>
        <w:t>。</w:t>
      </w:r>
      <w:r>
        <w:rPr>
          <w:rFonts w:hint="eastAsia" w:ascii="仿宋_GB2312" w:hAnsi="仿宋_GB2312" w:eastAsia="仿宋_GB2312" w:cs="仿宋_GB2312"/>
          <w:b w:val="0"/>
          <w:bCs/>
          <w:color w:val="000000"/>
          <w:sz w:val="32"/>
          <w:szCs w:val="32"/>
          <w:highlight w:val="none"/>
          <w:shd w:val="clear" w:color="auto" w:fill="FFFFFF"/>
          <w:lang w:val="en-US" w:eastAsia="zh-CN"/>
        </w:rPr>
        <w:t>同时，加强部门间协作联动，做深做细预算绩效目标，增强预算约束力，</w:t>
      </w:r>
      <w:r>
        <w:rPr>
          <w:rFonts w:hint="eastAsia" w:ascii="仿宋_GB2312" w:hAnsi="仿宋_GB2312" w:eastAsia="仿宋_GB2312" w:cs="仿宋_GB2312"/>
          <w:b w:val="0"/>
          <w:bCs/>
          <w:color w:val="000000"/>
          <w:sz w:val="32"/>
          <w:szCs w:val="32"/>
          <w:highlight w:val="none"/>
          <w:shd w:val="clear" w:color="auto" w:fill="FFFFFF"/>
          <w:lang w:eastAsia="zh-CN"/>
        </w:rPr>
        <w:t>提</w:t>
      </w:r>
      <w:r>
        <w:rPr>
          <w:rFonts w:hint="eastAsia" w:ascii="仿宋_GB2312" w:hAnsi="仿宋_GB2312" w:eastAsia="仿宋_GB2312" w:cs="仿宋_GB2312"/>
          <w:b w:val="0"/>
          <w:bCs/>
          <w:color w:val="000000"/>
          <w:sz w:val="32"/>
          <w:szCs w:val="32"/>
          <w:highlight w:val="none"/>
          <w:shd w:val="clear" w:color="auto" w:fill="FFFFFF"/>
          <w:lang w:val="en-US" w:eastAsia="zh-CN"/>
        </w:rPr>
        <w:t>升</w:t>
      </w:r>
      <w:r>
        <w:rPr>
          <w:rFonts w:hint="eastAsia" w:ascii="仿宋_GB2312" w:hAnsi="仿宋_GB2312" w:eastAsia="仿宋_GB2312" w:cs="仿宋_GB2312"/>
          <w:b w:val="0"/>
          <w:bCs/>
          <w:color w:val="000000"/>
          <w:sz w:val="32"/>
          <w:szCs w:val="32"/>
          <w:highlight w:val="none"/>
          <w:shd w:val="clear" w:color="auto" w:fill="FFFFFF"/>
          <w:lang w:eastAsia="zh-CN"/>
        </w:rPr>
        <w:t>绩效管理</w:t>
      </w:r>
      <w:r>
        <w:rPr>
          <w:rFonts w:hint="eastAsia" w:ascii="仿宋_GB2312" w:hAnsi="仿宋_GB2312" w:eastAsia="仿宋_GB2312" w:cs="仿宋_GB2312"/>
          <w:b w:val="0"/>
          <w:bCs/>
          <w:color w:val="000000"/>
          <w:sz w:val="32"/>
          <w:szCs w:val="32"/>
          <w:highlight w:val="none"/>
          <w:shd w:val="clear" w:color="auto" w:fill="FFFFFF"/>
          <w:lang w:val="en-US" w:eastAsia="zh-CN"/>
        </w:rPr>
        <w:t>水</w:t>
      </w:r>
      <w:r>
        <w:rPr>
          <w:rFonts w:hint="eastAsia" w:ascii="仿宋_GB2312" w:hAnsi="仿宋_GB2312" w:eastAsia="仿宋_GB2312" w:cs="仿宋_GB2312"/>
          <w:b w:val="0"/>
          <w:bCs/>
          <w:color w:val="000000"/>
          <w:sz w:val="32"/>
          <w:szCs w:val="32"/>
          <w:highlight w:val="none"/>
          <w:shd w:val="clear" w:color="auto" w:fill="FFFFFF"/>
          <w:lang w:eastAsia="zh-CN"/>
        </w:rPr>
        <w:t>平。</w:t>
      </w:r>
    </w:p>
    <w:p w14:paraId="4C3145F0">
      <w:pPr>
        <w:keepNext w:val="0"/>
        <w:keepLines w:val="0"/>
        <w:pageBreakBefore w:val="0"/>
        <w:widowControl/>
        <w:numPr>
          <w:ilvl w:val="0"/>
          <w:numId w:val="0"/>
        </w:numPr>
        <w:kinsoku/>
        <w:wordWrap/>
        <w:overflowPunct/>
        <w:topLinePunct w:val="0"/>
        <w:autoSpaceDE/>
        <w:autoSpaceDN/>
        <w:bidi w:val="0"/>
        <w:adjustRightInd/>
        <w:snapToGrid/>
        <w:spacing w:line="600" w:lineRule="exact"/>
        <w:ind w:left="0" w:leftChars="0" w:firstLine="640" w:firstLineChars="200"/>
        <w:jc w:val="left"/>
        <w:textAlignment w:val="auto"/>
        <w:rPr>
          <w:rFonts w:hint="default" w:ascii="Times New Roman" w:hAnsi="Times New Roman" w:eastAsia="黑体" w:cs="Times New Roman"/>
          <w:sz w:val="32"/>
          <w:szCs w:val="32"/>
          <w:highlight w:val="none"/>
        </w:rPr>
      </w:pPr>
      <w:r>
        <w:rPr>
          <w:rFonts w:hint="eastAsia" w:ascii="Times New Roman" w:hAnsi="Times New Roman" w:eastAsia="黑体" w:cs="Times New Roman"/>
          <w:sz w:val="32"/>
          <w:szCs w:val="32"/>
          <w:highlight w:val="none"/>
          <w:lang w:val="en-US" w:eastAsia="zh-CN"/>
        </w:rPr>
        <w:t>九、</w:t>
      </w:r>
      <w:r>
        <w:rPr>
          <w:rFonts w:hint="default" w:ascii="Times New Roman" w:hAnsi="Times New Roman" w:eastAsia="黑体" w:cs="Times New Roman"/>
          <w:sz w:val="32"/>
          <w:szCs w:val="32"/>
          <w:highlight w:val="none"/>
        </w:rPr>
        <w:t>部门整体支出绩效自评结果拟应用</w:t>
      </w:r>
      <w:r>
        <w:rPr>
          <w:rFonts w:hint="eastAsia" w:ascii="Times New Roman" w:hAnsi="Times New Roman" w:eastAsia="黑体" w:cs="Times New Roman"/>
          <w:sz w:val="32"/>
          <w:szCs w:val="32"/>
          <w:highlight w:val="none"/>
          <w:lang w:val="en-US" w:eastAsia="zh-CN"/>
        </w:rPr>
        <w:t>及</w:t>
      </w:r>
      <w:r>
        <w:rPr>
          <w:rFonts w:hint="default" w:ascii="Times New Roman" w:hAnsi="Times New Roman" w:eastAsia="黑体" w:cs="Times New Roman"/>
          <w:sz w:val="32"/>
          <w:szCs w:val="32"/>
          <w:highlight w:val="none"/>
        </w:rPr>
        <w:t>公开</w:t>
      </w:r>
      <w:r>
        <w:rPr>
          <w:rFonts w:hint="eastAsia" w:ascii="Times New Roman" w:hAnsi="Times New Roman" w:eastAsia="黑体" w:cs="Times New Roman"/>
          <w:sz w:val="32"/>
          <w:szCs w:val="32"/>
          <w:highlight w:val="none"/>
          <w:lang w:val="en-US" w:eastAsia="zh-CN"/>
        </w:rPr>
        <w:t>情况</w:t>
      </w:r>
    </w:p>
    <w:p w14:paraId="5C177728">
      <w:pPr>
        <w:pStyle w:val="3"/>
        <w:keepNext w:val="0"/>
        <w:keepLines w:val="0"/>
        <w:pageBreakBefore w:val="0"/>
        <w:wordWrap/>
        <w:overflowPunct/>
        <w:topLinePunct w:val="0"/>
        <w:bidi w:val="0"/>
        <w:spacing w:line="600" w:lineRule="exact"/>
        <w:ind w:left="0" w:leftChars="0" w:firstLine="640" w:firstLineChars="200"/>
        <w:jc w:val="left"/>
        <w:rPr>
          <w:rFonts w:hint="default"/>
          <w:sz w:val="32"/>
          <w:szCs w:val="32"/>
          <w:highlight w:val="none"/>
        </w:rPr>
      </w:pPr>
      <w:r>
        <w:rPr>
          <w:rFonts w:hint="eastAsia" w:ascii="仿宋_GB2312" w:hAnsi="仿宋_GB2312" w:eastAsia="仿宋_GB2312" w:cs="仿宋_GB2312"/>
          <w:b w:val="0"/>
          <w:bCs w:val="0"/>
          <w:sz w:val="32"/>
          <w:szCs w:val="32"/>
          <w:highlight w:val="none"/>
        </w:rPr>
        <w:t>部门整体支出绩效自评结果</w:t>
      </w:r>
      <w:r>
        <w:rPr>
          <w:rFonts w:hint="eastAsia" w:ascii="仿宋_GB2312" w:hAnsi="仿宋_GB2312" w:eastAsia="仿宋_GB2312" w:cs="仿宋_GB2312"/>
          <w:b w:val="0"/>
          <w:bCs w:val="0"/>
          <w:sz w:val="32"/>
          <w:szCs w:val="32"/>
          <w:highlight w:val="none"/>
          <w:lang w:val="en-US" w:eastAsia="zh-CN"/>
        </w:rPr>
        <w:t>将作为完善本单位相关制度，改进资金管理的重要依据，同时，也将作为单位内部工作总结的参考依据。本单位的预算绩效目标、预算、决算及绩效评价等信息均按相关规定及时在市城管局门户网站进行了公开，</w:t>
      </w:r>
      <w:r>
        <w:rPr>
          <w:rFonts w:hint="eastAsia" w:ascii="仿宋_GB2312" w:hAnsi="仿宋_GB2312" w:eastAsia="仿宋_GB2312" w:cs="仿宋_GB2312"/>
          <w:kern w:val="0"/>
          <w:sz w:val="32"/>
          <w:szCs w:val="32"/>
          <w:highlight w:val="none"/>
        </w:rPr>
        <w:t>公开信息基础数据和会计信息资料准确、真实、完整。</w:t>
      </w:r>
    </w:p>
    <w:p w14:paraId="58C24009">
      <w:pPr>
        <w:keepNext w:val="0"/>
        <w:keepLines w:val="0"/>
        <w:pageBreakBefore w:val="0"/>
        <w:widowControl/>
        <w:numPr>
          <w:ilvl w:val="0"/>
          <w:numId w:val="0"/>
        </w:numPr>
        <w:kinsoku/>
        <w:wordWrap/>
        <w:overflowPunct/>
        <w:topLinePunct w:val="0"/>
        <w:autoSpaceDE/>
        <w:autoSpaceDN/>
        <w:bidi w:val="0"/>
        <w:adjustRightInd/>
        <w:snapToGrid/>
        <w:spacing w:line="600" w:lineRule="exact"/>
        <w:ind w:left="0" w:leftChars="0" w:firstLine="640" w:firstLineChars="200"/>
        <w:jc w:val="left"/>
        <w:textAlignment w:val="auto"/>
        <w:rPr>
          <w:rFonts w:hint="default" w:ascii="Times New Roman" w:hAnsi="Times New Roman" w:eastAsia="黑体" w:cs="Times New Roman"/>
          <w:sz w:val="32"/>
          <w:szCs w:val="32"/>
          <w:highlight w:val="none"/>
        </w:rPr>
      </w:pPr>
      <w:r>
        <w:rPr>
          <w:rFonts w:hint="eastAsia" w:ascii="Times New Roman" w:hAnsi="Times New Roman" w:eastAsia="黑体" w:cs="Times New Roman"/>
          <w:sz w:val="32"/>
          <w:szCs w:val="32"/>
          <w:highlight w:val="none"/>
          <w:lang w:val="en-US" w:eastAsia="zh-CN"/>
        </w:rPr>
        <w:t>十、</w:t>
      </w:r>
      <w:r>
        <w:rPr>
          <w:rFonts w:hint="default" w:ascii="Times New Roman" w:hAnsi="Times New Roman" w:eastAsia="黑体" w:cs="Times New Roman"/>
          <w:sz w:val="32"/>
          <w:szCs w:val="32"/>
          <w:highlight w:val="none"/>
        </w:rPr>
        <w:t>其他需要说明的情况</w:t>
      </w:r>
    </w:p>
    <w:p w14:paraId="74052CBD">
      <w:pPr>
        <w:keepNext w:val="0"/>
        <w:keepLines w:val="0"/>
        <w:pageBreakBefore w:val="0"/>
        <w:widowControl/>
        <w:kinsoku w:val="0"/>
        <w:wordWrap/>
        <w:overflowPunct/>
        <w:topLinePunct w:val="0"/>
        <w:autoSpaceDE w:val="0"/>
        <w:autoSpaceDN w:val="0"/>
        <w:bidi w:val="0"/>
        <w:adjustRightInd w:val="0"/>
        <w:snapToGrid w:val="0"/>
        <w:spacing w:line="600" w:lineRule="exact"/>
        <w:ind w:left="23" w:firstLine="684" w:firstLineChars="200"/>
        <w:textAlignment w:val="baseline"/>
        <w:rPr>
          <w:rFonts w:hint="default" w:ascii="CESI仿宋-GB2312" w:hAnsi="CESI仿宋-GB2312" w:eastAsia="CESI仿宋-GB2312" w:cs="CESI仿宋-GB2312"/>
          <w:color w:val="auto"/>
          <w:sz w:val="22"/>
          <w:szCs w:val="22"/>
          <w:highlight w:val="none"/>
          <w:lang w:val="en-US" w:eastAsia="zh-CN"/>
        </w:rPr>
      </w:pPr>
      <w:r>
        <w:rPr>
          <w:rFonts w:hint="eastAsia" w:ascii="CESI仿宋-GB2312" w:hAnsi="CESI仿宋-GB2312" w:eastAsia="CESI仿宋-GB2312" w:cs="CESI仿宋-GB2312"/>
          <w:spacing w:val="11"/>
          <w:sz w:val="32"/>
          <w:szCs w:val="32"/>
          <w:highlight w:val="none"/>
          <w:lang w:val="en-US" w:eastAsia="zh-CN"/>
        </w:rPr>
        <w:t>2024年9月，城管执法机构改革，</w:t>
      </w:r>
      <w:r>
        <w:rPr>
          <w:rFonts w:hint="eastAsia" w:ascii="CESI仿宋-GB2312" w:hAnsi="CESI仿宋-GB2312" w:eastAsia="CESI仿宋-GB2312" w:cs="CESI仿宋-GB2312"/>
          <w:sz w:val="32"/>
          <w:szCs w:val="32"/>
          <w:highlight w:val="none"/>
          <w:lang w:val="en-US" w:eastAsia="zh-CN"/>
        </w:rPr>
        <w:t>岳阳楼一大队、岳阳楼二大队、岳阳楼三大队、岳阳楼四大队、云溪大队、君山大队6个大队并入我单位，工资、社保及部分退休人员经费在我单位核算，公用经费、工会经费等不列入绩效自评，项目经费由各区负担。</w:t>
      </w:r>
      <w:r>
        <w:rPr>
          <w:rFonts w:hint="eastAsia" w:ascii="CESI仿宋-GB2312" w:hAnsi="CESI仿宋-GB2312" w:eastAsia="CESI仿宋-GB2312" w:cs="CESI仿宋-GB2312"/>
          <w:spacing w:val="11"/>
          <w:sz w:val="32"/>
          <w:szCs w:val="32"/>
          <w:highlight w:val="none"/>
          <w:lang w:eastAsia="zh-CN"/>
        </w:rPr>
        <w:t>另外，</w:t>
      </w:r>
      <w:r>
        <w:rPr>
          <w:rFonts w:hint="eastAsia" w:ascii="CESI仿宋-GB2312" w:hAnsi="CESI仿宋-GB2312" w:eastAsia="CESI仿宋-GB2312" w:cs="CESI仿宋-GB2312"/>
          <w:spacing w:val="11"/>
          <w:sz w:val="32"/>
          <w:szCs w:val="32"/>
          <w:highlight w:val="none"/>
        </w:rPr>
        <w:t>站场大队</w:t>
      </w:r>
      <w:r>
        <w:rPr>
          <w:rFonts w:hint="eastAsia" w:ascii="CESI仿宋-GB2312" w:hAnsi="CESI仿宋-GB2312" w:eastAsia="CESI仿宋-GB2312" w:cs="CESI仿宋-GB2312"/>
          <w:spacing w:val="11"/>
          <w:sz w:val="32"/>
          <w:szCs w:val="32"/>
          <w:highlight w:val="none"/>
          <w:lang w:eastAsia="zh-CN"/>
        </w:rPr>
        <w:t>为独立预算单位</w:t>
      </w:r>
      <w:r>
        <w:rPr>
          <w:rFonts w:hint="eastAsia" w:ascii="CESI仿宋-GB2312" w:hAnsi="CESI仿宋-GB2312" w:eastAsia="CESI仿宋-GB2312" w:cs="CESI仿宋-GB2312"/>
          <w:spacing w:val="11"/>
          <w:sz w:val="32"/>
          <w:szCs w:val="32"/>
          <w:highlight w:val="none"/>
        </w:rPr>
        <w:t>，</w:t>
      </w:r>
      <w:r>
        <w:rPr>
          <w:rFonts w:hint="eastAsia" w:ascii="CESI仿宋-GB2312" w:hAnsi="CESI仿宋-GB2312" w:eastAsia="CESI仿宋-GB2312" w:cs="CESI仿宋-GB2312"/>
          <w:spacing w:val="11"/>
          <w:sz w:val="32"/>
          <w:szCs w:val="32"/>
          <w:highlight w:val="none"/>
          <w:lang w:eastAsia="zh-CN"/>
        </w:rPr>
        <w:t>相关预算支出也未纳入本次绩效评价范围</w:t>
      </w:r>
      <w:r>
        <w:rPr>
          <w:rFonts w:hint="eastAsia" w:ascii="CESI仿宋-GB2312" w:hAnsi="CESI仿宋-GB2312" w:eastAsia="CESI仿宋-GB2312" w:cs="CESI仿宋-GB2312"/>
          <w:spacing w:val="11"/>
          <w:sz w:val="32"/>
          <w:szCs w:val="32"/>
          <w:highlight w:val="none"/>
        </w:rPr>
        <w:t>。</w:t>
      </w:r>
      <w:r>
        <w:rPr>
          <w:rFonts w:hint="eastAsia" w:ascii="仿宋_GB2312" w:hAnsi="仿宋_GB2312" w:eastAsia="仿宋_GB2312" w:cs="仿宋_GB2312"/>
          <w:sz w:val="32"/>
          <w:szCs w:val="32"/>
          <w:highlight w:val="none"/>
          <w:u w:val="none"/>
        </w:rPr>
        <w:br w:type="textWrapping"/>
      </w:r>
    </w:p>
    <w:sectPr>
      <w:footerReference r:id="rId3" w:type="default"/>
      <w:pgSz w:w="11906" w:h="16838"/>
      <w:pgMar w:top="1440" w:right="1689" w:bottom="1440" w:left="1746" w:header="851" w:footer="992" w:gutter="0"/>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方正小标宋简体">
    <w:altName w:val="方正舒体"/>
    <w:panose1 w:val="02000000000000000000"/>
    <w:charset w:val="86"/>
    <w:family w:val="auto"/>
    <w:pitch w:val="default"/>
    <w:sig w:usb0="00000000" w:usb1="00000000" w:usb2="00000012" w:usb3="00000000" w:csb0="00040001" w:csb1="00000000"/>
  </w:font>
  <w:font w:name="方正舒体">
    <w:panose1 w:val="02010601030101010101"/>
    <w:charset w:val="86"/>
    <w:family w:val="auto"/>
    <w:pitch w:val="default"/>
    <w:sig w:usb0="00000003" w:usb1="080E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CESI仿宋-GB2312">
    <w:altName w:val="仿宋"/>
    <w:panose1 w:val="02000500000000000000"/>
    <w:charset w:val="86"/>
    <w:family w:val="auto"/>
    <w:pitch w:val="default"/>
    <w:sig w:usb0="00000000" w:usb1="00000000" w:usb2="00000010" w:usb3="00000000" w:csb0="0004000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KSOFBE25B2F9">
    <w:panose1 w:val="02010601030101010101"/>
    <w:charset w:val="86"/>
    <w:family w:val="auto"/>
    <w:pitch w:val="default"/>
    <w:sig w:usb0="00000001" w:usb1="00000000" w:usb2="00000000" w:usb3="00000000" w:csb0="00040001" w:csb1="00000000"/>
  </w:font>
  <w:font w:name="KSOFE4500885">
    <w:panose1 w:val="020106090601010101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 w:name="KSOF557087D0">
    <w:panose1 w:val="02010609060101010101"/>
    <w:charset w:val="86"/>
    <w:family w:val="auto"/>
    <w:pitch w:val="default"/>
    <w:sig w:usb0="00000001" w:usb1="00000000" w:usb2="00000000" w:usb3="00000000" w:csb0="00040001" w:csb1="00000000"/>
  </w:font>
  <w:font w:name="KSOF5570FC2F">
    <w:panose1 w:val="02010609060101010101"/>
    <w:charset w:val="86"/>
    <w:family w:val="auto"/>
    <w:pitch w:val="default"/>
    <w:sig w:usb0="00000001" w:usb1="00000000" w:usb2="00000000" w:usb3="00000000" w:csb0="00040001" w:csb1="00000000"/>
  </w:font>
  <w:font w:name="KSOFF9CC6125">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FCE477">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DB8BC97">
                          <w:pPr>
                            <w:pStyle w:val="4"/>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2DB8BC97">
                    <w:pPr>
                      <w:pStyle w:val="4"/>
                    </w:pPr>
                    <w:r>
                      <w:fldChar w:fldCharType="begin"/>
                    </w:r>
                    <w:r>
                      <w:instrText xml:space="preserve"> PAGE  \* MERGEFORMAT </w:instrText>
                    </w:r>
                    <w:r>
                      <w:fldChar w:fldCharType="separate"/>
                    </w:r>
                    <w:r>
                      <w:t>2</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E70A2BD"/>
    <w:multiLevelType w:val="singleLevel"/>
    <w:tmpl w:val="9E70A2BD"/>
    <w:lvl w:ilvl="0" w:tentative="0">
      <w:start w:val="2"/>
      <w:numFmt w:val="chineseCounting"/>
      <w:suff w:val="nothing"/>
      <w:lvlText w:val="（%1）"/>
      <w:lvlJc w:val="left"/>
      <w:rPr>
        <w:rFonts w:hint="eastAsia"/>
      </w:rPr>
    </w:lvl>
  </w:abstractNum>
  <w:abstractNum w:abstractNumId="1">
    <w:nsid w:val="DFE6DB29"/>
    <w:multiLevelType w:val="singleLevel"/>
    <w:tmpl w:val="DFE6DB29"/>
    <w:lvl w:ilvl="0" w:tentative="0">
      <w:start w:val="1"/>
      <w:numFmt w:val="chineseCounting"/>
      <w:suff w:val="nothing"/>
      <w:lvlText w:val="%1、"/>
      <w:lvlJc w:val="left"/>
      <w:rPr>
        <w:rFonts w:hint="eastAsia"/>
      </w:rPr>
    </w:lvl>
  </w:abstractNum>
  <w:abstractNum w:abstractNumId="2">
    <w:nsid w:val="4E0980DE"/>
    <w:multiLevelType w:val="singleLevel"/>
    <w:tmpl w:val="4E0980DE"/>
    <w:lvl w:ilvl="0" w:tentative="0">
      <w:start w:val="2"/>
      <w:numFmt w:val="chineseCounting"/>
      <w:suff w:val="nothing"/>
      <w:lvlText w:val="(%1）"/>
      <w:lvlJc w:val="left"/>
      <w:rPr>
        <w:rFonts w:hint="eastAsia"/>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ExM2I1Y2E5MTg1NzJhN2FkNjlmNDg5OTI5OGY3ZTQifQ=="/>
  </w:docVars>
  <w:rsids>
    <w:rsidRoot w:val="59886344"/>
    <w:rsid w:val="0022181C"/>
    <w:rsid w:val="002D5409"/>
    <w:rsid w:val="004A5BD4"/>
    <w:rsid w:val="0058523E"/>
    <w:rsid w:val="00AE30B0"/>
    <w:rsid w:val="00C61417"/>
    <w:rsid w:val="00CB3C62"/>
    <w:rsid w:val="00E67015"/>
    <w:rsid w:val="01074535"/>
    <w:rsid w:val="011E1FE4"/>
    <w:rsid w:val="015B3238"/>
    <w:rsid w:val="01A249C3"/>
    <w:rsid w:val="01A544B3"/>
    <w:rsid w:val="01A87AFF"/>
    <w:rsid w:val="01E925F2"/>
    <w:rsid w:val="01EF7F5D"/>
    <w:rsid w:val="0216715F"/>
    <w:rsid w:val="02353A89"/>
    <w:rsid w:val="02815105"/>
    <w:rsid w:val="02873BB9"/>
    <w:rsid w:val="029A4586"/>
    <w:rsid w:val="02AD361F"/>
    <w:rsid w:val="02D37AB4"/>
    <w:rsid w:val="03011BBD"/>
    <w:rsid w:val="03323E9D"/>
    <w:rsid w:val="03457CFC"/>
    <w:rsid w:val="034A7BB7"/>
    <w:rsid w:val="03BFA85F"/>
    <w:rsid w:val="03D177E1"/>
    <w:rsid w:val="03D80B70"/>
    <w:rsid w:val="03F57086"/>
    <w:rsid w:val="03FD4132"/>
    <w:rsid w:val="04021749"/>
    <w:rsid w:val="04382BB8"/>
    <w:rsid w:val="045C68B2"/>
    <w:rsid w:val="045F760C"/>
    <w:rsid w:val="0466617C"/>
    <w:rsid w:val="046B3792"/>
    <w:rsid w:val="048D195A"/>
    <w:rsid w:val="054E09BE"/>
    <w:rsid w:val="054F118C"/>
    <w:rsid w:val="05AA653C"/>
    <w:rsid w:val="06307387"/>
    <w:rsid w:val="0648365F"/>
    <w:rsid w:val="06620BC5"/>
    <w:rsid w:val="06712BB6"/>
    <w:rsid w:val="06882A8B"/>
    <w:rsid w:val="068B1EC9"/>
    <w:rsid w:val="06D51397"/>
    <w:rsid w:val="06F2019A"/>
    <w:rsid w:val="06F74635"/>
    <w:rsid w:val="06FF1994"/>
    <w:rsid w:val="07BD6329"/>
    <w:rsid w:val="07E51AAD"/>
    <w:rsid w:val="08265067"/>
    <w:rsid w:val="082A3964"/>
    <w:rsid w:val="083117D0"/>
    <w:rsid w:val="0865674A"/>
    <w:rsid w:val="086F4203"/>
    <w:rsid w:val="08BF22FE"/>
    <w:rsid w:val="08C14A26"/>
    <w:rsid w:val="08CD7283"/>
    <w:rsid w:val="09102B5A"/>
    <w:rsid w:val="093F0D49"/>
    <w:rsid w:val="094445B2"/>
    <w:rsid w:val="0958005D"/>
    <w:rsid w:val="09905E52"/>
    <w:rsid w:val="09CB4CD3"/>
    <w:rsid w:val="0A275119"/>
    <w:rsid w:val="0A310FDA"/>
    <w:rsid w:val="0A5F3EC8"/>
    <w:rsid w:val="0A612C71"/>
    <w:rsid w:val="0A636CB9"/>
    <w:rsid w:val="0AB13EC9"/>
    <w:rsid w:val="0AE20526"/>
    <w:rsid w:val="0AEF63D4"/>
    <w:rsid w:val="0AF13604"/>
    <w:rsid w:val="0B7712B9"/>
    <w:rsid w:val="0B923CFA"/>
    <w:rsid w:val="0B980BE5"/>
    <w:rsid w:val="0BB8F8C0"/>
    <w:rsid w:val="0BBA2AA7"/>
    <w:rsid w:val="0BD47E6F"/>
    <w:rsid w:val="0BD953F2"/>
    <w:rsid w:val="0C27489D"/>
    <w:rsid w:val="0C965124"/>
    <w:rsid w:val="0D1321C5"/>
    <w:rsid w:val="0D466B4A"/>
    <w:rsid w:val="0D645222"/>
    <w:rsid w:val="0D70006B"/>
    <w:rsid w:val="0D8670CB"/>
    <w:rsid w:val="0DB066B9"/>
    <w:rsid w:val="0DFF034E"/>
    <w:rsid w:val="0E213113"/>
    <w:rsid w:val="0E707BF7"/>
    <w:rsid w:val="0E74594B"/>
    <w:rsid w:val="0E781C2B"/>
    <w:rsid w:val="0E7E40C2"/>
    <w:rsid w:val="0E8F2773"/>
    <w:rsid w:val="0EA36836"/>
    <w:rsid w:val="0EA63619"/>
    <w:rsid w:val="0EB6471F"/>
    <w:rsid w:val="0EC306AE"/>
    <w:rsid w:val="0EFCB9EC"/>
    <w:rsid w:val="0F000F7B"/>
    <w:rsid w:val="0F1B7B63"/>
    <w:rsid w:val="0F5512C6"/>
    <w:rsid w:val="0F6E4A1A"/>
    <w:rsid w:val="0F740B87"/>
    <w:rsid w:val="104135F9"/>
    <w:rsid w:val="105477D0"/>
    <w:rsid w:val="10962C7F"/>
    <w:rsid w:val="11586E4C"/>
    <w:rsid w:val="115F467E"/>
    <w:rsid w:val="117FE145"/>
    <w:rsid w:val="11A7392F"/>
    <w:rsid w:val="11AC53EA"/>
    <w:rsid w:val="11C6025A"/>
    <w:rsid w:val="11C75D80"/>
    <w:rsid w:val="11CD2D19"/>
    <w:rsid w:val="11D24E50"/>
    <w:rsid w:val="11EB4164"/>
    <w:rsid w:val="11F12C8D"/>
    <w:rsid w:val="1246139A"/>
    <w:rsid w:val="12526E75"/>
    <w:rsid w:val="12555A81"/>
    <w:rsid w:val="12C10A21"/>
    <w:rsid w:val="12CD5618"/>
    <w:rsid w:val="12D87820"/>
    <w:rsid w:val="12D90460"/>
    <w:rsid w:val="13453400"/>
    <w:rsid w:val="13573157"/>
    <w:rsid w:val="136F66CF"/>
    <w:rsid w:val="13C95DDF"/>
    <w:rsid w:val="13E72709"/>
    <w:rsid w:val="13EA7908"/>
    <w:rsid w:val="13EE9041"/>
    <w:rsid w:val="13FC62BD"/>
    <w:rsid w:val="13FE054C"/>
    <w:rsid w:val="142676D5"/>
    <w:rsid w:val="14661880"/>
    <w:rsid w:val="14A423A8"/>
    <w:rsid w:val="14BE8615"/>
    <w:rsid w:val="151237B6"/>
    <w:rsid w:val="15695ACC"/>
    <w:rsid w:val="157F52EF"/>
    <w:rsid w:val="159927CF"/>
    <w:rsid w:val="15BF393E"/>
    <w:rsid w:val="15C471A6"/>
    <w:rsid w:val="15EC3507"/>
    <w:rsid w:val="15F35395"/>
    <w:rsid w:val="16976668"/>
    <w:rsid w:val="16A4024D"/>
    <w:rsid w:val="16D851DB"/>
    <w:rsid w:val="16E178E4"/>
    <w:rsid w:val="17233A58"/>
    <w:rsid w:val="17300EC8"/>
    <w:rsid w:val="17AC6144"/>
    <w:rsid w:val="18041ADC"/>
    <w:rsid w:val="18495740"/>
    <w:rsid w:val="18736C61"/>
    <w:rsid w:val="188B1885"/>
    <w:rsid w:val="189440AA"/>
    <w:rsid w:val="18A35434"/>
    <w:rsid w:val="18BF5A03"/>
    <w:rsid w:val="18E01B22"/>
    <w:rsid w:val="191044B0"/>
    <w:rsid w:val="19390A50"/>
    <w:rsid w:val="19CA28B1"/>
    <w:rsid w:val="19CC0A45"/>
    <w:rsid w:val="19FA13E8"/>
    <w:rsid w:val="1A136006"/>
    <w:rsid w:val="1A372AF8"/>
    <w:rsid w:val="1AB05F4B"/>
    <w:rsid w:val="1ABF1EEF"/>
    <w:rsid w:val="1AC92B69"/>
    <w:rsid w:val="1B140288"/>
    <w:rsid w:val="1B572F6A"/>
    <w:rsid w:val="1B822020"/>
    <w:rsid w:val="1B972C67"/>
    <w:rsid w:val="1BA2328C"/>
    <w:rsid w:val="1BAB226E"/>
    <w:rsid w:val="1BD712B5"/>
    <w:rsid w:val="1CA034BD"/>
    <w:rsid w:val="1CB75B90"/>
    <w:rsid w:val="1CCC06EE"/>
    <w:rsid w:val="1CDF6673"/>
    <w:rsid w:val="1CEC0554"/>
    <w:rsid w:val="1DEF0A82"/>
    <w:rsid w:val="1DF3F496"/>
    <w:rsid w:val="1E0A7720"/>
    <w:rsid w:val="1E0C06B5"/>
    <w:rsid w:val="1E206F43"/>
    <w:rsid w:val="1E2C3B3A"/>
    <w:rsid w:val="1E7B23CC"/>
    <w:rsid w:val="1E870D71"/>
    <w:rsid w:val="1EBF4107"/>
    <w:rsid w:val="1F130FEC"/>
    <w:rsid w:val="1F443106"/>
    <w:rsid w:val="1F4629DA"/>
    <w:rsid w:val="1F6D440A"/>
    <w:rsid w:val="1F77E370"/>
    <w:rsid w:val="1F952318"/>
    <w:rsid w:val="1FBA9B92"/>
    <w:rsid w:val="1FD70494"/>
    <w:rsid w:val="1FE52BA5"/>
    <w:rsid w:val="1FF31C5E"/>
    <w:rsid w:val="1FF747A1"/>
    <w:rsid w:val="1FFF5A26"/>
    <w:rsid w:val="204B21AD"/>
    <w:rsid w:val="20896F92"/>
    <w:rsid w:val="209E05F3"/>
    <w:rsid w:val="20E06E5E"/>
    <w:rsid w:val="20E56222"/>
    <w:rsid w:val="20EA55E7"/>
    <w:rsid w:val="20FB6EDC"/>
    <w:rsid w:val="212F0D11"/>
    <w:rsid w:val="219A0DBB"/>
    <w:rsid w:val="21E40288"/>
    <w:rsid w:val="21F20913"/>
    <w:rsid w:val="21F36947"/>
    <w:rsid w:val="22433200"/>
    <w:rsid w:val="22794E74"/>
    <w:rsid w:val="22943A5C"/>
    <w:rsid w:val="22FF35CB"/>
    <w:rsid w:val="23447230"/>
    <w:rsid w:val="23502079"/>
    <w:rsid w:val="235F050E"/>
    <w:rsid w:val="237C10C0"/>
    <w:rsid w:val="23E26A49"/>
    <w:rsid w:val="23FF52CD"/>
    <w:rsid w:val="241E204C"/>
    <w:rsid w:val="245A2A83"/>
    <w:rsid w:val="248F4E23"/>
    <w:rsid w:val="24CD5299"/>
    <w:rsid w:val="24D942F0"/>
    <w:rsid w:val="251315B0"/>
    <w:rsid w:val="251D5F8B"/>
    <w:rsid w:val="253B28B5"/>
    <w:rsid w:val="255816B9"/>
    <w:rsid w:val="257F27A2"/>
    <w:rsid w:val="25A55F80"/>
    <w:rsid w:val="26501B72"/>
    <w:rsid w:val="2652435A"/>
    <w:rsid w:val="265445F5"/>
    <w:rsid w:val="2661634B"/>
    <w:rsid w:val="26834513"/>
    <w:rsid w:val="270311B0"/>
    <w:rsid w:val="27743855"/>
    <w:rsid w:val="27B03AAF"/>
    <w:rsid w:val="27D51B77"/>
    <w:rsid w:val="27F51DAF"/>
    <w:rsid w:val="28837CAE"/>
    <w:rsid w:val="28A01DEF"/>
    <w:rsid w:val="28AB55D0"/>
    <w:rsid w:val="29023E15"/>
    <w:rsid w:val="29263F95"/>
    <w:rsid w:val="295B52D4"/>
    <w:rsid w:val="297B2758"/>
    <w:rsid w:val="29890093"/>
    <w:rsid w:val="29D5103E"/>
    <w:rsid w:val="29D92EC8"/>
    <w:rsid w:val="29F83A08"/>
    <w:rsid w:val="2A0B4F4C"/>
    <w:rsid w:val="2AB0456A"/>
    <w:rsid w:val="2ADA66CC"/>
    <w:rsid w:val="2AEB2687"/>
    <w:rsid w:val="2AFC6642"/>
    <w:rsid w:val="2B483F8A"/>
    <w:rsid w:val="2B4A0842"/>
    <w:rsid w:val="2B4E4339"/>
    <w:rsid w:val="2B642D2C"/>
    <w:rsid w:val="2B726905"/>
    <w:rsid w:val="2BECECBA"/>
    <w:rsid w:val="2BFC0FF0"/>
    <w:rsid w:val="2C02237E"/>
    <w:rsid w:val="2C792640"/>
    <w:rsid w:val="2C8455B0"/>
    <w:rsid w:val="2D285E15"/>
    <w:rsid w:val="2D574004"/>
    <w:rsid w:val="2D8A03D1"/>
    <w:rsid w:val="2DDD413C"/>
    <w:rsid w:val="2DE21C73"/>
    <w:rsid w:val="2DF06932"/>
    <w:rsid w:val="2DFB57C0"/>
    <w:rsid w:val="2E5D389C"/>
    <w:rsid w:val="2E826544"/>
    <w:rsid w:val="2EEB534C"/>
    <w:rsid w:val="2F063D67"/>
    <w:rsid w:val="2F0D56B4"/>
    <w:rsid w:val="2F5C3B54"/>
    <w:rsid w:val="2F750E72"/>
    <w:rsid w:val="2F892CAE"/>
    <w:rsid w:val="2F94627D"/>
    <w:rsid w:val="2F96A5E1"/>
    <w:rsid w:val="2FB15C4D"/>
    <w:rsid w:val="2FBF750B"/>
    <w:rsid w:val="2FC242FE"/>
    <w:rsid w:val="2FCF4325"/>
    <w:rsid w:val="2FD71676"/>
    <w:rsid w:val="2FDADF2F"/>
    <w:rsid w:val="2FEDE1A0"/>
    <w:rsid w:val="2FFB1E61"/>
    <w:rsid w:val="30676C54"/>
    <w:rsid w:val="306D082C"/>
    <w:rsid w:val="3082583C"/>
    <w:rsid w:val="30F73B34"/>
    <w:rsid w:val="3179279B"/>
    <w:rsid w:val="317C04DD"/>
    <w:rsid w:val="317D021D"/>
    <w:rsid w:val="3187043E"/>
    <w:rsid w:val="318C4BC4"/>
    <w:rsid w:val="31B45EC9"/>
    <w:rsid w:val="31D43E75"/>
    <w:rsid w:val="31D9FBD3"/>
    <w:rsid w:val="320A7897"/>
    <w:rsid w:val="32236BAB"/>
    <w:rsid w:val="327411B4"/>
    <w:rsid w:val="327C22D2"/>
    <w:rsid w:val="32A73338"/>
    <w:rsid w:val="32A777DC"/>
    <w:rsid w:val="32D01232"/>
    <w:rsid w:val="33082BEB"/>
    <w:rsid w:val="3328091C"/>
    <w:rsid w:val="339B5C84"/>
    <w:rsid w:val="33AB32FB"/>
    <w:rsid w:val="33DF6B01"/>
    <w:rsid w:val="33E12879"/>
    <w:rsid w:val="33EF31E8"/>
    <w:rsid w:val="34056568"/>
    <w:rsid w:val="340622E0"/>
    <w:rsid w:val="34192013"/>
    <w:rsid w:val="343F6B5B"/>
    <w:rsid w:val="344277BC"/>
    <w:rsid w:val="346314E0"/>
    <w:rsid w:val="34A00986"/>
    <w:rsid w:val="34A264AC"/>
    <w:rsid w:val="34F69C36"/>
    <w:rsid w:val="35076310"/>
    <w:rsid w:val="350A76CF"/>
    <w:rsid w:val="350B6915"/>
    <w:rsid w:val="3511718E"/>
    <w:rsid w:val="35BB6AA8"/>
    <w:rsid w:val="35DD007A"/>
    <w:rsid w:val="35FA5E74"/>
    <w:rsid w:val="362058DB"/>
    <w:rsid w:val="364A6F3B"/>
    <w:rsid w:val="3667350A"/>
    <w:rsid w:val="36713175"/>
    <w:rsid w:val="369624CB"/>
    <w:rsid w:val="36BF51C2"/>
    <w:rsid w:val="36E0150E"/>
    <w:rsid w:val="36F9657C"/>
    <w:rsid w:val="37134B6B"/>
    <w:rsid w:val="371716E9"/>
    <w:rsid w:val="371F2036"/>
    <w:rsid w:val="374B6987"/>
    <w:rsid w:val="37641E5F"/>
    <w:rsid w:val="37677C4F"/>
    <w:rsid w:val="376D902E"/>
    <w:rsid w:val="3777022F"/>
    <w:rsid w:val="3790083E"/>
    <w:rsid w:val="37BEBC27"/>
    <w:rsid w:val="37FBBE63"/>
    <w:rsid w:val="37FD64D4"/>
    <w:rsid w:val="37FEADE1"/>
    <w:rsid w:val="37FF3851"/>
    <w:rsid w:val="380F08D0"/>
    <w:rsid w:val="38170F5F"/>
    <w:rsid w:val="382A0C93"/>
    <w:rsid w:val="382A2A41"/>
    <w:rsid w:val="384C5DD8"/>
    <w:rsid w:val="38521C1B"/>
    <w:rsid w:val="38AD086D"/>
    <w:rsid w:val="38F2730A"/>
    <w:rsid w:val="391536F1"/>
    <w:rsid w:val="393D67A4"/>
    <w:rsid w:val="395064D7"/>
    <w:rsid w:val="395FA4EF"/>
    <w:rsid w:val="39A131D7"/>
    <w:rsid w:val="39EE7A9E"/>
    <w:rsid w:val="3A59760D"/>
    <w:rsid w:val="3A992100"/>
    <w:rsid w:val="3AA60379"/>
    <w:rsid w:val="3ABF6FC2"/>
    <w:rsid w:val="3AD6C66A"/>
    <w:rsid w:val="3B1B0D67"/>
    <w:rsid w:val="3B2023A2"/>
    <w:rsid w:val="3B4A33FA"/>
    <w:rsid w:val="3B7743A2"/>
    <w:rsid w:val="3B801056"/>
    <w:rsid w:val="3BAE5737"/>
    <w:rsid w:val="3BB07701"/>
    <w:rsid w:val="3BD03356"/>
    <w:rsid w:val="3BD97102"/>
    <w:rsid w:val="3BF375EE"/>
    <w:rsid w:val="3BF47D47"/>
    <w:rsid w:val="3C460065"/>
    <w:rsid w:val="3CBE05CE"/>
    <w:rsid w:val="3CE358B4"/>
    <w:rsid w:val="3CF25AF7"/>
    <w:rsid w:val="3CF655E7"/>
    <w:rsid w:val="3D0808D3"/>
    <w:rsid w:val="3D145A6E"/>
    <w:rsid w:val="3D3D6D72"/>
    <w:rsid w:val="3D672041"/>
    <w:rsid w:val="3D7B3F30"/>
    <w:rsid w:val="3DA43295"/>
    <w:rsid w:val="3DB37034"/>
    <w:rsid w:val="3DBD6105"/>
    <w:rsid w:val="3DD46A33"/>
    <w:rsid w:val="3DFF9F94"/>
    <w:rsid w:val="3E5B754D"/>
    <w:rsid w:val="3E5E1696"/>
    <w:rsid w:val="3E7E3330"/>
    <w:rsid w:val="3E7E6D7A"/>
    <w:rsid w:val="3EA846BF"/>
    <w:rsid w:val="3EBF10E0"/>
    <w:rsid w:val="3ED44393"/>
    <w:rsid w:val="3EDDF4C5"/>
    <w:rsid w:val="3EED3B98"/>
    <w:rsid w:val="3F2010B0"/>
    <w:rsid w:val="3F3562AE"/>
    <w:rsid w:val="3F372F35"/>
    <w:rsid w:val="3F397A0D"/>
    <w:rsid w:val="3F446ADE"/>
    <w:rsid w:val="3F57AD82"/>
    <w:rsid w:val="3F7738F7"/>
    <w:rsid w:val="3F7BCBD8"/>
    <w:rsid w:val="3F936526"/>
    <w:rsid w:val="3F9EE932"/>
    <w:rsid w:val="3F9F1F66"/>
    <w:rsid w:val="3FA9BBD9"/>
    <w:rsid w:val="3FB4A0DB"/>
    <w:rsid w:val="3FC96CBF"/>
    <w:rsid w:val="3FDA16F8"/>
    <w:rsid w:val="3FDA8BAB"/>
    <w:rsid w:val="3FED4ECB"/>
    <w:rsid w:val="3FF1653A"/>
    <w:rsid w:val="3FF23C6A"/>
    <w:rsid w:val="3FFB42D9"/>
    <w:rsid w:val="3FFB81A4"/>
    <w:rsid w:val="3FFCA43E"/>
    <w:rsid w:val="3FFE7623"/>
    <w:rsid w:val="3FFEE9B1"/>
    <w:rsid w:val="3FFF0EEF"/>
    <w:rsid w:val="40051BF8"/>
    <w:rsid w:val="402E6E46"/>
    <w:rsid w:val="40626F0E"/>
    <w:rsid w:val="406867FC"/>
    <w:rsid w:val="40A67324"/>
    <w:rsid w:val="40BC26A4"/>
    <w:rsid w:val="40E55E64"/>
    <w:rsid w:val="415154E2"/>
    <w:rsid w:val="417B32CA"/>
    <w:rsid w:val="41827BD7"/>
    <w:rsid w:val="41DB2FFE"/>
    <w:rsid w:val="41F67E38"/>
    <w:rsid w:val="42042555"/>
    <w:rsid w:val="42482B23"/>
    <w:rsid w:val="426E3E72"/>
    <w:rsid w:val="42B50F67"/>
    <w:rsid w:val="42D5199B"/>
    <w:rsid w:val="42EF6D61"/>
    <w:rsid w:val="43273CF3"/>
    <w:rsid w:val="43282273"/>
    <w:rsid w:val="43860D47"/>
    <w:rsid w:val="43CF26EE"/>
    <w:rsid w:val="44200200"/>
    <w:rsid w:val="443133A9"/>
    <w:rsid w:val="44416C20"/>
    <w:rsid w:val="44C85ABB"/>
    <w:rsid w:val="44D53D34"/>
    <w:rsid w:val="44F30166"/>
    <w:rsid w:val="45B24076"/>
    <w:rsid w:val="45DC29D3"/>
    <w:rsid w:val="45E5269D"/>
    <w:rsid w:val="461B60BF"/>
    <w:rsid w:val="46431172"/>
    <w:rsid w:val="465869CB"/>
    <w:rsid w:val="46671304"/>
    <w:rsid w:val="46D52711"/>
    <w:rsid w:val="46F078F8"/>
    <w:rsid w:val="46F73C57"/>
    <w:rsid w:val="472114B3"/>
    <w:rsid w:val="47339889"/>
    <w:rsid w:val="473E02B7"/>
    <w:rsid w:val="474D22A8"/>
    <w:rsid w:val="47595427"/>
    <w:rsid w:val="476B4E24"/>
    <w:rsid w:val="477261B2"/>
    <w:rsid w:val="47746FF5"/>
    <w:rsid w:val="47E349BA"/>
    <w:rsid w:val="47FF95BD"/>
    <w:rsid w:val="47FFE835"/>
    <w:rsid w:val="48217291"/>
    <w:rsid w:val="48233009"/>
    <w:rsid w:val="482F19AD"/>
    <w:rsid w:val="484C07B1"/>
    <w:rsid w:val="485B27A2"/>
    <w:rsid w:val="48724017"/>
    <w:rsid w:val="488F68F0"/>
    <w:rsid w:val="48D80297"/>
    <w:rsid w:val="48E00E71"/>
    <w:rsid w:val="48E34432"/>
    <w:rsid w:val="4957740E"/>
    <w:rsid w:val="499D2CBB"/>
    <w:rsid w:val="49DC759C"/>
    <w:rsid w:val="4B2B6DA4"/>
    <w:rsid w:val="4BB07CCC"/>
    <w:rsid w:val="4BD27220"/>
    <w:rsid w:val="4BD8314F"/>
    <w:rsid w:val="4C417F01"/>
    <w:rsid w:val="4C5E6D05"/>
    <w:rsid w:val="4C854292"/>
    <w:rsid w:val="4C940979"/>
    <w:rsid w:val="4CB95B17"/>
    <w:rsid w:val="4CCD096F"/>
    <w:rsid w:val="4CEA0599"/>
    <w:rsid w:val="4CF37D51"/>
    <w:rsid w:val="4D2F0C73"/>
    <w:rsid w:val="4D573E80"/>
    <w:rsid w:val="4D98CFB4"/>
    <w:rsid w:val="4DFFFE2D"/>
    <w:rsid w:val="4E544B3D"/>
    <w:rsid w:val="4E6B144B"/>
    <w:rsid w:val="4EE72FE2"/>
    <w:rsid w:val="4EFFAD45"/>
    <w:rsid w:val="4F011818"/>
    <w:rsid w:val="4F380BC9"/>
    <w:rsid w:val="4F455F5A"/>
    <w:rsid w:val="4F5A7C58"/>
    <w:rsid w:val="4F6B337B"/>
    <w:rsid w:val="4F6E7EB1"/>
    <w:rsid w:val="4F8C3B89"/>
    <w:rsid w:val="4F9F7B2E"/>
    <w:rsid w:val="4FBD4A7C"/>
    <w:rsid w:val="4FBFFD98"/>
    <w:rsid w:val="4FC60E49"/>
    <w:rsid w:val="4FCD667C"/>
    <w:rsid w:val="4FD11893"/>
    <w:rsid w:val="4FD7D642"/>
    <w:rsid w:val="4FDFD617"/>
    <w:rsid w:val="4FDFFCB7"/>
    <w:rsid w:val="4FE614EB"/>
    <w:rsid w:val="4FF77255"/>
    <w:rsid w:val="4FFA6D45"/>
    <w:rsid w:val="501C4F0D"/>
    <w:rsid w:val="501E0C85"/>
    <w:rsid w:val="501F67AB"/>
    <w:rsid w:val="507E34D2"/>
    <w:rsid w:val="50BBB3CB"/>
    <w:rsid w:val="50C4220B"/>
    <w:rsid w:val="50D1080A"/>
    <w:rsid w:val="51107F44"/>
    <w:rsid w:val="511F2F07"/>
    <w:rsid w:val="512C4327"/>
    <w:rsid w:val="51832EA6"/>
    <w:rsid w:val="51D27F79"/>
    <w:rsid w:val="520E4D2A"/>
    <w:rsid w:val="523033E4"/>
    <w:rsid w:val="52522E68"/>
    <w:rsid w:val="525941F7"/>
    <w:rsid w:val="52614E59"/>
    <w:rsid w:val="5268443A"/>
    <w:rsid w:val="52701540"/>
    <w:rsid w:val="52CA25D7"/>
    <w:rsid w:val="52FF127B"/>
    <w:rsid w:val="535E56F6"/>
    <w:rsid w:val="536015B5"/>
    <w:rsid w:val="537255B7"/>
    <w:rsid w:val="538C05FC"/>
    <w:rsid w:val="539769D7"/>
    <w:rsid w:val="53DFCB29"/>
    <w:rsid w:val="53FF7967"/>
    <w:rsid w:val="54273E81"/>
    <w:rsid w:val="54352A41"/>
    <w:rsid w:val="543640C4"/>
    <w:rsid w:val="544B7B6F"/>
    <w:rsid w:val="547635AA"/>
    <w:rsid w:val="548117E3"/>
    <w:rsid w:val="54B27BEE"/>
    <w:rsid w:val="54C17E31"/>
    <w:rsid w:val="54C2380D"/>
    <w:rsid w:val="54EB4EAE"/>
    <w:rsid w:val="5522723D"/>
    <w:rsid w:val="555A7AD1"/>
    <w:rsid w:val="557425B0"/>
    <w:rsid w:val="55A8275D"/>
    <w:rsid w:val="55C061A9"/>
    <w:rsid w:val="55D707AE"/>
    <w:rsid w:val="55E95892"/>
    <w:rsid w:val="55EA1BDE"/>
    <w:rsid w:val="55F5FC3D"/>
    <w:rsid w:val="5609092B"/>
    <w:rsid w:val="561548D9"/>
    <w:rsid w:val="567D422C"/>
    <w:rsid w:val="56DF0A43"/>
    <w:rsid w:val="56FB1779"/>
    <w:rsid w:val="578C0BCA"/>
    <w:rsid w:val="579161E1"/>
    <w:rsid w:val="57AC6B77"/>
    <w:rsid w:val="57B27F05"/>
    <w:rsid w:val="57BE6552"/>
    <w:rsid w:val="57EE5291"/>
    <w:rsid w:val="57FE5AAB"/>
    <w:rsid w:val="57FFC48F"/>
    <w:rsid w:val="581B1F4E"/>
    <w:rsid w:val="584414A5"/>
    <w:rsid w:val="587A4EC7"/>
    <w:rsid w:val="58B25E24"/>
    <w:rsid w:val="58C12DA3"/>
    <w:rsid w:val="58ED7447"/>
    <w:rsid w:val="58FF468A"/>
    <w:rsid w:val="59232E69"/>
    <w:rsid w:val="59282B75"/>
    <w:rsid w:val="593B2DCB"/>
    <w:rsid w:val="593E5EF4"/>
    <w:rsid w:val="59413C36"/>
    <w:rsid w:val="5954396A"/>
    <w:rsid w:val="59885EDD"/>
    <w:rsid w:val="59886344"/>
    <w:rsid w:val="59900C4D"/>
    <w:rsid w:val="59E44CEE"/>
    <w:rsid w:val="59E70BF0"/>
    <w:rsid w:val="59EA6BEE"/>
    <w:rsid w:val="5A1F40DF"/>
    <w:rsid w:val="5A655703"/>
    <w:rsid w:val="5A690D4F"/>
    <w:rsid w:val="5A7E61EE"/>
    <w:rsid w:val="5A8A17A4"/>
    <w:rsid w:val="5A9A35FE"/>
    <w:rsid w:val="5AC429BF"/>
    <w:rsid w:val="5AF05A78"/>
    <w:rsid w:val="5AF70A51"/>
    <w:rsid w:val="5B1213E7"/>
    <w:rsid w:val="5B265B08"/>
    <w:rsid w:val="5B415CBC"/>
    <w:rsid w:val="5B560EF0"/>
    <w:rsid w:val="5B7E6D1C"/>
    <w:rsid w:val="5B7ED426"/>
    <w:rsid w:val="5BC633A9"/>
    <w:rsid w:val="5BCC5A39"/>
    <w:rsid w:val="5BDB7A2A"/>
    <w:rsid w:val="5BEF265E"/>
    <w:rsid w:val="5BF64864"/>
    <w:rsid w:val="5C0952F3"/>
    <w:rsid w:val="5C153D97"/>
    <w:rsid w:val="5C78086A"/>
    <w:rsid w:val="5C7D6D34"/>
    <w:rsid w:val="5C7F7828"/>
    <w:rsid w:val="5C8A33AC"/>
    <w:rsid w:val="5CD71B78"/>
    <w:rsid w:val="5CEF3E18"/>
    <w:rsid w:val="5CFF1EBE"/>
    <w:rsid w:val="5D887B7A"/>
    <w:rsid w:val="5D900CE9"/>
    <w:rsid w:val="5D971CDF"/>
    <w:rsid w:val="5DA80D16"/>
    <w:rsid w:val="5DECD9AD"/>
    <w:rsid w:val="5DF94AE0"/>
    <w:rsid w:val="5DFDBFAB"/>
    <w:rsid w:val="5E2002BE"/>
    <w:rsid w:val="5E2B954A"/>
    <w:rsid w:val="5E9FC81A"/>
    <w:rsid w:val="5EA1DC1F"/>
    <w:rsid w:val="5EA467FA"/>
    <w:rsid w:val="5EB9B045"/>
    <w:rsid w:val="5EBF3A50"/>
    <w:rsid w:val="5ED74E21"/>
    <w:rsid w:val="5EF77271"/>
    <w:rsid w:val="5EFFA2D3"/>
    <w:rsid w:val="5F1871E8"/>
    <w:rsid w:val="5F4CC8F8"/>
    <w:rsid w:val="5F506981"/>
    <w:rsid w:val="5F5E0FA4"/>
    <w:rsid w:val="5F77A2ED"/>
    <w:rsid w:val="5F926F9A"/>
    <w:rsid w:val="5FA735D2"/>
    <w:rsid w:val="5FB03E3C"/>
    <w:rsid w:val="5FBE93FF"/>
    <w:rsid w:val="5FBFE839"/>
    <w:rsid w:val="5FEC7D4C"/>
    <w:rsid w:val="5FED7369"/>
    <w:rsid w:val="5FEF6116"/>
    <w:rsid w:val="5FFFB90D"/>
    <w:rsid w:val="600325B4"/>
    <w:rsid w:val="601259E5"/>
    <w:rsid w:val="60206354"/>
    <w:rsid w:val="60242AAE"/>
    <w:rsid w:val="6045400C"/>
    <w:rsid w:val="60B8658C"/>
    <w:rsid w:val="6103289E"/>
    <w:rsid w:val="613E4F83"/>
    <w:rsid w:val="61930DA7"/>
    <w:rsid w:val="61E37639"/>
    <w:rsid w:val="625978FB"/>
    <w:rsid w:val="62B72874"/>
    <w:rsid w:val="62C90F25"/>
    <w:rsid w:val="62CC6257"/>
    <w:rsid w:val="630E5001"/>
    <w:rsid w:val="633A772C"/>
    <w:rsid w:val="63536A40"/>
    <w:rsid w:val="638561D0"/>
    <w:rsid w:val="63AC035B"/>
    <w:rsid w:val="63C45248"/>
    <w:rsid w:val="63CD41A6"/>
    <w:rsid w:val="64431083"/>
    <w:rsid w:val="64432611"/>
    <w:rsid w:val="64AA6B34"/>
    <w:rsid w:val="64B71C9E"/>
    <w:rsid w:val="64BC1D30"/>
    <w:rsid w:val="64D21BE7"/>
    <w:rsid w:val="64EE6A20"/>
    <w:rsid w:val="650A2CC5"/>
    <w:rsid w:val="651E4E2C"/>
    <w:rsid w:val="6554084E"/>
    <w:rsid w:val="656E7BE6"/>
    <w:rsid w:val="65711400"/>
    <w:rsid w:val="65876E75"/>
    <w:rsid w:val="65A63A25"/>
    <w:rsid w:val="65B9AD50"/>
    <w:rsid w:val="65BF03BD"/>
    <w:rsid w:val="65C15EE3"/>
    <w:rsid w:val="65D320CC"/>
    <w:rsid w:val="65D42C8C"/>
    <w:rsid w:val="66044CA8"/>
    <w:rsid w:val="66154481"/>
    <w:rsid w:val="666351EC"/>
    <w:rsid w:val="668A09CB"/>
    <w:rsid w:val="66BC48FC"/>
    <w:rsid w:val="66CF2CA7"/>
    <w:rsid w:val="66EBC55B"/>
    <w:rsid w:val="66FE2E33"/>
    <w:rsid w:val="67064E05"/>
    <w:rsid w:val="67386679"/>
    <w:rsid w:val="676A2DDC"/>
    <w:rsid w:val="676C00D0"/>
    <w:rsid w:val="677C9CB9"/>
    <w:rsid w:val="67AE60F1"/>
    <w:rsid w:val="67E920AE"/>
    <w:rsid w:val="681F3395"/>
    <w:rsid w:val="685E210F"/>
    <w:rsid w:val="68D423D1"/>
    <w:rsid w:val="69034A64"/>
    <w:rsid w:val="69085BD7"/>
    <w:rsid w:val="69087695"/>
    <w:rsid w:val="692D42A9"/>
    <w:rsid w:val="697E7979"/>
    <w:rsid w:val="69AF24F6"/>
    <w:rsid w:val="69C064B2"/>
    <w:rsid w:val="69D63F27"/>
    <w:rsid w:val="69FF4E45"/>
    <w:rsid w:val="6A364414"/>
    <w:rsid w:val="6A3C1FDC"/>
    <w:rsid w:val="6A435BC0"/>
    <w:rsid w:val="6A7B48DB"/>
    <w:rsid w:val="6A7FDBAA"/>
    <w:rsid w:val="6AA10091"/>
    <w:rsid w:val="6AA87672"/>
    <w:rsid w:val="6ABE009D"/>
    <w:rsid w:val="6ACB3360"/>
    <w:rsid w:val="6AFB61ED"/>
    <w:rsid w:val="6AFC5236"/>
    <w:rsid w:val="6B7B6D45"/>
    <w:rsid w:val="6B7FCFEA"/>
    <w:rsid w:val="6B8A4FC9"/>
    <w:rsid w:val="6B997652"/>
    <w:rsid w:val="6BC746B9"/>
    <w:rsid w:val="6BC95AF1"/>
    <w:rsid w:val="6BE61923"/>
    <w:rsid w:val="6BF012D0"/>
    <w:rsid w:val="6BF3B3D4"/>
    <w:rsid w:val="6C304865"/>
    <w:rsid w:val="6C473A20"/>
    <w:rsid w:val="6C4B4758"/>
    <w:rsid w:val="6C4E5FF7"/>
    <w:rsid w:val="6C9FBCFA"/>
    <w:rsid w:val="6CA16A6E"/>
    <w:rsid w:val="6CE32BE3"/>
    <w:rsid w:val="6CE76A77"/>
    <w:rsid w:val="6CF11037"/>
    <w:rsid w:val="6CFAF58F"/>
    <w:rsid w:val="6D3811E3"/>
    <w:rsid w:val="6D5D0BE7"/>
    <w:rsid w:val="6D747CDF"/>
    <w:rsid w:val="6D851EEC"/>
    <w:rsid w:val="6DA305C4"/>
    <w:rsid w:val="6DAA1953"/>
    <w:rsid w:val="6DABFA3A"/>
    <w:rsid w:val="6DB16743"/>
    <w:rsid w:val="6DBFB4C2"/>
    <w:rsid w:val="6DDB00AB"/>
    <w:rsid w:val="6DE01B8E"/>
    <w:rsid w:val="6DFBE3F2"/>
    <w:rsid w:val="6E032E11"/>
    <w:rsid w:val="6E05302D"/>
    <w:rsid w:val="6E0C7F17"/>
    <w:rsid w:val="6E9475E3"/>
    <w:rsid w:val="6E9F3C9F"/>
    <w:rsid w:val="6EBA2157"/>
    <w:rsid w:val="6EBF21D1"/>
    <w:rsid w:val="6EDD861A"/>
    <w:rsid w:val="6EDFEB9C"/>
    <w:rsid w:val="6F1C10EB"/>
    <w:rsid w:val="6F5CE480"/>
    <w:rsid w:val="6F5F301C"/>
    <w:rsid w:val="6F7788FF"/>
    <w:rsid w:val="6FB6DA39"/>
    <w:rsid w:val="6FBBC32B"/>
    <w:rsid w:val="6FD902CD"/>
    <w:rsid w:val="6FEBDD80"/>
    <w:rsid w:val="6FF43F53"/>
    <w:rsid w:val="6FF53F70"/>
    <w:rsid w:val="6FFEED97"/>
    <w:rsid w:val="700D2C72"/>
    <w:rsid w:val="701F74FE"/>
    <w:rsid w:val="707406FA"/>
    <w:rsid w:val="70AC7CE0"/>
    <w:rsid w:val="70C9547E"/>
    <w:rsid w:val="70DA5067"/>
    <w:rsid w:val="70FB2954"/>
    <w:rsid w:val="711D793E"/>
    <w:rsid w:val="71204A76"/>
    <w:rsid w:val="71A06C04"/>
    <w:rsid w:val="71A566B9"/>
    <w:rsid w:val="71D5087F"/>
    <w:rsid w:val="72AB5194"/>
    <w:rsid w:val="72BFFDCE"/>
    <w:rsid w:val="72EC797F"/>
    <w:rsid w:val="73084911"/>
    <w:rsid w:val="73090EC9"/>
    <w:rsid w:val="731E2BC7"/>
    <w:rsid w:val="73234AF8"/>
    <w:rsid w:val="73467A28"/>
    <w:rsid w:val="735C552C"/>
    <w:rsid w:val="7378461B"/>
    <w:rsid w:val="73926C0B"/>
    <w:rsid w:val="73F05BE5"/>
    <w:rsid w:val="73F733C3"/>
    <w:rsid w:val="73FF225C"/>
    <w:rsid w:val="743C1F26"/>
    <w:rsid w:val="7480205F"/>
    <w:rsid w:val="748A1F20"/>
    <w:rsid w:val="74973049"/>
    <w:rsid w:val="74B048C4"/>
    <w:rsid w:val="74B11819"/>
    <w:rsid w:val="74DA48CB"/>
    <w:rsid w:val="74DC4AE7"/>
    <w:rsid w:val="74EFAB8C"/>
    <w:rsid w:val="751E7FE6"/>
    <w:rsid w:val="753D4E5A"/>
    <w:rsid w:val="754D7793"/>
    <w:rsid w:val="757F1BA4"/>
    <w:rsid w:val="759915A9"/>
    <w:rsid w:val="75A5137D"/>
    <w:rsid w:val="75BF0F55"/>
    <w:rsid w:val="75E55C1E"/>
    <w:rsid w:val="75FF2C4D"/>
    <w:rsid w:val="76041D8F"/>
    <w:rsid w:val="762A3631"/>
    <w:rsid w:val="76482B88"/>
    <w:rsid w:val="764F669F"/>
    <w:rsid w:val="765F1837"/>
    <w:rsid w:val="76685F07"/>
    <w:rsid w:val="767D2A6A"/>
    <w:rsid w:val="76ADCB49"/>
    <w:rsid w:val="76BB8EB3"/>
    <w:rsid w:val="76D68A8B"/>
    <w:rsid w:val="76DD4B47"/>
    <w:rsid w:val="76FD97C1"/>
    <w:rsid w:val="77585F7B"/>
    <w:rsid w:val="7760D300"/>
    <w:rsid w:val="77752ECC"/>
    <w:rsid w:val="778DF576"/>
    <w:rsid w:val="778F832B"/>
    <w:rsid w:val="7795704B"/>
    <w:rsid w:val="779C055E"/>
    <w:rsid w:val="77C54A1E"/>
    <w:rsid w:val="77FB5773"/>
    <w:rsid w:val="77FB9FA2"/>
    <w:rsid w:val="77FFCBBF"/>
    <w:rsid w:val="787C30B6"/>
    <w:rsid w:val="78911745"/>
    <w:rsid w:val="78BB0562"/>
    <w:rsid w:val="78D45AD6"/>
    <w:rsid w:val="79144124"/>
    <w:rsid w:val="79556C16"/>
    <w:rsid w:val="796B643A"/>
    <w:rsid w:val="79BD2431"/>
    <w:rsid w:val="79CE0777"/>
    <w:rsid w:val="79D35D8D"/>
    <w:rsid w:val="79DB9E36"/>
    <w:rsid w:val="79DE6354"/>
    <w:rsid w:val="79DF9A0C"/>
    <w:rsid w:val="79FFC461"/>
    <w:rsid w:val="7A044199"/>
    <w:rsid w:val="7A272470"/>
    <w:rsid w:val="7A8D23E0"/>
    <w:rsid w:val="7AC7C5BD"/>
    <w:rsid w:val="7ADF2904"/>
    <w:rsid w:val="7B3FF031"/>
    <w:rsid w:val="7B5A5554"/>
    <w:rsid w:val="7B5C3128"/>
    <w:rsid w:val="7B5FA494"/>
    <w:rsid w:val="7B65351C"/>
    <w:rsid w:val="7B9D48A5"/>
    <w:rsid w:val="7B9E1A50"/>
    <w:rsid w:val="7BB59C2A"/>
    <w:rsid w:val="7BBEC34E"/>
    <w:rsid w:val="7BD93132"/>
    <w:rsid w:val="7BEFCCA3"/>
    <w:rsid w:val="7BF5023D"/>
    <w:rsid w:val="7BF7AB0E"/>
    <w:rsid w:val="7C0641F8"/>
    <w:rsid w:val="7C6F62F6"/>
    <w:rsid w:val="7C7387C3"/>
    <w:rsid w:val="7C7FB54B"/>
    <w:rsid w:val="7C920181"/>
    <w:rsid w:val="7C9E2E95"/>
    <w:rsid w:val="7CA7588C"/>
    <w:rsid w:val="7CB5BA67"/>
    <w:rsid w:val="7CCD87B0"/>
    <w:rsid w:val="7CD6006E"/>
    <w:rsid w:val="7CF3249A"/>
    <w:rsid w:val="7D2B4FB3"/>
    <w:rsid w:val="7D3CFC96"/>
    <w:rsid w:val="7D5316BF"/>
    <w:rsid w:val="7D536578"/>
    <w:rsid w:val="7D7C30CE"/>
    <w:rsid w:val="7D7F0C26"/>
    <w:rsid w:val="7D8F646F"/>
    <w:rsid w:val="7DA243F4"/>
    <w:rsid w:val="7DA40413"/>
    <w:rsid w:val="7DA97531"/>
    <w:rsid w:val="7DB54F8A"/>
    <w:rsid w:val="7DB6EA17"/>
    <w:rsid w:val="7DBC59E2"/>
    <w:rsid w:val="7DCD08AB"/>
    <w:rsid w:val="7DD55416"/>
    <w:rsid w:val="7DE762AB"/>
    <w:rsid w:val="7DED2FD5"/>
    <w:rsid w:val="7DFAD31B"/>
    <w:rsid w:val="7DFF1CF4"/>
    <w:rsid w:val="7E1A3F8B"/>
    <w:rsid w:val="7E67F134"/>
    <w:rsid w:val="7E6F22E3"/>
    <w:rsid w:val="7E7A1893"/>
    <w:rsid w:val="7E93BAF9"/>
    <w:rsid w:val="7E97D62A"/>
    <w:rsid w:val="7EB28BC7"/>
    <w:rsid w:val="7EB443DF"/>
    <w:rsid w:val="7EB7038C"/>
    <w:rsid w:val="7EB7DEAE"/>
    <w:rsid w:val="7EBF8D01"/>
    <w:rsid w:val="7ECDFB0F"/>
    <w:rsid w:val="7ED4682F"/>
    <w:rsid w:val="7EE224A3"/>
    <w:rsid w:val="7EEF0E05"/>
    <w:rsid w:val="7EFFF7F8"/>
    <w:rsid w:val="7F3ECDC7"/>
    <w:rsid w:val="7F4E1B1A"/>
    <w:rsid w:val="7F5A6812"/>
    <w:rsid w:val="7F7AB927"/>
    <w:rsid w:val="7F7B71CC"/>
    <w:rsid w:val="7F7BC676"/>
    <w:rsid w:val="7F7D1F31"/>
    <w:rsid w:val="7F7D4723"/>
    <w:rsid w:val="7F7D6D07"/>
    <w:rsid w:val="7F7E5433"/>
    <w:rsid w:val="7F8020B8"/>
    <w:rsid w:val="7F846F1D"/>
    <w:rsid w:val="7F8E2CC9"/>
    <w:rsid w:val="7F8FCD62"/>
    <w:rsid w:val="7F976598"/>
    <w:rsid w:val="7FA751BA"/>
    <w:rsid w:val="7FB74EB1"/>
    <w:rsid w:val="7FBDAC76"/>
    <w:rsid w:val="7FBDF962"/>
    <w:rsid w:val="7FBF44CE"/>
    <w:rsid w:val="7FD6F4C9"/>
    <w:rsid w:val="7FDB83BC"/>
    <w:rsid w:val="7FDDA8C0"/>
    <w:rsid w:val="7FEE4D36"/>
    <w:rsid w:val="7FEFE61E"/>
    <w:rsid w:val="7FF08398"/>
    <w:rsid w:val="7FF7E8DC"/>
    <w:rsid w:val="7FF90641"/>
    <w:rsid w:val="7FFB0157"/>
    <w:rsid w:val="7FFDF5C7"/>
    <w:rsid w:val="7FFF72DE"/>
    <w:rsid w:val="87FD8CAA"/>
    <w:rsid w:val="8EF6281F"/>
    <w:rsid w:val="8FB79485"/>
    <w:rsid w:val="94FD683A"/>
    <w:rsid w:val="975D3FC9"/>
    <w:rsid w:val="9C2A88BC"/>
    <w:rsid w:val="9D7E5786"/>
    <w:rsid w:val="9D7FDD87"/>
    <w:rsid w:val="9F453F19"/>
    <w:rsid w:val="9F4DE9AD"/>
    <w:rsid w:val="9F67B044"/>
    <w:rsid w:val="9FBB77AC"/>
    <w:rsid w:val="9FBFC8D4"/>
    <w:rsid w:val="9FF94E7F"/>
    <w:rsid w:val="A3F9B29D"/>
    <w:rsid w:val="A6BA03DD"/>
    <w:rsid w:val="A6F6F0A3"/>
    <w:rsid w:val="A7CF946A"/>
    <w:rsid w:val="A7F7C936"/>
    <w:rsid w:val="AA2B7177"/>
    <w:rsid w:val="ABFDEC64"/>
    <w:rsid w:val="ABFFA1A9"/>
    <w:rsid w:val="AD6A5CF4"/>
    <w:rsid w:val="AE566D90"/>
    <w:rsid w:val="AF4FA1A9"/>
    <w:rsid w:val="AF9FC224"/>
    <w:rsid w:val="AFF7B309"/>
    <w:rsid w:val="B0F61D13"/>
    <w:rsid w:val="B27E8B15"/>
    <w:rsid w:val="B2D97626"/>
    <w:rsid w:val="B69D6B8A"/>
    <w:rsid w:val="B6EB16F3"/>
    <w:rsid w:val="B725C4AF"/>
    <w:rsid w:val="B7AE24B1"/>
    <w:rsid w:val="B7C38CFB"/>
    <w:rsid w:val="B7F7400B"/>
    <w:rsid w:val="B7FF9899"/>
    <w:rsid w:val="B87D1702"/>
    <w:rsid w:val="B917D3F3"/>
    <w:rsid w:val="B9FFB7FF"/>
    <w:rsid w:val="BACF9C5D"/>
    <w:rsid w:val="BADE3E27"/>
    <w:rsid w:val="BAF2B79E"/>
    <w:rsid w:val="BB798ED7"/>
    <w:rsid w:val="BBB8A603"/>
    <w:rsid w:val="BBFBA65D"/>
    <w:rsid w:val="BC7BC9F8"/>
    <w:rsid w:val="BC7DB96A"/>
    <w:rsid w:val="BCAC1CDC"/>
    <w:rsid w:val="BCDCDC64"/>
    <w:rsid w:val="BDFE3BB1"/>
    <w:rsid w:val="BDFFEEDB"/>
    <w:rsid w:val="BEF5BF58"/>
    <w:rsid w:val="BEFF7CBC"/>
    <w:rsid w:val="BEFF9DC4"/>
    <w:rsid w:val="BF47382C"/>
    <w:rsid w:val="BFAF094C"/>
    <w:rsid w:val="BFBA8513"/>
    <w:rsid w:val="BFBF3302"/>
    <w:rsid w:val="BFBFF1B4"/>
    <w:rsid w:val="BFCF4CDB"/>
    <w:rsid w:val="BFDB4DD3"/>
    <w:rsid w:val="BFDED0DE"/>
    <w:rsid w:val="BFEE4BF9"/>
    <w:rsid w:val="BFF274BE"/>
    <w:rsid w:val="BFFE7AB4"/>
    <w:rsid w:val="C2AB87D3"/>
    <w:rsid w:val="C37F2D87"/>
    <w:rsid w:val="C5DE35B1"/>
    <w:rsid w:val="C7751E5C"/>
    <w:rsid w:val="C7DEE565"/>
    <w:rsid w:val="CBFB635C"/>
    <w:rsid w:val="CFDB2D3C"/>
    <w:rsid w:val="CFDDEDF0"/>
    <w:rsid w:val="CFDF7847"/>
    <w:rsid w:val="D1DB7541"/>
    <w:rsid w:val="D2FDDE84"/>
    <w:rsid w:val="D3B02C09"/>
    <w:rsid w:val="D3B9780A"/>
    <w:rsid w:val="D3BB9324"/>
    <w:rsid w:val="D5DFE251"/>
    <w:rsid w:val="D5FD1F86"/>
    <w:rsid w:val="D758210C"/>
    <w:rsid w:val="D773E8A1"/>
    <w:rsid w:val="D79B5CA0"/>
    <w:rsid w:val="D7BB62F4"/>
    <w:rsid w:val="D7E67AA1"/>
    <w:rsid w:val="D7FF4058"/>
    <w:rsid w:val="D9EECA2B"/>
    <w:rsid w:val="D9FF7BAA"/>
    <w:rsid w:val="DB67CB38"/>
    <w:rsid w:val="DB694034"/>
    <w:rsid w:val="DBDDC7FF"/>
    <w:rsid w:val="DBFF1B2F"/>
    <w:rsid w:val="DDEC164D"/>
    <w:rsid w:val="DDFFA6EE"/>
    <w:rsid w:val="DEB71351"/>
    <w:rsid w:val="DF4EFB98"/>
    <w:rsid w:val="DF770A38"/>
    <w:rsid w:val="DFB53AE4"/>
    <w:rsid w:val="DFEF884A"/>
    <w:rsid w:val="DFF755AC"/>
    <w:rsid w:val="DFF7C3D2"/>
    <w:rsid w:val="DFFB02C9"/>
    <w:rsid w:val="DFFD3349"/>
    <w:rsid w:val="E33FA1CE"/>
    <w:rsid w:val="E39E439B"/>
    <w:rsid w:val="E57FB1A3"/>
    <w:rsid w:val="E5BFCDAC"/>
    <w:rsid w:val="E676BCED"/>
    <w:rsid w:val="E6DD9DA7"/>
    <w:rsid w:val="E75E91A0"/>
    <w:rsid w:val="E77F0C78"/>
    <w:rsid w:val="E7AD43AC"/>
    <w:rsid w:val="E7E435CD"/>
    <w:rsid w:val="E7FB5ACE"/>
    <w:rsid w:val="E95E0999"/>
    <w:rsid w:val="EA92283E"/>
    <w:rsid w:val="EBB5ED65"/>
    <w:rsid w:val="EBEDA41B"/>
    <w:rsid w:val="EBEFAAB5"/>
    <w:rsid w:val="EBFBB34E"/>
    <w:rsid w:val="EC6F3B04"/>
    <w:rsid w:val="ECF2CF06"/>
    <w:rsid w:val="ED333957"/>
    <w:rsid w:val="EDAE40FF"/>
    <w:rsid w:val="EDED8EC4"/>
    <w:rsid w:val="EDF73C62"/>
    <w:rsid w:val="EDFE78F0"/>
    <w:rsid w:val="EDFF0815"/>
    <w:rsid w:val="EE3ABBDC"/>
    <w:rsid w:val="EEFAD1D1"/>
    <w:rsid w:val="EEFDB0A8"/>
    <w:rsid w:val="EF376A8A"/>
    <w:rsid w:val="EF76F6DF"/>
    <w:rsid w:val="EF775AF0"/>
    <w:rsid w:val="EF8D8A91"/>
    <w:rsid w:val="EF978044"/>
    <w:rsid w:val="EF9FC26D"/>
    <w:rsid w:val="EFAC87DE"/>
    <w:rsid w:val="EFBC113A"/>
    <w:rsid w:val="EFEF50E1"/>
    <w:rsid w:val="EFF71422"/>
    <w:rsid w:val="EFFFF5AB"/>
    <w:rsid w:val="F1FE0B4E"/>
    <w:rsid w:val="F1FFF6F3"/>
    <w:rsid w:val="F2AFA949"/>
    <w:rsid w:val="F32BA1D8"/>
    <w:rsid w:val="F397D3FA"/>
    <w:rsid w:val="F3B70939"/>
    <w:rsid w:val="F3C77621"/>
    <w:rsid w:val="F3F52572"/>
    <w:rsid w:val="F3F77608"/>
    <w:rsid w:val="F466A38B"/>
    <w:rsid w:val="F4F64307"/>
    <w:rsid w:val="F52BE2C0"/>
    <w:rsid w:val="F5C5AD1F"/>
    <w:rsid w:val="F5F7D9BF"/>
    <w:rsid w:val="F5FB58EF"/>
    <w:rsid w:val="F6FB2655"/>
    <w:rsid w:val="F77308A7"/>
    <w:rsid w:val="F7767D82"/>
    <w:rsid w:val="F7DDEF37"/>
    <w:rsid w:val="F7E727C7"/>
    <w:rsid w:val="F7F76F36"/>
    <w:rsid w:val="F7F9E5C2"/>
    <w:rsid w:val="F7FD1B8C"/>
    <w:rsid w:val="F7FF943B"/>
    <w:rsid w:val="F8773E70"/>
    <w:rsid w:val="F8E2A4AE"/>
    <w:rsid w:val="F99F80D8"/>
    <w:rsid w:val="F9BA4AE4"/>
    <w:rsid w:val="F9EF723C"/>
    <w:rsid w:val="F9EFF10C"/>
    <w:rsid w:val="FA7B02D1"/>
    <w:rsid w:val="FAFB8626"/>
    <w:rsid w:val="FAFFDC39"/>
    <w:rsid w:val="FB3B4050"/>
    <w:rsid w:val="FB59DC38"/>
    <w:rsid w:val="FB6FAC61"/>
    <w:rsid w:val="FB79AC6E"/>
    <w:rsid w:val="FB7ECB58"/>
    <w:rsid w:val="FB7F0C9D"/>
    <w:rsid w:val="FBBF47AC"/>
    <w:rsid w:val="FBD702F8"/>
    <w:rsid w:val="FBFA06E1"/>
    <w:rsid w:val="FC5EC93F"/>
    <w:rsid w:val="FC5F575F"/>
    <w:rsid w:val="FC76DB11"/>
    <w:rsid w:val="FC778928"/>
    <w:rsid w:val="FC7D466C"/>
    <w:rsid w:val="FC9785C2"/>
    <w:rsid w:val="FCB95091"/>
    <w:rsid w:val="FD7DCF4B"/>
    <w:rsid w:val="FD9FDE27"/>
    <w:rsid w:val="FDB8469E"/>
    <w:rsid w:val="FDCBD2CF"/>
    <w:rsid w:val="FDCEECFD"/>
    <w:rsid w:val="FDD22AED"/>
    <w:rsid w:val="FDDEE255"/>
    <w:rsid w:val="FDEF9904"/>
    <w:rsid w:val="FDFFC24D"/>
    <w:rsid w:val="FDFFD226"/>
    <w:rsid w:val="FDFFFD42"/>
    <w:rsid w:val="FE776E5C"/>
    <w:rsid w:val="FE77C862"/>
    <w:rsid w:val="FED0BD0F"/>
    <w:rsid w:val="FED82747"/>
    <w:rsid w:val="FEDD16EC"/>
    <w:rsid w:val="FEF7905D"/>
    <w:rsid w:val="FEF9C128"/>
    <w:rsid w:val="FEFB6A6A"/>
    <w:rsid w:val="FEFDAAAF"/>
    <w:rsid w:val="FF179309"/>
    <w:rsid w:val="FF2D2032"/>
    <w:rsid w:val="FF3E5147"/>
    <w:rsid w:val="FF3EF86F"/>
    <w:rsid w:val="FF4DDA3E"/>
    <w:rsid w:val="FF57F00E"/>
    <w:rsid w:val="FF6FA46E"/>
    <w:rsid w:val="FF7B9CA6"/>
    <w:rsid w:val="FF7DFD03"/>
    <w:rsid w:val="FF7F7885"/>
    <w:rsid w:val="FF7FB38E"/>
    <w:rsid w:val="FF969A39"/>
    <w:rsid w:val="FF9A4811"/>
    <w:rsid w:val="FFAC5EFF"/>
    <w:rsid w:val="FFB2BE91"/>
    <w:rsid w:val="FFBC0684"/>
    <w:rsid w:val="FFBC7C4F"/>
    <w:rsid w:val="FFBD3260"/>
    <w:rsid w:val="FFBF8E0F"/>
    <w:rsid w:val="FFC19730"/>
    <w:rsid w:val="FFD5B988"/>
    <w:rsid w:val="FFDE9611"/>
    <w:rsid w:val="FFDF5946"/>
    <w:rsid w:val="FFDFB20F"/>
    <w:rsid w:val="FFEF4FD9"/>
    <w:rsid w:val="FFF41666"/>
    <w:rsid w:val="FFF8DBAB"/>
    <w:rsid w:val="FFFB533F"/>
    <w:rsid w:val="FFFFBEF7"/>
    <w:rsid w:val="FFFFC38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qFormat="1"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仿宋" w:hAnsi="仿宋" w:eastAsia="宋体" w:cs="Times New Roman"/>
      <w:kern w:val="0"/>
      <w:sz w:val="28"/>
      <w:szCs w:val="24"/>
      <w:lang w:val="en-US" w:eastAsia="zh-CN" w:bidi="ar-SA"/>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Body Text"/>
    <w:basedOn w:val="1"/>
    <w:next w:val="3"/>
    <w:semiHidden/>
    <w:qFormat/>
    <w:uiPriority w:val="0"/>
    <w:rPr>
      <w:rFonts w:ascii="仿宋" w:hAnsi="仿宋" w:eastAsia="仿宋" w:cs="仿宋"/>
      <w:sz w:val="31"/>
      <w:szCs w:val="31"/>
      <w:lang w:val="en-US" w:eastAsia="en-US" w:bidi="ar-SA"/>
    </w:rPr>
  </w:style>
  <w:style w:type="paragraph" w:styleId="3">
    <w:name w:val="toc 5"/>
    <w:basedOn w:val="1"/>
    <w:next w:val="1"/>
    <w:qFormat/>
    <w:uiPriority w:val="0"/>
    <w:pPr>
      <w:ind w:left="1680" w:leftChars="800"/>
    </w:p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basedOn w:val="1"/>
    <w:qFormat/>
    <w:uiPriority w:val="0"/>
    <w:pPr>
      <w:pBdr>
        <w:top w:val="none" w:color="auto" w:sz="0" w:space="0"/>
        <w:left w:val="none" w:color="auto" w:sz="0" w:space="0"/>
        <w:bottom w:val="none" w:color="auto" w:sz="0" w:space="0"/>
        <w:right w:val="none" w:color="auto" w:sz="0" w:space="0"/>
      </w:pBdr>
      <w:spacing w:before="0" w:beforeAutospacing="0" w:after="0" w:afterAutospacing="0"/>
      <w:ind w:left="0" w:right="0"/>
      <w:jc w:val="left"/>
    </w:pPr>
    <w:rPr>
      <w:rFonts w:ascii="微软雅黑" w:hAnsi="微软雅黑" w:eastAsia="微软雅黑" w:cs="微软雅黑"/>
      <w:kern w:val="0"/>
      <w:sz w:val="24"/>
      <w:lang w:val="en-US" w:eastAsia="zh-CN" w:bidi="ar"/>
    </w:rPr>
  </w:style>
  <w:style w:type="paragraph" w:styleId="7">
    <w:name w:val="Body Text First Indent"/>
    <w:basedOn w:val="2"/>
    <w:qFormat/>
    <w:uiPriority w:val="0"/>
    <w:pPr>
      <w:ind w:firstLine="420" w:firstLineChars="100"/>
    </w:pPr>
  </w:style>
  <w:style w:type="paragraph" w:customStyle="1" w:styleId="10">
    <w:name w:val="列出段落1"/>
    <w:basedOn w:val="1"/>
    <w:qFormat/>
    <w:uiPriority w:val="34"/>
    <w:pPr>
      <w:ind w:firstLine="420" w:firstLineChars="200"/>
    </w:pPr>
  </w:style>
  <w:style w:type="paragraph" w:styleId="11">
    <w:name w:val="List Paragraph"/>
    <w:basedOn w:val="1"/>
    <w:qFormat/>
    <w:uiPriority w:val="99"/>
    <w:pPr>
      <w:ind w:firstLine="420" w:firstLineChars="200"/>
    </w:pPr>
    <w:rPr>
      <w:rFonts w:ascii="Calibri" w:hAnsi="Calibri"/>
      <w:szCs w:val="2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25</Pages>
  <Words>3157</Words>
  <Characters>3602</Characters>
  <Lines>0</Lines>
  <Paragraphs>0</Paragraphs>
  <TotalTime>54</TotalTime>
  <ScaleCrop>false</ScaleCrop>
  <LinksUpToDate>false</LinksUpToDate>
  <CharactersWithSpaces>3829</CharactersWithSpaces>
  <Application>WPS Office_12.1.0.26884_F1E327BC-269C-435d-A152-05C5408002CA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2024-03-26T16:36:00Z</dcterms:created>
  <dc:creator>Administrator</dc:creator>
  <cp:lastModifiedBy>Freedom</cp:lastModifiedBy>
  <dcterms:modified xsi:type="dcterms:W3CDTF">2026-07-13T03:00:55Z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2052-12.1.0.26884</vt:lpwstr>
  </property>
  <property fmtid="{D5CDD505-2E9C-101B-9397-08002B2CF9AE}" pid="3" name="ICV">
    <vt:lpwstr>BC7A4569F55B4C2CB98C4E47ECD082E9_13</vt:lpwstr>
  </property>
  <property fmtid="{D5CDD505-2E9C-101B-9397-08002B2CF9AE}" pid="4" name="KSOTemplateDocerSaveRecord">
    <vt:lpwstr>eyJoZGlkIjoiM2ExM2I1Y2E5MTg1NzJhN2FkNjlmNDg5OTI5OGY3ZTQiLCJ1c2VySWQiOiI0MTQ2OTI3NDEifQ==</vt:lpwstr>
  </property>
</Properties>
</file>