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1D0E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 w14:paraId="46AE3B5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岳阳市城市管理和综合执法局本级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整体支出绩效自评报告</w:t>
      </w:r>
    </w:p>
    <w:p w14:paraId="17B514D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b/>
          <w:sz w:val="52"/>
          <w:szCs w:val="52"/>
          <w:highlight w:val="none"/>
        </w:rPr>
      </w:pPr>
    </w:p>
    <w:p w14:paraId="7F03E17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79464C9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7861B3A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4675467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2201E6F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7DB15EB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75A3975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171D599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3D2305C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635F95E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1D144E5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6196F46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61BA535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23D08A9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（盖章）</w:t>
      </w:r>
    </w:p>
    <w:p w14:paraId="76E5527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</w:pPr>
      <w:r>
        <w:rPr>
          <w:rFonts w:hint="eastAsia" w:eastAsia="楷体_GB2312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 xml:space="preserve">年 </w:t>
      </w:r>
      <w:r>
        <w:rPr>
          <w:rFonts w:hint="eastAsia" w:eastAsia="楷体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月</w:t>
      </w:r>
      <w:r>
        <w:rPr>
          <w:rFonts w:hint="eastAsia" w:eastAsia="楷体_GB2312" w:cs="Times New Roman"/>
          <w:sz w:val="32"/>
          <w:szCs w:val="32"/>
          <w:highlight w:val="none"/>
          <w:lang w:val="en-US" w:eastAsia="zh-CN"/>
        </w:rPr>
        <w:t>30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日</w:t>
      </w:r>
    </w:p>
    <w:p w14:paraId="23644AC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（此页为封面）</w:t>
      </w:r>
    </w:p>
    <w:p w14:paraId="0AC104E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岳阳市城市管理和综合执法局本级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整体支出绩效自评报告</w:t>
      </w:r>
    </w:p>
    <w:p w14:paraId="3063759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单位基本情况</w:t>
      </w:r>
    </w:p>
    <w:p w14:paraId="26E2C8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kern w:val="2"/>
          <w:sz w:val="32"/>
          <w:szCs w:val="32"/>
          <w:highlight w:val="none"/>
          <w:lang w:val="en-US" w:eastAsia="zh-CN" w:bidi="ar-SA"/>
        </w:rPr>
        <w:t>（一）职能职责</w:t>
      </w:r>
    </w:p>
    <w:p w14:paraId="1C0D6D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</w:rPr>
        <w:t>市城市管理和综合执法局主要承担市容环境卫生、园林绿化、城管执法、市政公共设施维护、路灯亮化、渣土运输（道路破占）、户外广告、城镇燃气、停车管理等职能。</w:t>
      </w:r>
    </w:p>
    <w:p w14:paraId="590ECF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eastAsia" w:ascii="Times New Roman" w:hAnsi="Times New Roman" w:eastAsia="楷体_GB2312" w:cs="Times New Roman"/>
          <w:b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kern w:val="2"/>
          <w:sz w:val="32"/>
          <w:szCs w:val="32"/>
          <w:highlight w:val="none"/>
          <w:lang w:val="en-US" w:eastAsia="zh-CN" w:bidi="ar-SA"/>
        </w:rPr>
        <w:t>（二）机构设置</w:t>
      </w:r>
    </w:p>
    <w:p w14:paraId="33DCDD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仿宋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</w:rPr>
        <w:t>局机关编制人数4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</w:rPr>
        <w:t>人，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  <w:t>在职人数46人，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</w:rPr>
        <w:t>设置15个内设机构，内设机构分别是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  <w:t>局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</w:rPr>
        <w:t>办公室、人事科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  <w:t>综合调研室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</w:rPr>
        <w:t>、计划财务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  <w:t>审计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</w:rPr>
        <w:t>科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</w:rPr>
        <w:t>信访维稳科、政策法规科、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  <w:t>执法监督科、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</w:rPr>
        <w:t>行政审批科、城市管理考评科、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  <w:t>环境卫生管理科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  <w:t>基础设施建设管理科（规划技术科）、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</w:rPr>
        <w:t>园林绿化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  <w:t>管理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</w:rPr>
        <w:t>科、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  <w:t>燃气和安全管理科、地下管线管理科、城市容貌管理科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</w:rPr>
        <w:t>。按章程设置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  <w:t>局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</w:rPr>
        <w:t>机关党委、机关纪委，按相关规定设置城市管理工会、离退休人员管理服务科等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  <w:t>共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</w:rPr>
        <w:t>个科室。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  <w:t>局属二级机构市园林绿化管理中心编制10人，在职人数8人，未独立核算，财务由局机关统一管理。</w:t>
      </w:r>
    </w:p>
    <w:p w14:paraId="02D8436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二、一般公共预算支出情况</w:t>
      </w:r>
    </w:p>
    <w:p w14:paraId="1E86BB0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（一）基本支出情况</w:t>
      </w:r>
    </w:p>
    <w:p w14:paraId="46C8B05C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  <w:lang w:val="en-US" w:eastAsia="zh-CN"/>
        </w:rPr>
        <w:t>2025年,单位基本支出总额为1499.47万元，其中人员经费支出1356.26万元，主要用于职工工资、津补贴、绩效工资及社会缴费等。公用经费支出143.21万元，主要用于办公费、印刷费、水电费、邮电费、取暖费、物业费、差旅费、维修（护）费、租赁费、会议费、培训费、公务接待费、劳务费、委托业务费、工会经费、公务用车运行费、其他交通费用、其他商品和服务支出等单位运转费用支出。</w:t>
      </w:r>
    </w:p>
    <w:p w14:paraId="7B3A79D7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</w:rPr>
        <w:t>年度公务接待费预算金额为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</w:rPr>
        <w:t>万元，实际支出金额为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  <w:lang w:val="en-US" w:eastAsia="zh-CN"/>
        </w:rPr>
        <w:t>0.83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</w:rPr>
        <w:t>万元，公务用车购置及公务用车运行维护费支出预算金额为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</w:rPr>
        <w:t>万元（其中公务用车购置预算0万元），公务用车运行维护费实际支出金额为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  <w:lang w:val="en-US" w:eastAsia="zh-CN"/>
        </w:rPr>
        <w:t>3.06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</w:rPr>
        <w:t>万元（其中公务用车购置决算0万元），因公出国费用预算与实际支出均为0万元，“三公经费”支出总额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  <w:lang w:val="en-US" w:eastAsia="zh-CN"/>
        </w:rPr>
        <w:t>3.89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</w:rPr>
        <w:t>万元，控制在年初预算之内。</w:t>
      </w:r>
    </w:p>
    <w:p w14:paraId="6C4DF372">
      <w:pPr>
        <w:pStyle w:val="1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项目支出情况</w:t>
      </w:r>
    </w:p>
    <w:p w14:paraId="7FC69078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</w:rPr>
        <w:t>年，项目资金年初预算金额为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  <w:lang w:val="en-US" w:eastAsia="zh-CN"/>
        </w:rPr>
        <w:t>175.50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</w:rPr>
        <w:t>万元，年中追加项目经费预算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  <w:lang w:val="en-US" w:eastAsia="zh-CN"/>
        </w:rPr>
        <w:t>18751.84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</w:rPr>
        <w:t>万元，年度项目支出预算调整为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  <w:lang w:val="en-US" w:eastAsia="zh-CN"/>
        </w:rPr>
        <w:t>18927.34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</w:rPr>
        <w:t>万元。</w:t>
      </w:r>
    </w:p>
    <w:p w14:paraId="69062EC0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</w:rPr>
        <w:t>本年项目支出总额为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  <w:lang w:val="en-US" w:eastAsia="zh-CN"/>
        </w:rPr>
        <w:t>17405.22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</w:rPr>
        <w:t>万元，其中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  <w:lang w:val="en-US" w:eastAsia="zh-CN"/>
        </w:rPr>
        <w:t>日常工作经费123.72万元，非税收入超收返还及执收成本61.68万元，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</w:rPr>
        <w:t>企业军转干部补助</w:t>
      </w:r>
      <w:r>
        <w:rPr>
          <w:rFonts w:hint="eastAsia" w:ascii="Times New Roman" w:hAnsi="Times New Roman" w:eastAsia="仿宋" w:cs="仿宋"/>
          <w:b w:val="0"/>
          <w:bCs/>
          <w:sz w:val="32"/>
          <w:szCs w:val="32"/>
          <w:highlight w:val="none"/>
          <w:lang w:val="en-US" w:eastAsia="zh-CN"/>
        </w:rPr>
        <w:t>0.89万元，生活垃圾分类、城市管理考评专项经费150.04万元，市城区主要道路人行道海绵城市生态提质改造项目1639.54万元，蛇皮套和三大湖整治290万元，市中心城区春节氛围营造经费195.98万元，园林绿化管理经费65.82万元，鲜花一条街生产维护经费87.20万元，城市燃气管道老化更新改造工程经费525.20万元，其他事务管理经费（赔偿款）60.71万元，旅发大会市容市貌提质改造项目13545.19万元，巴陵中路（琵琶王立交桥-德胜路）绿化海绵改造工程220.60万元，花果畈垃圾处理场390.27万元，城市基础设施生命线安全工程项目30.24万元，双拥示范街区建设项目18.13万元。</w:t>
      </w:r>
    </w:p>
    <w:p w14:paraId="0D97A8E1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政府性基金预算支出情况</w:t>
      </w:r>
    </w:p>
    <w:p w14:paraId="316E1085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本单位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2025年度政府性基金年初预算数为0，年中调整预算金额为3845.47万元，政府性基金支出总额为3845.47万元，其中：蛇皮套和三大湖整治3468.83万元，市城区桥梁检测服务（9座）134.68万元，船舶垃圾收集经费101.96万元，青年堤等排水主涵清淤工程12.59万元，巴陵石化公司（原洞氮）权属泵站维修改造工程17.41万元，巴陵大桥西蘑菇亭公共绿地综合改造项目110万元。</w:t>
      </w:r>
    </w:p>
    <w:p w14:paraId="471055CE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国有资本经营预算支出情况</w:t>
      </w:r>
    </w:p>
    <w:p w14:paraId="066FF821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本单位无国有资本经营预算支出。</w:t>
      </w:r>
    </w:p>
    <w:p w14:paraId="7FB6C167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五、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社会保险基金预算支出情况</w:t>
      </w:r>
    </w:p>
    <w:p w14:paraId="75BF67DB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本单位无社会保险基金预算支出。</w:t>
      </w:r>
    </w:p>
    <w:p w14:paraId="3F62F2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eastAsia="黑体" w:cs="Times New Roman"/>
          <w:sz w:val="32"/>
          <w:szCs w:val="32"/>
          <w:highlight w:val="none"/>
          <w:lang w:val="en-US" w:eastAsia="zh-CN"/>
        </w:rPr>
        <w:t>六、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部门整体支出绩效情况</w:t>
      </w:r>
    </w:p>
    <w:p w14:paraId="7FE41BA1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eastAsia" w:ascii="Times New Roman" w:hAnsi="Times New Roman" w:eastAsia="楷体_GB2312" w:cs="楷体_GB2312"/>
          <w:b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b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年度绩效目标</w:t>
      </w:r>
    </w:p>
    <w:p w14:paraId="162176DF">
      <w:pPr>
        <w:ind w:firstLine="640" w:firstLineChars="200"/>
        <w:rPr>
          <w:rFonts w:hint="eastAsia" w:ascii="Times New Roman" w:hAnsi="Times New Roman" w:eastAsia="仿宋" w:cs="仿宋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仿宋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2024年，我局始终坚持人民至上理念，紧紧围绕精细、智慧、文化、绿色、人本、平安“六大城管”建设，不断优化城市管理，增强服务功能，推动城市高品质发展。</w:t>
      </w:r>
    </w:p>
    <w:p w14:paraId="23303651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eastAsia" w:ascii="Times New Roman" w:hAnsi="Times New Roman" w:eastAsia="楷体_GB2312" w:cs="楷体_GB2312"/>
          <w:b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b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预算支出完成情况及取得效益</w:t>
      </w:r>
    </w:p>
    <w:p w14:paraId="61791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1.以举办旅发大会为契机，聚力完善城市功能配套</w:t>
      </w:r>
    </w:p>
    <w:p w14:paraId="0CF28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按照“办一次会、兴一座城”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的理念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切实履行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省旅发大会城乡风貌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牵头单位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职责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，会同相关部门单位筹资3.2亿元实施城乡风貌提质“六大行动”，助力省旅发大会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出新出彩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一是翻新大修破损道桥，城市动脉焕颜升级。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对岳阳大道、金凤桥南路等8条道路进行了翻新，对洞庭大道、北港南路等4条道路进行了大修，改造后的道路既“好看”又“好走”。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二是补绿增色扮靓节点，绘就红绿交织画卷。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新增绿地4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万平方米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、补植行道树6000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株，在岳阳大道、南湖广场等地匠心打造主题绿雕7处，在京港澳高速出入口、三荷机场等重要区域精心布设时令鲜花3万余盆，营造出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喜迎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八方来客的浓厚氛围。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三是提质改造景观亮化，城市夜景流光溢彩。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完成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南湖广场、岳阳东站广场等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处景观照明提质改造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；运用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点光源和线型灯等技术对步行街友阿大厦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进行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造景亮化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在洞庭南路与巴陵西路交汇处建设显示面积达500平方米的裸眼3D屏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成为城市夜景新亮点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、新地标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四是提升公厕建管水平，彰显城市文明温度。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组织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提质改造公厕191座，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新建智慧公厕、智慧公交驿站、高标准示范公厕共计18座，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实现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硬件设施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服务质量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，得到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市民和游客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广泛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好评。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五是精心打造文化名片，展示城市文化底蕴。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更新融入麋鹿、江豚、岳阳楼等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岳阳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文化护栏3.56万米，成为流动的岳阳文化窗口。在80块大型广告牌、16处电子屏、20座人行天桥投放“大美江湖，天下岳阳”等主题宣传标语，充分展示岳阳独特魅力。依法拆除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631处户外广告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擦亮城市“天际线”。</w:t>
      </w:r>
    </w:p>
    <w:p w14:paraId="0A83D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2.以开展污染防治为抓手，奋力守护城市蓝天碧水</w:t>
      </w:r>
    </w:p>
    <w:p w14:paraId="3C731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切实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扛牢“守护好一江碧水”政治责任，以高品质生态环境支撑城市管理高质量发展，助力建设天更蓝、地更绿、水更清的美丽岳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阳。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一是稳步推进生活垃圾分类。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举办“垃圾分类宣传周”、垃圾分类达人演讲比赛等大型活动。积极探索“垃圾分类+”模式，将其与湘超联赛、文明城市建设、志愿服务等活动深度融合，群众参与度和社会认同感显著增强。我市因垃圾分类工作成效突出，在全省“城管进社区”暨城市管理工作现场会上作典型推介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二是认真开展餐饮油烟管控。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新购置油烟检测仪8台，补齐专业设备短板；聚焦“五禁一劝”要求，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开展专项整治行动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次，取缔违规露天烧烤摊点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处，查处露天熏制行为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形成“处罚一个、警示一片”的效果。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三是全力落实飞灰管控要求。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指导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湘阴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、汨罗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市完成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飞灰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规范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堆存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问题整改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；督导平江县、华容县、汨罗市、岳阳锦能公司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全力落实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飞灰资源化利用“4000+N”吨任务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云溪区罗家坳垃圾填埋场进场飞灰全部得到规范填埋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四是多管齐下治理建筑垃圾。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出台《岳阳市建筑垃圾联单管理制度（试行）》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等文件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深入开展城市建筑垃圾治理百日攻坚行动，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立案171件，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清理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存量建筑垃圾5万余吨。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与市城投集团、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北京建工资源公司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签订框架合作协议，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推进市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中心城区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建筑垃圾资源化利用项目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建设明确了路径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3121F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Times New Roman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Times New Roman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3.以实施精细管理为主线，努力刷新城市颜值气质</w:t>
      </w:r>
    </w:p>
    <w:p w14:paraId="4BDD137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秉承精心、精细、精致理念，坚持问题导向、结果导向，补短板、强弱项、消盲区，持续提升城市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颜值气质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一是环卫保障更加高效。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认真办好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“整治拖欠环卫工人工资”民生实事，未发生拖欠环卫工人工资问题，让环卫工人有保障、有干劲。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市中心城区大型垃圾中转站高效运转，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全年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转运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生活垃圾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万吨、餐厨垃圾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12.2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市静脉产业园全年焚烧生活垃圾52万吨、并网发电1.9亿度，资源化处置餐厨垃圾5.28万吨，规范化处置医疗废物3900余吨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。花果畈垃圾填埋场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全年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量化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处置垃圾渗滤液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万吨。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二是市政设施更加完善。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完成道路路面维修1.6万平方米、人行道维修3.7万平方米，维修更换各类检查井、雨水窗1400套，清淤疏浚排水管网23万米，清理桥梁伸缩缝超3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米；对桐子岭、城东南路等泵站关键设备进行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大修升级。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三是园林绿化更加优美。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全面践行“公园城市”发展理念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建设口袋公园25个、城市绿道8.6公里，开放公园草坪、林下空间及空闲地等区域5.2公顷，实施“国球进公园”活动新增乒乓球台29个，打造了“300米见绿、500米见园”的15分钟休闲生活圈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四是照明管护更加精细。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市主城区装灯率达100%、亮灯率和设施完好率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超过98%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完成岳阳大道等40条主次干道绿色照明改造，新装LED灯具6100余套，安装智慧单灯控制终端2000套；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在公园广场、主要路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段、重要节点采取摆花和亮化造景等方式营造节日氛围，实现“白天赏花、夜晚观灯、全天看景”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的良好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效果。</w:t>
      </w:r>
    </w:p>
    <w:p w14:paraId="1F9FF4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4.以增进民生福祉为重点，全力提高城市管理温度</w:t>
      </w:r>
    </w:p>
    <w:p w14:paraId="705DE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把增进民生福祉作为工作出发点和落脚点，认真解决涉及群众切身利益的问题，打通服务群众“最后一公里”。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一是持续开展停车秩序专项整治，缓解城区“停车难”问题。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拆除违规设置停车设施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余处，释放公共停车泊位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余个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，特别是市公安局城管执法大队在整治行动中发挥了重要保障作用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；发送劝离短信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3.63万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条，抄牌违停车辆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2.09万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，提高了道路临时泊位周转率；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完成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家“产权清晰、符合条件又确有需求”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停车场备案登记，得到市人大和市政府充分肯定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以市政府办名义下发《关于做好市城区机关事业单位停车场对外开放工作的通知》，督促各级机关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、国有企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事业单位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免费对外开放内部停车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泊位6000余个。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二是持续开展“城管进社区”活动，整治社区“脏乱差”顽疾。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城管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与街道、社区、物业等联动协作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“问题收集—任务分派—联合处置—结果反馈”闭环管理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机制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实施“宣传+服务”双轮驱动，开展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宣传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活动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场，发放宣传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资料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余份，收集居民诉求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余条，解决污水直排、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基础设施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破损等问题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1763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个，提升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社区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人居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环境。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三是持续开展部门联合执法行动，整治两站地区“喊客拉客”难题。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建立“城管+公安+交通运输”联勤联动机制，开展“打非治违”联合执法行动190次，查处非法营运车辆36台，移送公安机关依法行政拘留2人，有力维护了岳阳窗口形象。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四是持续完善城管行政审批流程，助力优化岳阳营商环境。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高效办理审批事项1058件。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优化营商环境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得用气”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指标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测评位居全省并列第一。打造城管类事务“一证通办”升级版，将原有的“四证合一”升级为“六证合一”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推行市、区两级占道类审批“并联办”。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市政府《营商专报》专文推介表扬我局优化营商环境工作成效。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五是持续开展对口帮扶支援工作，助力改善民生凝聚人心。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与桑日县政府签订合作协议，筹措资金20余万元支援桑日县，接待桑日县来岳阳考察多次，帮扶其提升城市建设管理水平；</w:t>
      </w:r>
      <w:r>
        <w:rPr>
          <w:rFonts w:hint="eastAsia" w:ascii="仿宋_GB2312" w:hAnsi="Times New Roman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对平江县、湘阴县共6个村开展驻村帮扶，落实各项资金120余万元，助力乡村振兴。</w:t>
      </w:r>
    </w:p>
    <w:p w14:paraId="5B3F6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5.以保障安全稳定为底线，大力提升城市运行韧性</w:t>
      </w:r>
    </w:p>
    <w:p w14:paraId="02F80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将“时时放心不下”的责任感转化为“事事心中有底”的行动力，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不断提升本质安全水平，城管领域安全形势稳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向好。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一是持续深化城镇燃气安全整治，守护好“用气”安全。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全力落实中央纪委国家监委监督推进的“整治城镇燃气安全问题”民生实事，更新改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造老化燃气管网38.04公里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、户内设施1.31万户，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整合市主城区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个液化石油气场站并实现集中配送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“敲门行动”入户安全宣传和餐饮企业负责人安全教育实现“两个100%覆盖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”，排查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整改安全风险隐患1710个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二是统筹做好城区防洪排涝工作，守护好“汛期”安全。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印发《岳阳市主城区防涝排渍预案》，锚定“人员零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死亡、城市正常运转、群众损失降至最低”三个目标，严格落实“631”叫应提醒机制，依托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智慧城管平台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实行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24小时监控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和调度，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有效应对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强降雨天气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，确保了安全度汛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三是坚决抓好烟花爆竹管控工作，守护好“节日”安全。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建立市－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县（市、区）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－乡镇（街道、管理处）－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村（社区）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四级指挥体系，聚焦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烟花爆竹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生产、销售、储存、运输、燃放5大环节持续开展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整治行动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，检查门店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500余家，劝阻燃放行为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00余起，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移送公安机关依法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行政拘留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，守住了安全、环保两条防线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四是做实做细信访维稳各项工作，守护好“政治”安全。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加强信访问题源头治理和法治化，59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件信访事项（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含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中央巡视组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交办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15件）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均得到及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时办理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，未发生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越级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赴省进京上访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和大规模集体上访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问题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协调妥善解决市静脉产业园有关企业之间合同纠纷，避免了重大群体性事件发生。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全面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落实平安建设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要求，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印发《加强机关院落、家属小区、公园广场安全防范工作职责任务分工方案》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相关安全防范指引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，督导相关单位加强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人防、物防、技防和制度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防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，全系统总体平安稳定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66792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6.以全面从严治党为导向，致力营造良好政治生态</w:t>
      </w:r>
    </w:p>
    <w:p w14:paraId="69652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坚持严在平时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严在份上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严在自身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，为城市管理和综合执法工作提供坚强保障。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一是严格标准选人用人。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把政治标准放在首位，通过公务员考试招录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参公人员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2名、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四海揽才”引进专业人员2名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安置退伍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士兵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调任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工作人员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2名，提拔任用正科职干部2名、副科职干部9名，调整交流科级干部14名，晋升职级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干部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65名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，挑选8名年轻干部跟班学习。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二是严管厚爱传导压力。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扎实开展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深入贯彻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中央八项规定精神学习教育，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局党组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举办读书班4期，组织开展各类学习100余场，局领导班子成员赴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局属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单位专题授课7次，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推动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学习教育从“有形覆盖”向“有效覆盖”深度转化。局党组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与市纪委监委驻局纪检监察组会商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全面从严治党工作2次，推动党风廉政建设和反腐败斗争向纵深发展。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三是严肃执纪形成震慑。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给予党纪政务处分12人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批评教育1人，责令检查1人，诫勉1人，让干部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职工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受警醒、明底线、知敬畏。健全市城管执法支队、市城管事务中心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、市市政维护管理中心、市城市照明管理中心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等局属单位基层纪委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组织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，延伸监督触角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激活基层纪检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组织战斗力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72589B21">
      <w:pPr>
        <w:pStyle w:val="6"/>
        <w:numPr>
          <w:ilvl w:val="0"/>
          <w:numId w:val="4"/>
        </w:numPr>
        <w:ind w:left="0" w:leftChars="0" w:firstLine="643" w:firstLineChars="200"/>
        <w:rPr>
          <w:rFonts w:hint="eastAsia" w:ascii="Times New Roman" w:hAnsi="Times New Roman" w:eastAsia="楷体_GB2312" w:cs="楷体_GB2312"/>
          <w:b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b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预算资金管理情况</w:t>
      </w:r>
    </w:p>
    <w:p w14:paraId="6257A470">
      <w:pPr>
        <w:ind w:firstLine="560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根据岳阳市人民政府办公室《关于贯彻落实省政府全面推进预算绩效管理意见的通知》（岳政办函〔2012〕171号）、岳阳市财政局《关于开展2025年度市级预算支出绩效自评工作的通知》（岳财函〔2026〕25号）等文件要求，我局成立了绩效评价及监督小组，定期开展相关工作。</w:t>
      </w:r>
    </w:p>
    <w:p w14:paraId="595928D6">
      <w:pPr>
        <w:pStyle w:val="6"/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left="0" w:leftChars="0" w:firstLine="640" w:firstLineChars="200"/>
        <w:jc w:val="left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1.预算及绩效管理情况</w:t>
      </w:r>
    </w:p>
    <w:p w14:paraId="21AE23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4" w:firstLineChars="200"/>
        <w:jc w:val="left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6"/>
          <w:kern w:val="0"/>
          <w:sz w:val="32"/>
          <w:szCs w:val="32"/>
          <w:lang w:val="en-US" w:eastAsia="zh-CN"/>
        </w:rPr>
        <w:t>我单位非常重视资金</w:t>
      </w:r>
      <w:r>
        <w:rPr>
          <w:rFonts w:hint="eastAsia" w:ascii="Times New Roman" w:hAnsi="Times New Roman" w:eastAsia="仿宋_GB2312" w:cs="仿宋_GB2312"/>
          <w:spacing w:val="6"/>
          <w:kern w:val="0"/>
          <w:sz w:val="32"/>
          <w:szCs w:val="32"/>
        </w:rPr>
        <w:t>预算管理</w:t>
      </w:r>
      <w:r>
        <w:rPr>
          <w:rFonts w:hint="eastAsia" w:ascii="Times New Roman" w:hAnsi="Times New Roman" w:eastAsia="仿宋_GB2312" w:cs="仿宋_GB2312"/>
          <w:spacing w:val="6"/>
          <w:kern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仿宋_GB2312"/>
          <w:spacing w:val="6"/>
          <w:kern w:val="0"/>
          <w:sz w:val="32"/>
          <w:szCs w:val="32"/>
          <w:lang w:val="en-US" w:eastAsia="zh-CN"/>
        </w:rPr>
        <w:t>从预算编制环节入手，编制</w:t>
      </w:r>
      <w:r>
        <w:rPr>
          <w:rFonts w:hint="eastAsia" w:ascii="Times New Roman" w:hAnsi="Times New Roman" w:eastAsia="仿宋_GB2312" w:cs="仿宋_GB2312"/>
          <w:spacing w:val="6"/>
          <w:kern w:val="0"/>
          <w:sz w:val="32"/>
          <w:szCs w:val="32"/>
        </w:rPr>
        <w:t>资金预算</w:t>
      </w:r>
      <w:r>
        <w:rPr>
          <w:rFonts w:hint="eastAsia" w:ascii="Times New Roman" w:hAnsi="Times New Roman" w:eastAsia="仿宋_GB2312" w:cs="仿宋_GB2312"/>
          <w:spacing w:val="6"/>
          <w:kern w:val="0"/>
          <w:sz w:val="32"/>
          <w:szCs w:val="32"/>
          <w:lang w:val="en-US" w:eastAsia="zh-CN"/>
        </w:rPr>
        <w:t>必须先</w:t>
      </w:r>
      <w:r>
        <w:rPr>
          <w:rFonts w:hint="eastAsia" w:ascii="Times New Roman" w:hAnsi="Times New Roman" w:eastAsia="仿宋_GB2312" w:cs="仿宋_GB2312"/>
          <w:spacing w:val="6"/>
          <w:kern w:val="0"/>
          <w:sz w:val="32"/>
          <w:szCs w:val="32"/>
        </w:rPr>
        <w:t>编制</w:t>
      </w:r>
      <w:r>
        <w:rPr>
          <w:rFonts w:hint="eastAsia" w:ascii="Times New Roman" w:hAnsi="Times New Roman" w:eastAsia="仿宋_GB2312" w:cs="仿宋_GB2312"/>
          <w:spacing w:val="6"/>
          <w:kern w:val="0"/>
          <w:sz w:val="32"/>
          <w:szCs w:val="32"/>
          <w:lang w:val="en-US" w:eastAsia="zh-CN"/>
        </w:rPr>
        <w:t>预算绩效</w:t>
      </w:r>
      <w:r>
        <w:rPr>
          <w:rFonts w:hint="eastAsia" w:ascii="Times New Roman" w:hAnsi="Times New Roman" w:eastAsia="仿宋_GB2312" w:cs="仿宋_GB2312"/>
          <w:spacing w:val="6"/>
          <w:kern w:val="0"/>
          <w:sz w:val="32"/>
          <w:szCs w:val="32"/>
        </w:rPr>
        <w:t>目标</w:t>
      </w:r>
      <w:r>
        <w:rPr>
          <w:rFonts w:hint="eastAsia" w:ascii="Times New Roman" w:hAnsi="Times New Roman" w:eastAsia="仿宋_GB2312" w:cs="仿宋_GB2312"/>
          <w:spacing w:val="6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pacing w:val="6"/>
          <w:kern w:val="0"/>
          <w:sz w:val="32"/>
          <w:szCs w:val="32"/>
          <w:lang w:val="en-US" w:eastAsia="zh-CN"/>
        </w:rPr>
        <w:t>做到资金预算有目标，确保了财政资金支出效益。于2026年3月组织相关业务科室及局属预算单位开展了2025年度预算支出绩效自评工作，指导相关业务科室填报项目支出绩效自评表，确保绩效自评工作有序开展</w:t>
      </w:r>
      <w:r>
        <w:rPr>
          <w:rFonts w:hint="eastAsia" w:ascii="Times New Roman" w:hAnsi="Times New Roman" w:eastAsia="仿宋_GB2312" w:cs="仿宋_GB2312"/>
          <w:spacing w:val="6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pacing w:val="6"/>
          <w:kern w:val="0"/>
          <w:sz w:val="32"/>
          <w:szCs w:val="32"/>
          <w:lang w:val="en-US" w:eastAsia="zh-CN"/>
        </w:rPr>
        <w:t>绩效自评成效显著</w:t>
      </w:r>
      <w:r>
        <w:rPr>
          <w:rFonts w:hint="eastAsia" w:ascii="Times New Roman" w:hAnsi="Times New Roman" w:eastAsia="仿宋_GB2312" w:cs="仿宋_GB2312"/>
          <w:spacing w:val="6"/>
          <w:kern w:val="0"/>
          <w:sz w:val="32"/>
          <w:szCs w:val="32"/>
          <w:lang w:eastAsia="zh-CN"/>
        </w:rPr>
        <w:t>。</w:t>
      </w:r>
    </w:p>
    <w:p w14:paraId="0338F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仿宋_GB2312"/>
          <w:b w:val="0"/>
          <w:bCs/>
          <w:sz w:val="32"/>
          <w:szCs w:val="32"/>
        </w:rPr>
        <w:t>专项组织情况分析</w:t>
      </w:r>
    </w:p>
    <w:p w14:paraId="1FCDA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在年初预算申报阶段，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完成了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2025年度项目预算绩效目标申报，将各专项纳入绩效管理，明确了主体责任。各项目责任部门在项目的实施过程中制定了项目实施方案，成立了项目领导小组，强化了项目管理组织领导。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工程建设项目主要是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第四届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旅发大会市容市貌提质改造项目、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船舶垃圾收集、城区燃气管道老化更新改造工程、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lang w:val="en-US" w:eastAsia="zh-CN"/>
        </w:rPr>
        <w:t>主城区桥梁加固维修工程、蛇皮套和三大湖整治、市中心城区春节氛围营造、鲜花一条街生产维护等项目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，都严格履行了政府采购和招投标手续，政府采购限额以下的项目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均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严格按政府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采购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交易程序实施。</w:t>
      </w:r>
    </w:p>
    <w:p w14:paraId="479C72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仿宋_GB2312"/>
          <w:b w:val="0"/>
          <w:bCs/>
          <w:sz w:val="32"/>
          <w:szCs w:val="32"/>
        </w:rPr>
        <w:t>专项管理情况分析</w:t>
      </w:r>
    </w:p>
    <w:p w14:paraId="659330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实行项目事前申报、事中监督、事后审计的管理模式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符合规定范围的项目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事前必须由实施单位向市城管局分管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领导</w:t>
      </w:r>
      <w:r>
        <w:rPr>
          <w:rFonts w:hint="eastAsia" w:ascii="Times New Roman" w:hAnsi="Times New Roman" w:eastAsia="仿宋_GB2312" w:cs="仿宋_GB2312"/>
          <w:sz w:val="32"/>
          <w:szCs w:val="32"/>
        </w:rPr>
        <w:t>报告后方可实施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仿宋_GB2312"/>
          <w:sz w:val="32"/>
          <w:szCs w:val="32"/>
        </w:rPr>
        <w:t>在实施过程中，根据相关规定，由市城管局相关业务科室和审计科进行跟进监管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仿宋_GB2312"/>
          <w:sz w:val="32"/>
          <w:szCs w:val="32"/>
        </w:rPr>
        <w:t>项目完成后，由实施单位向市城管局提交经费使用申请书面报告和项目决算，书面报告内容包括申报理由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依据、项目实施效果等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重大事项</w:t>
      </w:r>
      <w:r>
        <w:rPr>
          <w:rFonts w:hint="eastAsia" w:ascii="Times New Roman" w:hAnsi="Times New Roman" w:eastAsia="仿宋_GB2312" w:cs="仿宋_GB2312"/>
          <w:sz w:val="32"/>
          <w:szCs w:val="32"/>
        </w:rPr>
        <w:t>经市城管局</w:t>
      </w:r>
      <w:r>
        <w:rPr>
          <w:rFonts w:hint="eastAsia" w:ascii="Times New Roman" w:hAnsi="Times New Roman" w:eastAsia="仿宋_GB2312" w:cs="仿宋_GB2312"/>
          <w:spacing w:val="6"/>
          <w:kern w:val="0"/>
          <w:sz w:val="32"/>
          <w:szCs w:val="32"/>
          <w:lang w:val="en-US" w:eastAsia="zh-CN"/>
        </w:rPr>
        <w:t>党组研究</w:t>
      </w:r>
      <w:r>
        <w:rPr>
          <w:rFonts w:hint="eastAsia" w:ascii="Times New Roman" w:hAnsi="Times New Roman" w:eastAsia="仿宋_GB2312" w:cs="仿宋_GB2312"/>
          <w:spacing w:val="6"/>
          <w:kern w:val="0"/>
          <w:sz w:val="32"/>
          <w:szCs w:val="32"/>
        </w:rPr>
        <w:t>决</w:t>
      </w:r>
      <w:r>
        <w:rPr>
          <w:rFonts w:hint="eastAsia" w:ascii="Times New Roman" w:hAnsi="Times New Roman" w:eastAsia="仿宋_GB2312" w:cs="仿宋_GB2312"/>
          <w:spacing w:val="6"/>
          <w:kern w:val="0"/>
          <w:sz w:val="32"/>
          <w:szCs w:val="32"/>
          <w:lang w:val="en-US" w:eastAsia="zh-CN"/>
        </w:rPr>
        <w:t>定后，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报</w:t>
      </w:r>
      <w:r>
        <w:rPr>
          <w:rFonts w:hint="eastAsia" w:ascii="Times New Roman" w:hAnsi="Times New Roman" w:eastAsia="仿宋_GB2312" w:cs="仿宋_GB2312"/>
          <w:sz w:val="32"/>
          <w:szCs w:val="32"/>
        </w:rPr>
        <w:t>分管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财务领导</w:t>
      </w:r>
      <w:r>
        <w:rPr>
          <w:rFonts w:hint="eastAsia" w:ascii="Times New Roman" w:hAnsi="Times New Roman" w:eastAsia="仿宋_GB2312" w:cs="仿宋_GB2312"/>
          <w:sz w:val="32"/>
          <w:szCs w:val="32"/>
        </w:rPr>
        <w:t>审批。</w:t>
      </w:r>
    </w:p>
    <w:p w14:paraId="69BDA3F0"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sz w:val="32"/>
          <w:szCs w:val="32"/>
          <w:highlight w:val="none"/>
          <w:lang w:val="en-US" w:eastAsia="zh-CN"/>
        </w:rPr>
        <w:t>4.资产管理情况</w:t>
      </w:r>
    </w:p>
    <w:p w14:paraId="5B115D50">
      <w:pPr>
        <w:pStyle w:val="6"/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left="0" w:leftChars="0" w:firstLine="640" w:firstLineChars="0"/>
        <w:jc w:val="left"/>
        <w:rPr>
          <w:rFonts w:hint="eastAsia" w:ascii="Times New Roman" w:hAnsi="Times New Roman" w:eastAsia="仿宋_GB2312" w:cs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sz w:val="32"/>
          <w:szCs w:val="32"/>
          <w:highlight w:val="none"/>
          <w:lang w:val="en-US" w:eastAsia="zh-CN"/>
        </w:rPr>
        <w:t>按照厉行节约、物尽其用的原则，资产管理采取统一建帐、统一核算管理。对每件固定资产使用明确保管职责，闲置的资产，由局办公室统一调整，合理流动，发挥其效益。固定资产配置和处置，均按市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国有资产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管理相关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highlight w:val="none"/>
          <w:lang w:val="en-US" w:eastAsia="zh-CN"/>
        </w:rPr>
        <w:t>规定程序办理，并严格按固定资产管理办法进行核算及管理。开展“三资”清查和资产盘点，于2025年</w:t>
      </w:r>
      <w:r>
        <w:rPr>
          <w:rFonts w:hint="eastAsia" w:ascii="Times New Roman" w:hAnsi="Times New Roman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10月和12月分别进行了两次国有资产自查工作，及时清点了闲置及出租出借资产信息，落实资产权属问题，进一步明晰产权、提高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资产使用率</w:t>
      </w:r>
      <w:r>
        <w:rPr>
          <w:rFonts w:hint="eastAsia" w:ascii="Times New Roman" w:hAnsi="Times New Roman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highlight w:val="none"/>
          <w:lang w:val="en-US" w:eastAsia="zh-CN"/>
        </w:rPr>
        <w:t>并根据本单位实际情况，修订了资产管理制度，加强实物管理。</w:t>
      </w:r>
    </w:p>
    <w:p w14:paraId="739A62C9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-SA"/>
        </w:rPr>
        <w:t>5.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资金管理情况</w:t>
      </w:r>
    </w:p>
    <w:p w14:paraId="21D6295D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本单位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lang w:val="en-US" w:eastAsia="zh-CN"/>
        </w:rPr>
        <w:t>专项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资金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lang w:val="en-US" w:eastAsia="zh-CN"/>
        </w:rPr>
        <w:t>管理按资金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用途专款专用，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lang w:val="en-US" w:eastAsia="zh-CN"/>
        </w:rPr>
        <w:t>各专项间独立核算，严禁混用。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严格按照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lang w:val="en-US" w:eastAsia="zh-CN"/>
        </w:rPr>
        <w:t>专项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资金批准计划使用，不擅自调项、扩项、缩项，无拆借、挪用和挤占，对每笔专项资金的支付严格执行财务制度，落实专项资金审核程序。对专项资金的使用流程进行监督，定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lang w:val="en-US" w:eastAsia="zh-CN"/>
        </w:rPr>
        <w:t>期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查看财务报表检查专项资金使用情况。</w:t>
      </w:r>
    </w:p>
    <w:p w14:paraId="32402E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sz w:val="32"/>
          <w:szCs w:val="32"/>
          <w:highlight w:val="none"/>
          <w:lang w:val="en-US" w:eastAsia="zh-CN"/>
        </w:rPr>
        <w:t>6.运行成本和管理效率</w:t>
      </w:r>
    </w:p>
    <w:p w14:paraId="1EECC6D9">
      <w:pPr>
        <w:pStyle w:val="5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2025年，局机关全年预算金额为24830.93万元，实际支出金额为22750.16万元，其中基本支出1499.47万元、项目支出21250.69万元，年度预算执行率为91.62%，单位运行成本控制在年度预算金额内，资金周转利用效率高。</w:t>
      </w:r>
    </w:p>
    <w:p w14:paraId="680DC2D0">
      <w:pPr>
        <w:pStyle w:val="5"/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600" w:lineRule="exact"/>
        <w:ind w:firstLine="643" w:firstLineChars="200"/>
        <w:jc w:val="left"/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b/>
          <w:bCs/>
          <w:color w:val="333333"/>
          <w:sz w:val="32"/>
          <w:szCs w:val="32"/>
          <w:highlight w:val="none"/>
          <w:shd w:val="clear" w:color="auto" w:fill="FFFFFF"/>
        </w:rPr>
        <w:t>评价结论</w:t>
      </w:r>
      <w:r>
        <w:rPr>
          <w:rFonts w:hint="eastAsia" w:ascii="Times New Roman" w:hAnsi="Times New Roman" w:eastAsia="楷体" w:cs="楷体"/>
          <w:b/>
          <w:bCs/>
          <w:color w:val="333333"/>
          <w:sz w:val="32"/>
          <w:szCs w:val="32"/>
          <w:highlight w:val="none"/>
          <w:shd w:val="clear" w:color="auto" w:fill="FFFFFF"/>
          <w:lang w:eastAsia="zh-CN"/>
        </w:rPr>
        <w:t>：</w:t>
      </w:r>
      <w:bookmarkStart w:id="0" w:name="_Toc2686_WPSOffice_Level2"/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评价小组通过定量和定性分析</w:t>
      </w:r>
      <w:bookmarkEnd w:id="0"/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2025年岳阳市城市管理和综合执法局本级整体支出，绩效评价最后得分为99.16分（具体评份明细见附件二），评价等级为“优”。</w:t>
      </w:r>
    </w:p>
    <w:p w14:paraId="286FAB59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jc w:val="left"/>
        <w:textAlignment w:val="auto"/>
        <w:rPr>
          <w:rFonts w:hint="eastAsia" w:ascii="Times New Roman" w:hAnsi="Times New Roman" w:eastAsia="楷体_GB2312" w:cs="楷体_GB2312"/>
          <w:b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b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（四）绩效指标分析</w:t>
      </w:r>
    </w:p>
    <w:p w14:paraId="4FDE8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预算执行过程情况</w:t>
      </w:r>
    </w:p>
    <w:p w14:paraId="1BA60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预算执行过程指标分值为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分，评价得分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9.16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分，主要扣分原因为全年执行数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占全年预算数的比例为91.62%，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少量公用经费和项目经费结余暂未支付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 w14:paraId="2BAAD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bookmarkStart w:id="1" w:name="_Toc1611"/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预算支出产出情况</w:t>
      </w:r>
      <w:bookmarkEnd w:id="1"/>
    </w:p>
    <w:p w14:paraId="3EB27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预算支出产出指标分值50分，评价得分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50</w:t>
      </w:r>
      <w:r>
        <w:rPr>
          <w:rFonts w:hint="eastAsia" w:ascii="Times New Roman" w:hAnsi="Times New Roman" w:eastAsia="仿宋_GB2312" w:cs="仿宋_GB2312"/>
          <w:sz w:val="32"/>
          <w:szCs w:val="32"/>
        </w:rPr>
        <w:t>分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。</w:t>
      </w:r>
    </w:p>
    <w:p w14:paraId="221E5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bookmarkStart w:id="2" w:name="_Toc25059"/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仿宋_GB2312"/>
          <w:sz w:val="32"/>
          <w:szCs w:val="32"/>
        </w:rPr>
        <w:t>预算支出效益情况</w:t>
      </w:r>
      <w:bookmarkEnd w:id="2"/>
    </w:p>
    <w:p w14:paraId="29427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预算支出效益指标分值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sz w:val="32"/>
          <w:szCs w:val="32"/>
        </w:rPr>
        <w:t>0分，评价得分3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 w:cs="仿宋_GB2312"/>
          <w:sz w:val="32"/>
          <w:szCs w:val="32"/>
        </w:rPr>
        <w:t>分。</w:t>
      </w:r>
    </w:p>
    <w:p w14:paraId="77CEB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4.服务对象</w:t>
      </w:r>
      <w:r>
        <w:rPr>
          <w:rFonts w:hint="eastAsia" w:ascii="Times New Roman" w:hAnsi="Times New Roman" w:eastAsia="仿宋_GB2312" w:cs="仿宋_GB2312"/>
          <w:sz w:val="32"/>
          <w:szCs w:val="32"/>
        </w:rPr>
        <w:t>满意度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情况</w:t>
      </w:r>
    </w:p>
    <w:p w14:paraId="4F700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预算支出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服务对象</w:t>
      </w:r>
      <w:r>
        <w:rPr>
          <w:rFonts w:hint="eastAsia" w:ascii="Times New Roman" w:hAnsi="Times New Roman" w:eastAsia="仿宋_GB2312" w:cs="仿宋_GB2312"/>
          <w:sz w:val="32"/>
          <w:szCs w:val="32"/>
        </w:rPr>
        <w:t>满意度指标分值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sz w:val="32"/>
          <w:szCs w:val="32"/>
        </w:rPr>
        <w:t>0分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评价得分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仿宋_GB2312" w:cs="仿宋_GB2312"/>
          <w:sz w:val="32"/>
          <w:szCs w:val="32"/>
        </w:rPr>
        <w:t>分。</w:t>
      </w:r>
    </w:p>
    <w:p w14:paraId="107E5BA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七、存在的问题及原因分析</w:t>
      </w:r>
    </w:p>
    <w:p w14:paraId="2DB07076">
      <w:pPr>
        <w:pStyle w:val="5"/>
        <w:numPr>
          <w:ilvl w:val="0"/>
          <w:numId w:val="5"/>
        </w:numPr>
        <w:ind w:firstLine="643" w:firstLineChars="20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 w:eastAsia="楷体_GB2312" w:cs="楷体_GB2312"/>
          <w:b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预算执行存在偏差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。202</w:t>
      </w:r>
      <w:r>
        <w:rPr>
          <w:rFonts w:hint="eastAsia" w:ascii="Times New Roman" w:hAnsi="Times New Roman" w:cs="仿宋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年年初预算数为</w:t>
      </w:r>
      <w:r>
        <w:rPr>
          <w:rFonts w:hint="eastAsia" w:ascii="Times New Roman" w:hAnsi="Times New Roman" w:cs="仿宋"/>
          <w:sz w:val="32"/>
          <w:szCs w:val="32"/>
          <w:highlight w:val="none"/>
          <w:lang w:val="en-US" w:eastAsia="zh-CN"/>
        </w:rPr>
        <w:t>1396.04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万元，决算数为</w:t>
      </w:r>
      <w:r>
        <w:rPr>
          <w:rFonts w:hint="eastAsia" w:ascii="Times New Roman" w:hAnsi="Times New Roman" w:cs="仿宋"/>
          <w:sz w:val="32"/>
          <w:szCs w:val="32"/>
          <w:highlight w:val="none"/>
          <w:lang w:val="en-US" w:eastAsia="zh-CN"/>
        </w:rPr>
        <w:t>22750.16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主要原因一方面系根据年中工作实际情况及时调整预算，另一方面也反映出部门间沟通不够，资金申请不够及时，预算编制不够全面、完整。</w:t>
      </w:r>
    </w:p>
    <w:p w14:paraId="08E3194C">
      <w:pPr>
        <w:pStyle w:val="6"/>
        <w:numPr>
          <w:ilvl w:val="0"/>
          <w:numId w:val="0"/>
        </w:numPr>
        <w:ind w:firstLine="640" w:firstLineChars="200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 w:eastAsia="仿宋" w:cs="仿宋"/>
          <w:kern w:val="2"/>
          <w:sz w:val="32"/>
          <w:szCs w:val="32"/>
          <w:highlight w:val="none"/>
          <w:lang w:val="en-US" w:eastAsia="zh-CN" w:bidi="ar-SA"/>
        </w:rPr>
        <w:t>（二）</w:t>
      </w:r>
      <w:r>
        <w:rPr>
          <w:rFonts w:hint="eastAsia" w:ascii="Times New Roman" w:hAnsi="Times New Roman" w:eastAsia="楷体_GB2312" w:cs="楷体_GB2312"/>
          <w:b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政府采购管理有待加强</w:t>
      </w:r>
      <w:r>
        <w:rPr>
          <w:rFonts w:hint="eastAsia" w:ascii="Times New Roman" w:hAnsi="Times New Roman" w:eastAsia="仿宋" w:cs="仿宋"/>
          <w:kern w:val="2"/>
          <w:sz w:val="32"/>
          <w:szCs w:val="32"/>
          <w:highlight w:val="none"/>
          <w:lang w:val="en-US" w:eastAsia="zh-CN" w:bidi="ar-SA"/>
        </w:rPr>
        <w:t>。2025年政府采购年中追加预算金额较大，政府采购预算编制不够全面，同时涉及到政府采购项目问题整改情况，主要问题涉及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采购实施计划中评标方法及标准未统一、资料缺失、部分流程</w:t>
      </w:r>
      <w:r>
        <w:rPr>
          <w:rFonts w:hint="eastAsia" w:ascii="Times New Roman" w:hAnsi="Times New Roman" w:eastAsia="仿宋" w:cs="仿宋"/>
          <w:kern w:val="2"/>
          <w:sz w:val="32"/>
          <w:szCs w:val="32"/>
          <w:highlight w:val="none"/>
          <w:lang w:val="en-US" w:eastAsia="zh-CN" w:bidi="ar-SA"/>
        </w:rPr>
        <w:t>不规范等问题。</w:t>
      </w:r>
    </w:p>
    <w:p w14:paraId="7C181660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下一步改进措施</w:t>
      </w:r>
    </w:p>
    <w:p w14:paraId="17B94B32"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 w:rightChars="0" w:firstLine="321" w:firstLineChars="100"/>
        <w:jc w:val="left"/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楷体_GB2312"/>
          <w:b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（一）完善项目资金绩效管理</w:t>
      </w:r>
    </w:p>
    <w:p w14:paraId="38F24BEA"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 w:rightChars="0" w:firstLine="640" w:firstLineChars="200"/>
        <w:jc w:val="left"/>
        <w:rPr>
          <w:rFonts w:hint="eastAsia" w:ascii="Times New Roman" w:hAnsi="Times New Roman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仿宋"/>
          <w:kern w:val="2"/>
          <w:sz w:val="32"/>
          <w:szCs w:val="32"/>
          <w:highlight w:val="none"/>
          <w:lang w:val="en-US" w:eastAsia="zh-CN" w:bidi="ar-SA"/>
        </w:rPr>
        <w:t>1.强化事前评估。预算编制起始阶段按项目紧迫性和成本效益分析，对项目支出进行科学合理的优先级排序，针对项目的必要性、经济性、目标合理性、方案可行性等方面进行源头把控。</w:t>
      </w:r>
    </w:p>
    <w:p w14:paraId="25EDA049"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 w:rightChars="0" w:firstLine="640" w:firstLineChars="200"/>
        <w:jc w:val="left"/>
        <w:rPr>
          <w:rFonts w:hint="eastAsia" w:ascii="Times New Roman" w:hAnsi="Times New Roman" w:eastAsia="仿宋" w:cs="仿宋"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kern w:val="2"/>
          <w:sz w:val="32"/>
          <w:szCs w:val="32"/>
          <w:highlight w:val="none"/>
          <w:lang w:val="en-US" w:eastAsia="zh-CN" w:bidi="ar-SA"/>
        </w:rPr>
        <w:t>2.强化事中跟踪。预算执行中与业务科室协作开展事中绩效跟踪监控。围绕年初绩效目标，分析预算执行进度，监控财政资金的预计产出和执行效果，做到全覆盖、无死角，防止出现偏离绩效目标的现象。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加强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各业务科室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间沟通协调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掌握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工作进度，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要求业务科室定期填报项目支出绩效自评表，按照项目实施进度和合同规定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及时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跟进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预算资金申请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和支付流程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，进一步提高预算执行率。加强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单位部门间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沟通与协作，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根据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项目实施进度及时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向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财政部门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申请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预算资金，提高资金支付效率。</w:t>
      </w:r>
    </w:p>
    <w:p w14:paraId="051820B2"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 w:rightChars="0" w:firstLine="640" w:firstLineChars="200"/>
        <w:jc w:val="left"/>
        <w:rPr>
          <w:rFonts w:hint="eastAsia" w:ascii="Times New Roman" w:hAnsi="Times New Roman" w:eastAsia="仿宋" w:cs="仿宋"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强化事后评价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eastAsia="zh-CN"/>
        </w:rPr>
        <w:t>。将绩效目标的编报质量、绩效运行监控的实际情况及绩效评价的最终结果，作为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下一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eastAsia="zh-CN"/>
        </w:rPr>
        <w:t>年度预算安排和政策调整的参考依据，确保财政资源的有效配置和政策的精准实施。</w:t>
      </w:r>
    </w:p>
    <w:p w14:paraId="0F646FC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_GB2312" w:cs="楷体_GB2312"/>
          <w:b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b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提高政府采购管理水平</w:t>
      </w:r>
    </w:p>
    <w:p w14:paraId="6AE392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制定政府采购相关政策、法律法规、业务知识的培训计划，组织开展业务培训，提高工作人员业务水平。切实履行政府采购主体责任，严格按照政府采购相关法律法规进行采购，避免再次出现类似问题。严格代理机构选取标准，严把政府采购审核，确保招投标程序合法合规、公平公正。</w:t>
      </w:r>
    </w:p>
    <w:p w14:paraId="2D02EA0F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部门整体支出绩效自评结果拟应用和公开情况</w:t>
      </w:r>
    </w:p>
    <w:p w14:paraId="1B32C0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部门整体支出绩效自评结果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将作为完善本单位相关制度，改进资金管理的重要依据，同时，也将作为单位内部工作总结的参考依据。本单位的预算绩效目标、预算、决算及绩效评价均按相关规定及时在市城管局门户网站进行了公开。</w:t>
      </w:r>
    </w:p>
    <w:p w14:paraId="7A0290E7">
      <w:pPr>
        <w:pStyle w:val="3"/>
        <w:numPr>
          <w:ilvl w:val="0"/>
          <w:numId w:val="0"/>
        </w:numPr>
        <w:ind w:leftChars="200"/>
        <w:jc w:val="both"/>
        <w:rPr>
          <w:rFonts w:hint="default"/>
        </w:rPr>
      </w:pPr>
    </w:p>
    <w:p w14:paraId="56E369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报告附件：</w:t>
      </w:r>
    </w:p>
    <w:p w14:paraId="3B3CF1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部门整体支出绩效评价基础数据表</w:t>
      </w:r>
    </w:p>
    <w:p w14:paraId="156287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2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部门整体支出绩效自评表</w:t>
      </w:r>
    </w:p>
    <w:p w14:paraId="638ACA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3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项目支出绩效自评表（一个一级项目支出一张表）</w:t>
      </w:r>
    </w:p>
    <w:p w14:paraId="3AFE3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1B368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67038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27AB2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524CE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27C00ED0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br w:type="page"/>
      </w:r>
    </w:p>
    <w:p w14:paraId="7F5D211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00" w:lineRule="exact"/>
        <w:ind w:firstLine="320" w:firstLineChars="10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 w14:paraId="1084565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firstLine="320" w:firstLineChars="10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1B6D7E2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120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年度部门整体支出绩效评价基础数据表</w:t>
      </w:r>
    </w:p>
    <w:tbl>
      <w:tblPr>
        <w:tblStyle w:val="9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1081"/>
        <w:gridCol w:w="960"/>
      </w:tblGrid>
      <w:tr w14:paraId="0C7CE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326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9D6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8DC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年实际在职人数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945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控制率</w:t>
            </w:r>
          </w:p>
        </w:tc>
      </w:tr>
      <w:tr w14:paraId="6854F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112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716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940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ED3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96.49%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7B7A1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85EA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653E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241F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年预算数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8EA2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</w:tr>
      <w:tr w14:paraId="533D1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18F8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8C173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9.88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E7CA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425F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3.89</w:t>
            </w:r>
          </w:p>
        </w:tc>
      </w:tr>
      <w:tr w14:paraId="6617D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6A7E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6600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8.47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EF7E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5A77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3.06</w:t>
            </w:r>
          </w:p>
        </w:tc>
      </w:tr>
      <w:tr w14:paraId="7495A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1A3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3CD5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6575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1CBB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00019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CDA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D358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8.47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64B5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06B00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3.06</w:t>
            </w:r>
          </w:p>
        </w:tc>
      </w:tr>
      <w:tr w14:paraId="0C0EF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735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1A3B9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446C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80A7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6882D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669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71A1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1.41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83E89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08E5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0.83</w:t>
            </w:r>
          </w:p>
        </w:tc>
      </w:tr>
      <w:tr w14:paraId="31D59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CCA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0E60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7348.38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B0DB9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22772.81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96D4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21250.69</w:t>
            </w:r>
          </w:p>
        </w:tc>
      </w:tr>
      <w:tr w14:paraId="3BD7E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002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1、日常工作经费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1D85A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4D6D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125.00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DE97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123.72</w:t>
            </w:r>
          </w:p>
        </w:tc>
      </w:tr>
      <w:tr w14:paraId="5DF7B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B10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2、非税收入超收返还及执收成本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C56A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140.56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D36D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50.5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AB68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61.68</w:t>
            </w:r>
          </w:p>
        </w:tc>
      </w:tr>
      <w:tr w14:paraId="55C1B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592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3、本级专项资金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547C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7207.82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5911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22536.6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F10B3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21104.57</w:t>
            </w:r>
          </w:p>
        </w:tc>
      </w:tr>
      <w:tr w14:paraId="6D903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39C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市中心城区春节氛围营造经费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8C99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273.77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0FE3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199.60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2E69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195.98</w:t>
            </w:r>
          </w:p>
        </w:tc>
      </w:tr>
      <w:tr w14:paraId="6D143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2C66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园林绿化管理经费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5C0E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97.81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381F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68.47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6A2C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65.82</w:t>
            </w:r>
          </w:p>
        </w:tc>
      </w:tr>
      <w:tr w14:paraId="6D79A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213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城市基础设施生命线安全工程项目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C89A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FA0E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425.2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FB0CE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30.24</w:t>
            </w:r>
          </w:p>
        </w:tc>
      </w:tr>
      <w:tr w14:paraId="3A8ED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BD3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蛇皮套和三大湖整治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38A2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3328.19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8E3B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3758.83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8A25E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3758.83</w:t>
            </w:r>
          </w:p>
        </w:tc>
      </w:tr>
      <w:tr w14:paraId="04B12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299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市城区主要道路人行道海绵城市生态提质改造项目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B715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1742.5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8B6E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1639.54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FAD09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1639.54</w:t>
            </w:r>
          </w:p>
        </w:tc>
      </w:tr>
      <w:tr w14:paraId="66FEA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F18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垃圾分类、城管考评专项经费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ACE0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433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C0BE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9AB5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150.04</w:t>
            </w:r>
          </w:p>
        </w:tc>
      </w:tr>
      <w:tr w14:paraId="49BD0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F85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企业军转干部补助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0E8D5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1.95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EA65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0.89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AEE7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0.89</w:t>
            </w:r>
          </w:p>
        </w:tc>
      </w:tr>
      <w:tr w14:paraId="45B0F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3B83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青年堤等排水主涵清淤工程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8341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EEEC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12.59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735D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12.59</w:t>
            </w:r>
          </w:p>
        </w:tc>
      </w:tr>
      <w:tr w14:paraId="247C2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3F7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巴陵石化公司（原洞氮）权属泵站维修改造工程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791B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A5C3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17.42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93AB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17.41</w:t>
            </w:r>
          </w:p>
        </w:tc>
      </w:tr>
      <w:tr w14:paraId="4B8C6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2F6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鲜花一条街生产维护经费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5089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223.99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C9C9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87.2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871A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87.2</w:t>
            </w:r>
          </w:p>
        </w:tc>
      </w:tr>
      <w:tr w14:paraId="46684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30EC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市城区桥梁检测服务（9座）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B794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0AE8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134.68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F391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134.68</w:t>
            </w:r>
          </w:p>
        </w:tc>
      </w:tr>
      <w:tr w14:paraId="28107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F45D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城市燃气管道老化更新改造工程经费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DFF4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581.48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0703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533.15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A3F2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525.20</w:t>
            </w:r>
          </w:p>
        </w:tc>
      </w:tr>
      <w:tr w14:paraId="4D7DD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4F1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船舶垃圾收集经费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7BD4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425.13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70DB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133.71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F4F7B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101.96</w:t>
            </w:r>
          </w:p>
        </w:tc>
      </w:tr>
      <w:tr w14:paraId="23500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036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旅发大会市容市貌提质改造项目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73375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99F5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14056.21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9A3D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13545.19</w:t>
            </w:r>
          </w:p>
        </w:tc>
      </w:tr>
      <w:tr w14:paraId="06C3B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7A7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巴陵中路（琵琶王立交桥-德胜路）绿化海绵改造工程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0F49C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D6A6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D4382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220.6</w:t>
            </w:r>
          </w:p>
        </w:tc>
      </w:tr>
      <w:tr w14:paraId="54321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C49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花果畈垃圾处理场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0E09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EA8E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618.39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886F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390.27</w:t>
            </w:r>
          </w:p>
        </w:tc>
      </w:tr>
      <w:tr w14:paraId="7EC1B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C8B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双拥示范街区建设项目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E1E9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5B78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36.26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EA4A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18.13</w:t>
            </w:r>
          </w:p>
        </w:tc>
      </w:tr>
      <w:tr w14:paraId="14118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C54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巴陵大桥西蘑菇亭公共绿地综合改造项目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9AFB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77834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314.46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8C09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110</w:t>
            </w:r>
          </w:p>
        </w:tc>
      </w:tr>
      <w:tr w14:paraId="281E5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F6E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其他事务管理经费（赔偿款）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C0EC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5ED2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60.71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C5E2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60.71</w:t>
            </w:r>
          </w:p>
        </w:tc>
      </w:tr>
      <w:tr w14:paraId="6699B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98C3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01C9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3BBAE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8D8A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　</w:t>
            </w:r>
          </w:p>
        </w:tc>
      </w:tr>
      <w:tr w14:paraId="6C552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F7F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06178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177.11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97DD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155.43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441D2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130.08</w:t>
            </w:r>
          </w:p>
        </w:tc>
      </w:tr>
      <w:tr w14:paraId="1642A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433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5B40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12.96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773C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BDD0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13.13　</w:t>
            </w:r>
          </w:p>
        </w:tc>
      </w:tr>
      <w:tr w14:paraId="00769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708B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654DE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0.8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1A633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1257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64258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0CF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9592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DEAE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550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F3F3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540.20</w:t>
            </w:r>
          </w:p>
        </w:tc>
      </w:tr>
      <w:tr w14:paraId="09853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430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3762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1124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455.26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B3EF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455.26</w:t>
            </w:r>
          </w:p>
        </w:tc>
      </w:tr>
      <w:tr w14:paraId="63C88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461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楼堂馆所控制情况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（202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年完工项目）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0EC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批复规模</w:t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（㎡）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DF3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实际规模（㎡）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303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99C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FC7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361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投资概算控制率</w:t>
            </w:r>
          </w:p>
        </w:tc>
      </w:tr>
      <w:tr w14:paraId="3046B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00B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048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F4B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798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97C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8D6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1F3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40128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D60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9460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</w:tbl>
    <w:p w14:paraId="4C55ED4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left="660" w:hanging="660" w:hangingChars="300"/>
        <w:jc w:val="left"/>
        <w:textAlignment w:val="auto"/>
        <w:rPr>
          <w:rFonts w:hint="default" w:ascii="Times New Roman" w:hAnsi="Times New Roman" w:eastAsia="仿宋_GB2312" w:cs="Times New Roman"/>
          <w:sz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highlight w:val="none"/>
        </w:rPr>
        <w:t>说明：“项目支出”需要填报基本支出以外的所有项目支出情况，“公用经费”填报基本支出中的一般商品和服务支出。</w:t>
      </w:r>
    </w:p>
    <w:p w14:paraId="1AA0467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Lines="0" w:line="400" w:lineRule="exact"/>
        <w:jc w:val="left"/>
        <w:textAlignment w:val="auto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2701F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4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highlight w:val="none"/>
        </w:rPr>
        <w:t>填表人：        填报日期：          联系电话：            单位负责人签字：</w:t>
      </w:r>
    </w:p>
    <w:p w14:paraId="1C738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6B88316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0" w:lineRule="exact"/>
        <w:ind w:firstLine="0"/>
        <w:jc w:val="left"/>
        <w:textAlignment w:val="auto"/>
        <w:rPr>
          <w:rFonts w:ascii="仿宋_GB2312" w:eastAsia="仿宋_GB2312"/>
          <w:sz w:val="32"/>
          <w:szCs w:val="32"/>
        </w:rPr>
      </w:pPr>
    </w:p>
    <w:p w14:paraId="22FA32EF">
      <w:r>
        <w:br w:type="page"/>
      </w:r>
    </w:p>
    <w:p w14:paraId="6D3C783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4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2</w:t>
      </w:r>
    </w:p>
    <w:p w14:paraId="3D84B7D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4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41E6452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120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年度部门整体支出绩效自评表</w:t>
      </w:r>
    </w:p>
    <w:tbl>
      <w:tblPr>
        <w:tblStyle w:val="9"/>
        <w:tblW w:w="10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34"/>
        <w:gridCol w:w="1270"/>
        <w:gridCol w:w="1311"/>
        <w:gridCol w:w="1269"/>
        <w:gridCol w:w="716"/>
        <w:gridCol w:w="873"/>
        <w:gridCol w:w="1446"/>
      </w:tblGrid>
      <w:tr w14:paraId="4B151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noWrap w:val="0"/>
            <w:vAlign w:val="center"/>
          </w:tcPr>
          <w:p w14:paraId="64439F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级预算部门名称</w:t>
            </w:r>
          </w:p>
        </w:tc>
        <w:tc>
          <w:tcPr>
            <w:tcW w:w="8999" w:type="dxa"/>
            <w:gridSpan w:val="8"/>
            <w:noWrap w:val="0"/>
            <w:vAlign w:val="center"/>
          </w:tcPr>
          <w:p w14:paraId="2285FF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岳阳市城市管理和综合执法局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2A40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06CBFB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年度预</w:t>
            </w:r>
          </w:p>
          <w:p w14:paraId="2E68F45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算申请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14" w:type="dxa"/>
            <w:gridSpan w:val="2"/>
            <w:noWrap w:val="0"/>
            <w:vAlign w:val="center"/>
          </w:tcPr>
          <w:p w14:paraId="4C5EAC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noWrap w:val="0"/>
            <w:vAlign w:val="center"/>
          </w:tcPr>
          <w:p w14:paraId="4DD9A3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年初预算数</w:t>
            </w:r>
          </w:p>
        </w:tc>
        <w:tc>
          <w:tcPr>
            <w:tcW w:w="1311" w:type="dxa"/>
            <w:noWrap w:val="0"/>
            <w:vAlign w:val="center"/>
          </w:tcPr>
          <w:p w14:paraId="60556B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全年预算数</w:t>
            </w:r>
          </w:p>
        </w:tc>
        <w:tc>
          <w:tcPr>
            <w:tcW w:w="1269" w:type="dxa"/>
            <w:noWrap w:val="0"/>
            <w:vAlign w:val="center"/>
          </w:tcPr>
          <w:p w14:paraId="44B122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全年执行数</w:t>
            </w:r>
          </w:p>
        </w:tc>
        <w:tc>
          <w:tcPr>
            <w:tcW w:w="716" w:type="dxa"/>
            <w:noWrap w:val="0"/>
            <w:vAlign w:val="center"/>
          </w:tcPr>
          <w:p w14:paraId="4A4C0E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1AB513D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46" w:type="dxa"/>
            <w:noWrap w:val="0"/>
            <w:vAlign w:val="center"/>
          </w:tcPr>
          <w:p w14:paraId="186783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52374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5752E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14" w:type="dxa"/>
            <w:gridSpan w:val="2"/>
            <w:noWrap w:val="0"/>
            <w:vAlign w:val="center"/>
          </w:tcPr>
          <w:p w14:paraId="00383D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</w:t>
            </w:r>
          </w:p>
        </w:tc>
        <w:tc>
          <w:tcPr>
            <w:tcW w:w="1270" w:type="dxa"/>
            <w:noWrap w:val="0"/>
            <w:vAlign w:val="center"/>
          </w:tcPr>
          <w:p w14:paraId="372730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1396.04</w:t>
            </w:r>
          </w:p>
        </w:tc>
        <w:tc>
          <w:tcPr>
            <w:tcW w:w="1311" w:type="dxa"/>
            <w:noWrap w:val="0"/>
            <w:vAlign w:val="center"/>
          </w:tcPr>
          <w:p w14:paraId="4BD9FA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24830.93</w:t>
            </w:r>
          </w:p>
        </w:tc>
        <w:tc>
          <w:tcPr>
            <w:tcW w:w="1269" w:type="dxa"/>
            <w:noWrap w:val="0"/>
            <w:vAlign w:val="center"/>
          </w:tcPr>
          <w:p w14:paraId="29EEE9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22750.16</w:t>
            </w:r>
          </w:p>
        </w:tc>
        <w:tc>
          <w:tcPr>
            <w:tcW w:w="716" w:type="dxa"/>
            <w:noWrap w:val="0"/>
            <w:vAlign w:val="center"/>
          </w:tcPr>
          <w:p w14:paraId="080EFA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9B2C3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91.62%</w:t>
            </w:r>
          </w:p>
        </w:tc>
        <w:tc>
          <w:tcPr>
            <w:tcW w:w="1446" w:type="dxa"/>
            <w:noWrap w:val="0"/>
            <w:vAlign w:val="center"/>
          </w:tcPr>
          <w:p w14:paraId="165C19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9.16</w:t>
            </w:r>
          </w:p>
        </w:tc>
      </w:tr>
      <w:tr w14:paraId="47040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7EDDD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noWrap w:val="0"/>
            <w:vAlign w:val="center"/>
          </w:tcPr>
          <w:p w14:paraId="51A508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按收入性质分：</w:t>
            </w:r>
          </w:p>
        </w:tc>
        <w:tc>
          <w:tcPr>
            <w:tcW w:w="4304" w:type="dxa"/>
            <w:gridSpan w:val="4"/>
            <w:noWrap w:val="0"/>
            <w:vAlign w:val="center"/>
          </w:tcPr>
          <w:p w14:paraId="0E1587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按支出性质分：</w:t>
            </w:r>
          </w:p>
        </w:tc>
      </w:tr>
      <w:tr w14:paraId="57164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AEE5D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noWrap w:val="0"/>
            <w:vAlign w:val="center"/>
          </w:tcPr>
          <w:p w14:paraId="343BD00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 xml:space="preserve">  其中：  一般公共预算：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18893.42</w:t>
            </w:r>
          </w:p>
        </w:tc>
        <w:tc>
          <w:tcPr>
            <w:tcW w:w="4304" w:type="dxa"/>
            <w:gridSpan w:val="4"/>
            <w:noWrap w:val="0"/>
            <w:vAlign w:val="center"/>
          </w:tcPr>
          <w:p w14:paraId="512DC7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其中：基本支出：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1499.47</w:t>
            </w:r>
          </w:p>
        </w:tc>
      </w:tr>
      <w:tr w14:paraId="202E0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FB62C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noWrap w:val="0"/>
            <w:vAlign w:val="center"/>
          </w:tcPr>
          <w:p w14:paraId="14E67A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800" w:firstLineChars="4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政府性基金拨款：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3845.47</w:t>
            </w:r>
          </w:p>
        </w:tc>
        <w:tc>
          <w:tcPr>
            <w:tcW w:w="4304" w:type="dxa"/>
            <w:gridSpan w:val="4"/>
            <w:noWrap w:val="0"/>
            <w:vAlign w:val="center"/>
          </w:tcPr>
          <w:p w14:paraId="52A6B32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21250.69</w:t>
            </w:r>
          </w:p>
        </w:tc>
      </w:tr>
      <w:tr w14:paraId="3A780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0E7EB5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noWrap w:val="0"/>
            <w:vAlign w:val="center"/>
          </w:tcPr>
          <w:p w14:paraId="28FA71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纳入专户管理的非税收入拨款：</w:t>
            </w:r>
          </w:p>
        </w:tc>
        <w:tc>
          <w:tcPr>
            <w:tcW w:w="4304" w:type="dxa"/>
            <w:gridSpan w:val="4"/>
            <w:noWrap w:val="0"/>
            <w:vAlign w:val="center"/>
          </w:tcPr>
          <w:p w14:paraId="72F9BD3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5C26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8142A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noWrap w:val="0"/>
            <w:vAlign w:val="center"/>
          </w:tcPr>
          <w:p w14:paraId="72742A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0" w:firstLineChars="7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11.27</w:t>
            </w:r>
          </w:p>
        </w:tc>
        <w:tc>
          <w:tcPr>
            <w:tcW w:w="4304" w:type="dxa"/>
            <w:gridSpan w:val="4"/>
            <w:noWrap w:val="0"/>
            <w:vAlign w:val="center"/>
          </w:tcPr>
          <w:p w14:paraId="6951E2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BB9B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7C2A09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695" w:type="dxa"/>
            <w:gridSpan w:val="4"/>
            <w:noWrap w:val="0"/>
            <w:vAlign w:val="center"/>
          </w:tcPr>
          <w:p w14:paraId="273BF3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304" w:type="dxa"/>
            <w:gridSpan w:val="4"/>
            <w:noWrap w:val="0"/>
            <w:vAlign w:val="center"/>
          </w:tcPr>
          <w:p w14:paraId="07EF79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78B1E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6DA2E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noWrap w:val="0"/>
            <w:vAlign w:val="center"/>
          </w:tcPr>
          <w:p w14:paraId="0532FA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目标 1：构建城市管理管理精细化、规范化、不断提高城市管理公共服务水平、打造精细、智慧、文化、绿色、人本、平安城管，为岳阳大城市建设做出应有贡献。</w:t>
            </w:r>
          </w:p>
          <w:p w14:paraId="08DFFB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目标 2：科学设置指标，把实事项目和市政府重点工作完成情况作为业绩考核的重要指标。</w:t>
            </w:r>
          </w:p>
          <w:p w14:paraId="129130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目标3：保障局机关中心工作和其他重大城市管理工作任务顺利开展和完成。　　</w:t>
            </w:r>
          </w:p>
        </w:tc>
        <w:tc>
          <w:tcPr>
            <w:tcW w:w="4304" w:type="dxa"/>
            <w:gridSpan w:val="4"/>
            <w:noWrap w:val="0"/>
            <w:vAlign w:val="center"/>
          </w:tcPr>
          <w:p w14:paraId="4C5658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管理精细化、规范化的城管队伍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服务城市管理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，提高了城市管理公共服务水平，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进一步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打造精细、智慧、文化、绿色、人本、平安城管，为岳阳大城市建设做出了应有贡献。</w:t>
            </w:r>
          </w:p>
          <w:p w14:paraId="435CCCB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2、科学设置考核指标，按时按质完成实事项目和政府重点工作。</w:t>
            </w:r>
          </w:p>
          <w:p w14:paraId="364D98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3、顺利保障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局机关中心工作和其他重大城市管理工作任务顺利开展和完成。</w:t>
            </w:r>
          </w:p>
        </w:tc>
      </w:tr>
      <w:tr w14:paraId="3E9C9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02C7E5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2395A5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4D8A5F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4C9478A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  <w:p w14:paraId="639CA20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E1E63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34" w:type="dxa"/>
            <w:noWrap w:val="0"/>
            <w:vAlign w:val="center"/>
          </w:tcPr>
          <w:p w14:paraId="2E3BF9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70" w:type="dxa"/>
            <w:noWrap w:val="0"/>
            <w:vAlign w:val="center"/>
          </w:tcPr>
          <w:p w14:paraId="0ABF5D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311" w:type="dxa"/>
            <w:noWrap w:val="0"/>
            <w:vAlign w:val="center"/>
          </w:tcPr>
          <w:p w14:paraId="20A1D8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年度指标值</w:t>
            </w:r>
          </w:p>
        </w:tc>
        <w:tc>
          <w:tcPr>
            <w:tcW w:w="1269" w:type="dxa"/>
            <w:noWrap w:val="0"/>
            <w:vAlign w:val="center"/>
          </w:tcPr>
          <w:p w14:paraId="66171C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实际完成值</w:t>
            </w:r>
          </w:p>
        </w:tc>
        <w:tc>
          <w:tcPr>
            <w:tcW w:w="716" w:type="dxa"/>
            <w:noWrap w:val="0"/>
            <w:vAlign w:val="center"/>
          </w:tcPr>
          <w:p w14:paraId="180C3B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0DEEE1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46" w:type="dxa"/>
            <w:noWrap w:val="0"/>
            <w:vAlign w:val="center"/>
          </w:tcPr>
          <w:p w14:paraId="149BED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7D72C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933BF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1F20000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7B3402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034455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34" w:type="dxa"/>
            <w:vMerge w:val="restart"/>
            <w:noWrap w:val="0"/>
            <w:vAlign w:val="center"/>
          </w:tcPr>
          <w:p w14:paraId="54658F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70" w:type="dxa"/>
            <w:noWrap w:val="0"/>
            <w:vAlign w:val="center"/>
          </w:tcPr>
          <w:p w14:paraId="56B7D9D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翻新大修破损道桥</w:t>
            </w:r>
          </w:p>
        </w:tc>
        <w:tc>
          <w:tcPr>
            <w:tcW w:w="1311" w:type="dxa"/>
            <w:noWrap w:val="0"/>
            <w:vAlign w:val="center"/>
          </w:tcPr>
          <w:p w14:paraId="7FEAF9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8条道路翻新，4条道路大修</w:t>
            </w: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54D02A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8条道路翻新，4条道路大修</w:t>
            </w:r>
          </w:p>
        </w:tc>
        <w:tc>
          <w:tcPr>
            <w:tcW w:w="716" w:type="dxa"/>
            <w:noWrap w:val="0"/>
            <w:vAlign w:val="center"/>
          </w:tcPr>
          <w:p w14:paraId="34060B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0A1C7D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446" w:type="dxa"/>
            <w:noWrap w:val="0"/>
            <w:vAlign w:val="center"/>
          </w:tcPr>
          <w:p w14:paraId="59CC7B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03FA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15E47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FD46C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noWrap w:val="0"/>
            <w:vAlign w:val="center"/>
          </w:tcPr>
          <w:p w14:paraId="056D58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noWrap w:val="0"/>
            <w:vAlign w:val="center"/>
          </w:tcPr>
          <w:p w14:paraId="7EDA36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补绿增色扮靓节点</w:t>
            </w:r>
          </w:p>
        </w:tc>
        <w:tc>
          <w:tcPr>
            <w:tcW w:w="1311" w:type="dxa"/>
            <w:noWrap w:val="0"/>
            <w:vAlign w:val="center"/>
          </w:tcPr>
          <w:p w14:paraId="67E693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新增绿地4万平方米、补植行道树6000余株打造主题绿雕7处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、布设时令鲜花3万余盆</w:t>
            </w: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30F189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新增绿地4万平方米、补植行道树6000余株打造主题绿雕7处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、布设时令鲜花3万余盆</w:t>
            </w:r>
          </w:p>
        </w:tc>
        <w:tc>
          <w:tcPr>
            <w:tcW w:w="716" w:type="dxa"/>
            <w:noWrap w:val="0"/>
            <w:vAlign w:val="center"/>
          </w:tcPr>
          <w:p w14:paraId="104F66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noWrap w:val="0"/>
            <w:vAlign w:val="center"/>
          </w:tcPr>
          <w:p w14:paraId="320988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46" w:type="dxa"/>
            <w:noWrap w:val="0"/>
            <w:vAlign w:val="center"/>
          </w:tcPr>
          <w:p w14:paraId="4AD294E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9535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17B17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D840D9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noWrap w:val="0"/>
            <w:vAlign w:val="center"/>
          </w:tcPr>
          <w:p w14:paraId="3AC972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noWrap w:val="0"/>
            <w:vAlign w:val="center"/>
          </w:tcPr>
          <w:p w14:paraId="75CB6F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精心打造文化名片</w:t>
            </w:r>
          </w:p>
        </w:tc>
        <w:tc>
          <w:tcPr>
            <w:tcW w:w="1311" w:type="dxa"/>
            <w:noWrap w:val="0"/>
            <w:vAlign w:val="center"/>
          </w:tcPr>
          <w:p w14:paraId="0EA971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更新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文化护栏3.56万米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；在80块大型广告牌、16处电子屏、20座人行天桥投放主题宣传标语；依法拆除631处户外广告</w:t>
            </w: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180E96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更新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文化护栏3.56万米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；在80块大型广告牌、16处电子屏、20座人行天桥投放主题宣传标语；依法拆除631处户外广告</w:t>
            </w:r>
          </w:p>
        </w:tc>
        <w:tc>
          <w:tcPr>
            <w:tcW w:w="716" w:type="dxa"/>
            <w:noWrap w:val="0"/>
            <w:vAlign w:val="center"/>
          </w:tcPr>
          <w:p w14:paraId="0DF525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noWrap w:val="0"/>
            <w:vAlign w:val="center"/>
          </w:tcPr>
          <w:p w14:paraId="19EE4B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46" w:type="dxa"/>
            <w:noWrap w:val="0"/>
            <w:vAlign w:val="center"/>
          </w:tcPr>
          <w:p w14:paraId="4F7A2B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866A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5038D5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A60AD5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noWrap w:val="0"/>
            <w:vAlign w:val="center"/>
          </w:tcPr>
          <w:p w14:paraId="326EA6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noWrap w:val="0"/>
            <w:vAlign w:val="center"/>
          </w:tcPr>
          <w:p w14:paraId="106EAA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提升公厕建管水平</w:t>
            </w:r>
          </w:p>
        </w:tc>
        <w:tc>
          <w:tcPr>
            <w:tcW w:w="1311" w:type="dxa"/>
            <w:noWrap w:val="0"/>
            <w:vAlign w:val="center"/>
          </w:tcPr>
          <w:p w14:paraId="709A33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组织提质改造公厕191座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，新建智慧公厕、智慧公交驿站、高标准示范公厕共计18座</w:t>
            </w: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47C46E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组织提质改造公厕191座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，新建智慧公厕、智慧公交驿站、高标准示范公厕共计18座</w:t>
            </w:r>
          </w:p>
        </w:tc>
        <w:tc>
          <w:tcPr>
            <w:tcW w:w="716" w:type="dxa"/>
            <w:noWrap w:val="0"/>
            <w:vAlign w:val="center"/>
          </w:tcPr>
          <w:p w14:paraId="641556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noWrap w:val="0"/>
            <w:vAlign w:val="center"/>
          </w:tcPr>
          <w:p w14:paraId="49FD9E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46" w:type="dxa"/>
            <w:noWrap w:val="0"/>
            <w:vAlign w:val="center"/>
          </w:tcPr>
          <w:p w14:paraId="0BD503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0D73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A9874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CF3B8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noWrap w:val="0"/>
            <w:vAlign w:val="center"/>
          </w:tcPr>
          <w:p w14:paraId="4E5244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noWrap w:val="0"/>
            <w:vAlign w:val="center"/>
          </w:tcPr>
          <w:p w14:paraId="4DC49B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稳步推进生活垃圾分类</w:t>
            </w:r>
          </w:p>
        </w:tc>
        <w:tc>
          <w:tcPr>
            <w:tcW w:w="1311" w:type="dxa"/>
            <w:noWrap w:val="0"/>
            <w:vAlign w:val="center"/>
          </w:tcPr>
          <w:p w14:paraId="3A2A97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举办“垃圾分类宣传周”、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一次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垃圾分类达人演讲比赛</w:t>
            </w: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526059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举办“垃圾分类宣传周”、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一次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垃圾分类达人演讲比赛</w:t>
            </w:r>
          </w:p>
        </w:tc>
        <w:tc>
          <w:tcPr>
            <w:tcW w:w="716" w:type="dxa"/>
            <w:noWrap w:val="0"/>
            <w:vAlign w:val="center"/>
          </w:tcPr>
          <w:p w14:paraId="28F74C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noWrap w:val="0"/>
            <w:vAlign w:val="center"/>
          </w:tcPr>
          <w:p w14:paraId="6A7FA0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46" w:type="dxa"/>
            <w:noWrap w:val="0"/>
            <w:vAlign w:val="center"/>
          </w:tcPr>
          <w:p w14:paraId="692FB0B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B55E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D2F69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99039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noWrap w:val="0"/>
            <w:vAlign w:val="center"/>
          </w:tcPr>
          <w:p w14:paraId="4A2509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noWrap w:val="0"/>
            <w:vAlign w:val="center"/>
          </w:tcPr>
          <w:p w14:paraId="791A47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开展餐饮油烟管控</w:t>
            </w:r>
          </w:p>
        </w:tc>
        <w:tc>
          <w:tcPr>
            <w:tcW w:w="1311" w:type="dxa"/>
            <w:noWrap w:val="0"/>
            <w:vAlign w:val="center"/>
          </w:tcPr>
          <w:p w14:paraId="16E94C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新购置油烟检测仪8台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开展专项整治行动46次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取缔违规露天烧烤摊点30处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查处露天熏制行为97起</w:t>
            </w: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77891D5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新购置油烟检测仪8台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开展专项整治行动46次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取缔违规露天烧烤摊点30处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查处露天熏制行为97起</w:t>
            </w:r>
          </w:p>
        </w:tc>
        <w:tc>
          <w:tcPr>
            <w:tcW w:w="716" w:type="dxa"/>
            <w:noWrap w:val="0"/>
            <w:vAlign w:val="center"/>
          </w:tcPr>
          <w:p w14:paraId="0BE7FC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noWrap w:val="0"/>
            <w:vAlign w:val="center"/>
          </w:tcPr>
          <w:p w14:paraId="242564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46" w:type="dxa"/>
            <w:noWrap w:val="0"/>
            <w:vAlign w:val="center"/>
          </w:tcPr>
          <w:p w14:paraId="61F124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721F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35B4C2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7B70E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noWrap w:val="0"/>
            <w:vAlign w:val="center"/>
          </w:tcPr>
          <w:p w14:paraId="50A796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noWrap w:val="0"/>
            <w:vAlign w:val="center"/>
          </w:tcPr>
          <w:p w14:paraId="336DC4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提质改造景观亮化</w:t>
            </w:r>
          </w:p>
        </w:tc>
        <w:tc>
          <w:tcPr>
            <w:tcW w:w="1311" w:type="dxa"/>
            <w:noWrap w:val="0"/>
            <w:vAlign w:val="center"/>
          </w:tcPr>
          <w:p w14:paraId="1AD948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完成36处景观照明提质改造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；建设显示面积达500平方米的裸眼3D屏</w:t>
            </w: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4EB603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完成36处景观照明提质改造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；建设显示面积达500平方米的裸眼3D屏</w:t>
            </w:r>
          </w:p>
        </w:tc>
        <w:tc>
          <w:tcPr>
            <w:tcW w:w="716" w:type="dxa"/>
            <w:noWrap w:val="0"/>
            <w:vAlign w:val="center"/>
          </w:tcPr>
          <w:p w14:paraId="014BE2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noWrap w:val="0"/>
            <w:vAlign w:val="center"/>
          </w:tcPr>
          <w:p w14:paraId="65D391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46" w:type="dxa"/>
            <w:noWrap w:val="0"/>
            <w:vAlign w:val="center"/>
          </w:tcPr>
          <w:p w14:paraId="5FF969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F236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A1DA3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B0BD3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restart"/>
            <w:noWrap w:val="0"/>
            <w:vAlign w:val="center"/>
          </w:tcPr>
          <w:p w14:paraId="75FA04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70" w:type="dxa"/>
            <w:noWrap w:val="0"/>
            <w:vAlign w:val="center"/>
          </w:tcPr>
          <w:p w14:paraId="701875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以高品质生态环境支撑城市管理高质量发展</w:t>
            </w:r>
          </w:p>
        </w:tc>
        <w:tc>
          <w:tcPr>
            <w:tcW w:w="1311" w:type="dxa"/>
            <w:noWrap w:val="0"/>
            <w:vAlign w:val="center"/>
          </w:tcPr>
          <w:p w14:paraId="577D30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确保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城市管理高质量发展</w:t>
            </w:r>
          </w:p>
        </w:tc>
        <w:tc>
          <w:tcPr>
            <w:tcW w:w="1269" w:type="dxa"/>
            <w:noWrap w:val="0"/>
            <w:vAlign w:val="center"/>
          </w:tcPr>
          <w:p w14:paraId="318372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城市管理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得以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高质量发展</w:t>
            </w:r>
          </w:p>
        </w:tc>
        <w:tc>
          <w:tcPr>
            <w:tcW w:w="716" w:type="dxa"/>
            <w:noWrap w:val="0"/>
            <w:vAlign w:val="center"/>
          </w:tcPr>
          <w:p w14:paraId="0FF0BC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71287A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446" w:type="dxa"/>
            <w:noWrap w:val="0"/>
            <w:vAlign w:val="center"/>
          </w:tcPr>
          <w:p w14:paraId="19FA6D5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411C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EDD27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28C10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noWrap w:val="0"/>
            <w:vAlign w:val="center"/>
          </w:tcPr>
          <w:p w14:paraId="115DED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noWrap w:val="0"/>
            <w:vAlign w:val="center"/>
          </w:tcPr>
          <w:p w14:paraId="28E56C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市中心城区大型垃圾中转站高效运转</w:t>
            </w:r>
          </w:p>
        </w:tc>
        <w:tc>
          <w:tcPr>
            <w:tcW w:w="1311" w:type="dxa"/>
            <w:noWrap w:val="0"/>
            <w:vAlign w:val="center"/>
          </w:tcPr>
          <w:p w14:paraId="1CE2EF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实现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高效运转</w:t>
            </w:r>
          </w:p>
        </w:tc>
        <w:tc>
          <w:tcPr>
            <w:tcW w:w="1269" w:type="dxa"/>
            <w:noWrap w:val="0"/>
            <w:vAlign w:val="center"/>
          </w:tcPr>
          <w:p w14:paraId="5E7D81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实现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高效运转</w:t>
            </w:r>
          </w:p>
        </w:tc>
        <w:tc>
          <w:tcPr>
            <w:tcW w:w="716" w:type="dxa"/>
            <w:noWrap w:val="0"/>
            <w:vAlign w:val="center"/>
          </w:tcPr>
          <w:p w14:paraId="0DFF64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2A81C7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446" w:type="dxa"/>
            <w:noWrap w:val="0"/>
            <w:vAlign w:val="center"/>
          </w:tcPr>
          <w:p w14:paraId="5710DD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6A2E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28C43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409F4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noWrap w:val="0"/>
            <w:vAlign w:val="center"/>
          </w:tcPr>
          <w:p w14:paraId="4598B1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noWrap w:val="0"/>
            <w:vAlign w:val="center"/>
          </w:tcPr>
          <w:p w14:paraId="4D2CD9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照明管护更加精细</w:t>
            </w:r>
          </w:p>
        </w:tc>
        <w:tc>
          <w:tcPr>
            <w:tcW w:w="1311" w:type="dxa"/>
            <w:noWrap w:val="0"/>
            <w:vAlign w:val="center"/>
          </w:tcPr>
          <w:p w14:paraId="4DEE661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提升精细化程度</w:t>
            </w:r>
          </w:p>
        </w:tc>
        <w:tc>
          <w:tcPr>
            <w:tcW w:w="1269" w:type="dxa"/>
            <w:noWrap w:val="0"/>
            <w:vAlign w:val="center"/>
          </w:tcPr>
          <w:p w14:paraId="642E08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提升精细化程度</w:t>
            </w:r>
          </w:p>
        </w:tc>
        <w:tc>
          <w:tcPr>
            <w:tcW w:w="716" w:type="dxa"/>
            <w:noWrap w:val="0"/>
            <w:vAlign w:val="center"/>
          </w:tcPr>
          <w:p w14:paraId="6ACFA49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6DC11E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446" w:type="dxa"/>
            <w:noWrap w:val="0"/>
            <w:vAlign w:val="center"/>
          </w:tcPr>
          <w:p w14:paraId="22DBA4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924E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03D60B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9AA2E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noWrap w:val="0"/>
            <w:vAlign w:val="center"/>
          </w:tcPr>
          <w:p w14:paraId="329916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noWrap w:val="0"/>
            <w:vAlign w:val="center"/>
          </w:tcPr>
          <w:p w14:paraId="4451F44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市政设施更加完善</w:t>
            </w:r>
          </w:p>
        </w:tc>
        <w:tc>
          <w:tcPr>
            <w:tcW w:w="1311" w:type="dxa"/>
            <w:noWrap w:val="0"/>
            <w:vAlign w:val="center"/>
          </w:tcPr>
          <w:p w14:paraId="773373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完善市政设施</w:t>
            </w:r>
          </w:p>
        </w:tc>
        <w:tc>
          <w:tcPr>
            <w:tcW w:w="1269" w:type="dxa"/>
            <w:noWrap w:val="0"/>
            <w:vAlign w:val="center"/>
          </w:tcPr>
          <w:p w14:paraId="34676B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市政设施得以完善</w:t>
            </w:r>
          </w:p>
        </w:tc>
        <w:tc>
          <w:tcPr>
            <w:tcW w:w="716" w:type="dxa"/>
            <w:noWrap w:val="0"/>
            <w:vAlign w:val="center"/>
          </w:tcPr>
          <w:p w14:paraId="171DFD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4E6456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446" w:type="dxa"/>
            <w:noWrap w:val="0"/>
            <w:vAlign w:val="center"/>
          </w:tcPr>
          <w:p w14:paraId="463629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9366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DDA73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9CB9FD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restart"/>
            <w:noWrap w:val="0"/>
            <w:vAlign w:val="center"/>
          </w:tcPr>
          <w:p w14:paraId="1D1227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70" w:type="dxa"/>
            <w:noWrap w:val="0"/>
            <w:vAlign w:val="center"/>
          </w:tcPr>
          <w:p w14:paraId="405659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统筹做好城区防洪排涝工作</w:t>
            </w:r>
          </w:p>
        </w:tc>
        <w:tc>
          <w:tcPr>
            <w:tcW w:w="1311" w:type="dxa"/>
            <w:noWrap w:val="0"/>
            <w:vAlign w:val="center"/>
          </w:tcPr>
          <w:p w14:paraId="4A3993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依托市智慧城管平台实行24小时监控和调度</w:t>
            </w:r>
          </w:p>
        </w:tc>
        <w:tc>
          <w:tcPr>
            <w:tcW w:w="1269" w:type="dxa"/>
            <w:noWrap w:val="0"/>
            <w:vAlign w:val="center"/>
          </w:tcPr>
          <w:p w14:paraId="44B207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依托市智慧城管平台实行24小时监控和调度</w:t>
            </w:r>
          </w:p>
        </w:tc>
        <w:tc>
          <w:tcPr>
            <w:tcW w:w="716" w:type="dxa"/>
            <w:noWrap w:val="0"/>
            <w:vAlign w:val="center"/>
          </w:tcPr>
          <w:p w14:paraId="14CDCE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873" w:type="dxa"/>
            <w:noWrap w:val="0"/>
            <w:vAlign w:val="center"/>
          </w:tcPr>
          <w:p w14:paraId="601DEF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446" w:type="dxa"/>
            <w:noWrap w:val="0"/>
            <w:vAlign w:val="center"/>
          </w:tcPr>
          <w:p w14:paraId="4B4A9C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F2F5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CD45E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CC89C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noWrap w:val="0"/>
            <w:vAlign w:val="center"/>
          </w:tcPr>
          <w:p w14:paraId="4D18CA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noWrap w:val="0"/>
            <w:vAlign w:val="center"/>
          </w:tcPr>
          <w:p w14:paraId="65B0BC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做实做细信访维稳各项工作</w:t>
            </w:r>
          </w:p>
        </w:tc>
        <w:tc>
          <w:tcPr>
            <w:tcW w:w="1311" w:type="dxa"/>
            <w:noWrap w:val="0"/>
            <w:vAlign w:val="center"/>
          </w:tcPr>
          <w:p w14:paraId="056EAAC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信访事项及时办理</w:t>
            </w:r>
          </w:p>
        </w:tc>
        <w:tc>
          <w:tcPr>
            <w:tcW w:w="1269" w:type="dxa"/>
            <w:noWrap w:val="0"/>
            <w:vAlign w:val="center"/>
          </w:tcPr>
          <w:p w14:paraId="731A2B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信访事项均得到及时办理</w:t>
            </w:r>
          </w:p>
        </w:tc>
        <w:tc>
          <w:tcPr>
            <w:tcW w:w="716" w:type="dxa"/>
            <w:noWrap w:val="0"/>
            <w:vAlign w:val="center"/>
          </w:tcPr>
          <w:p w14:paraId="5A7D97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873" w:type="dxa"/>
            <w:noWrap w:val="0"/>
            <w:vAlign w:val="center"/>
          </w:tcPr>
          <w:p w14:paraId="275CD1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446" w:type="dxa"/>
            <w:noWrap w:val="0"/>
            <w:vAlign w:val="center"/>
          </w:tcPr>
          <w:p w14:paraId="2BEFF1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BFCD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4241A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B7AF7E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restart"/>
            <w:noWrap w:val="0"/>
            <w:vAlign w:val="center"/>
          </w:tcPr>
          <w:p w14:paraId="395FEB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70" w:type="dxa"/>
            <w:noWrap w:val="0"/>
            <w:vAlign w:val="center"/>
          </w:tcPr>
          <w:p w14:paraId="1E2DFFB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控制在预算内</w:t>
            </w:r>
          </w:p>
        </w:tc>
        <w:tc>
          <w:tcPr>
            <w:tcW w:w="1311" w:type="dxa"/>
            <w:noWrap w:val="0"/>
            <w:vAlign w:val="center"/>
          </w:tcPr>
          <w:p w14:paraId="18B597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不超过预算金额</w:t>
            </w:r>
          </w:p>
        </w:tc>
        <w:tc>
          <w:tcPr>
            <w:tcW w:w="1269" w:type="dxa"/>
            <w:noWrap w:val="0"/>
            <w:vAlign w:val="center"/>
          </w:tcPr>
          <w:p w14:paraId="3B938D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未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超过预算金额</w:t>
            </w:r>
          </w:p>
        </w:tc>
        <w:tc>
          <w:tcPr>
            <w:tcW w:w="716" w:type="dxa"/>
            <w:noWrap w:val="0"/>
            <w:vAlign w:val="center"/>
          </w:tcPr>
          <w:p w14:paraId="6AB5A1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5D66D1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46" w:type="dxa"/>
            <w:noWrap w:val="0"/>
            <w:vAlign w:val="center"/>
          </w:tcPr>
          <w:p w14:paraId="16D058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76B4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B2D6D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6AD50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noWrap w:val="0"/>
            <w:vAlign w:val="center"/>
          </w:tcPr>
          <w:p w14:paraId="06C9059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noWrap w:val="0"/>
            <w:vAlign w:val="center"/>
          </w:tcPr>
          <w:p w14:paraId="5EAEA3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对社会发展可能造成的负面影响</w:t>
            </w:r>
          </w:p>
        </w:tc>
        <w:tc>
          <w:tcPr>
            <w:tcW w:w="1311" w:type="dxa"/>
            <w:noWrap w:val="0"/>
            <w:vAlign w:val="center"/>
          </w:tcPr>
          <w:p w14:paraId="09E859B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无负面影响</w:t>
            </w:r>
          </w:p>
        </w:tc>
        <w:tc>
          <w:tcPr>
            <w:tcW w:w="1269" w:type="dxa"/>
            <w:noWrap w:val="0"/>
            <w:vAlign w:val="center"/>
          </w:tcPr>
          <w:p w14:paraId="45399F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无负面影响</w:t>
            </w:r>
          </w:p>
        </w:tc>
        <w:tc>
          <w:tcPr>
            <w:tcW w:w="716" w:type="dxa"/>
            <w:noWrap w:val="0"/>
            <w:vAlign w:val="center"/>
          </w:tcPr>
          <w:p w14:paraId="364BAE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32700D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46" w:type="dxa"/>
            <w:noWrap w:val="0"/>
            <w:vAlign w:val="center"/>
          </w:tcPr>
          <w:p w14:paraId="4DEF5C7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5DFF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924C48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1088EE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noWrap w:val="0"/>
            <w:vAlign w:val="center"/>
          </w:tcPr>
          <w:p w14:paraId="1BCCEE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noWrap w:val="0"/>
            <w:vAlign w:val="center"/>
          </w:tcPr>
          <w:p w14:paraId="3C0837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对自然环境可能造成的负面影响</w:t>
            </w:r>
          </w:p>
        </w:tc>
        <w:tc>
          <w:tcPr>
            <w:tcW w:w="1311" w:type="dxa"/>
            <w:noWrap w:val="0"/>
            <w:vAlign w:val="center"/>
          </w:tcPr>
          <w:p w14:paraId="2ED51A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无负面影响</w:t>
            </w:r>
          </w:p>
        </w:tc>
        <w:tc>
          <w:tcPr>
            <w:tcW w:w="1269" w:type="dxa"/>
            <w:noWrap w:val="0"/>
            <w:vAlign w:val="center"/>
          </w:tcPr>
          <w:p w14:paraId="2C06FC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无负面影响</w:t>
            </w:r>
          </w:p>
        </w:tc>
        <w:tc>
          <w:tcPr>
            <w:tcW w:w="716" w:type="dxa"/>
            <w:noWrap w:val="0"/>
            <w:vAlign w:val="center"/>
          </w:tcPr>
          <w:p w14:paraId="3639E4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759B6B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46" w:type="dxa"/>
            <w:noWrap w:val="0"/>
            <w:vAlign w:val="center"/>
          </w:tcPr>
          <w:p w14:paraId="61FE7D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4E76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DB8B1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108290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1413FF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2BC49C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3B1B96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34" w:type="dxa"/>
            <w:noWrap w:val="0"/>
            <w:vAlign w:val="center"/>
          </w:tcPr>
          <w:p w14:paraId="446E73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4D4A85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70" w:type="dxa"/>
            <w:noWrap w:val="0"/>
            <w:vAlign w:val="center"/>
          </w:tcPr>
          <w:p w14:paraId="301A0CB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管理到位，节约财政资金，产生间接经济效益。</w:t>
            </w:r>
          </w:p>
        </w:tc>
        <w:tc>
          <w:tcPr>
            <w:tcW w:w="1311" w:type="dxa"/>
            <w:noWrap w:val="0"/>
            <w:vAlign w:val="center"/>
          </w:tcPr>
          <w:p w14:paraId="129BB1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产生间接经济效益</w:t>
            </w:r>
          </w:p>
        </w:tc>
        <w:tc>
          <w:tcPr>
            <w:tcW w:w="1269" w:type="dxa"/>
            <w:noWrap w:val="0"/>
            <w:vAlign w:val="center"/>
          </w:tcPr>
          <w:p w14:paraId="4707188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产生间接经济效益</w:t>
            </w:r>
          </w:p>
        </w:tc>
        <w:tc>
          <w:tcPr>
            <w:tcW w:w="716" w:type="dxa"/>
            <w:noWrap w:val="0"/>
            <w:vAlign w:val="center"/>
          </w:tcPr>
          <w:p w14:paraId="675B6B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873" w:type="dxa"/>
            <w:noWrap w:val="0"/>
            <w:vAlign w:val="center"/>
          </w:tcPr>
          <w:p w14:paraId="0400BF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1446" w:type="dxa"/>
            <w:noWrap w:val="0"/>
            <w:vAlign w:val="center"/>
          </w:tcPr>
          <w:p w14:paraId="3E8278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BDED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E6CC4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70122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restart"/>
            <w:noWrap w:val="0"/>
            <w:vAlign w:val="center"/>
          </w:tcPr>
          <w:p w14:paraId="06BAE6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71E4F8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70" w:type="dxa"/>
            <w:noWrap w:val="0"/>
            <w:vAlign w:val="center"/>
          </w:tcPr>
          <w:p w14:paraId="3BA257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以举办旅发大会为契机，聚力完善城市功能配套</w:t>
            </w:r>
          </w:p>
        </w:tc>
        <w:tc>
          <w:tcPr>
            <w:tcW w:w="1311" w:type="dxa"/>
            <w:noWrap w:val="0"/>
            <w:vAlign w:val="center"/>
          </w:tcPr>
          <w:p w14:paraId="6A7789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实现硬件设施与服务质量双提升</w:t>
            </w:r>
          </w:p>
        </w:tc>
        <w:tc>
          <w:tcPr>
            <w:tcW w:w="1269" w:type="dxa"/>
            <w:noWrap w:val="0"/>
            <w:vAlign w:val="center"/>
          </w:tcPr>
          <w:p w14:paraId="1127D4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实现硬件设施与服务质量双提升</w:t>
            </w:r>
          </w:p>
        </w:tc>
        <w:tc>
          <w:tcPr>
            <w:tcW w:w="716" w:type="dxa"/>
            <w:noWrap w:val="0"/>
            <w:vAlign w:val="center"/>
          </w:tcPr>
          <w:p w14:paraId="013556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6C93D4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446" w:type="dxa"/>
            <w:noWrap w:val="0"/>
            <w:vAlign w:val="center"/>
          </w:tcPr>
          <w:p w14:paraId="4C1B633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BDE7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FF7B3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874B6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noWrap w:val="0"/>
            <w:vAlign w:val="center"/>
          </w:tcPr>
          <w:p w14:paraId="4DD574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noWrap w:val="0"/>
            <w:vAlign w:val="center"/>
          </w:tcPr>
          <w:p w14:paraId="3F9DF9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持续开展“城管进社区”活动，提升社区人居环境</w:t>
            </w:r>
          </w:p>
        </w:tc>
        <w:tc>
          <w:tcPr>
            <w:tcW w:w="1311" w:type="dxa"/>
            <w:noWrap w:val="0"/>
            <w:vAlign w:val="center"/>
          </w:tcPr>
          <w:p w14:paraId="7F5861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提升社区人居环境</w:t>
            </w:r>
          </w:p>
        </w:tc>
        <w:tc>
          <w:tcPr>
            <w:tcW w:w="1269" w:type="dxa"/>
            <w:noWrap w:val="0"/>
            <w:vAlign w:val="center"/>
          </w:tcPr>
          <w:p w14:paraId="2F6323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提升了社区人居环境</w:t>
            </w:r>
          </w:p>
        </w:tc>
        <w:tc>
          <w:tcPr>
            <w:tcW w:w="716" w:type="dxa"/>
            <w:noWrap w:val="0"/>
            <w:vAlign w:val="center"/>
          </w:tcPr>
          <w:p w14:paraId="6A12F0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7A289E3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446" w:type="dxa"/>
            <w:noWrap w:val="0"/>
            <w:vAlign w:val="center"/>
          </w:tcPr>
          <w:p w14:paraId="765D46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7080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AB889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4718B1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noWrap w:val="0"/>
            <w:vAlign w:val="center"/>
          </w:tcPr>
          <w:p w14:paraId="59B5E35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noWrap w:val="0"/>
            <w:vAlign w:val="center"/>
          </w:tcPr>
          <w:p w14:paraId="1A5B11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持续完善城管行政审批流程</w:t>
            </w:r>
          </w:p>
        </w:tc>
        <w:tc>
          <w:tcPr>
            <w:tcW w:w="1311" w:type="dxa"/>
            <w:noWrap w:val="0"/>
            <w:vAlign w:val="center"/>
          </w:tcPr>
          <w:p w14:paraId="23115F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优化岳阳营商环境</w:t>
            </w:r>
          </w:p>
        </w:tc>
        <w:tc>
          <w:tcPr>
            <w:tcW w:w="1269" w:type="dxa"/>
            <w:noWrap w:val="0"/>
            <w:vAlign w:val="center"/>
          </w:tcPr>
          <w:p w14:paraId="37FC1B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有力优化了岳阳营商环境</w:t>
            </w:r>
          </w:p>
        </w:tc>
        <w:tc>
          <w:tcPr>
            <w:tcW w:w="716" w:type="dxa"/>
            <w:noWrap w:val="0"/>
            <w:vAlign w:val="center"/>
          </w:tcPr>
          <w:p w14:paraId="281E93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7B23FB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446" w:type="dxa"/>
            <w:noWrap w:val="0"/>
            <w:vAlign w:val="center"/>
          </w:tcPr>
          <w:p w14:paraId="59E997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7F7F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1BE0F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91CA2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1AA113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1A0972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70" w:type="dxa"/>
            <w:noWrap w:val="0"/>
            <w:vAlign w:val="center"/>
          </w:tcPr>
          <w:p w14:paraId="6291DEC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园林绿化更加优美</w:t>
            </w:r>
          </w:p>
        </w:tc>
        <w:tc>
          <w:tcPr>
            <w:tcW w:w="1311" w:type="dxa"/>
            <w:shd w:val="clear" w:color="auto" w:fill="auto"/>
            <w:noWrap w:val="0"/>
            <w:vAlign w:val="center"/>
          </w:tcPr>
          <w:p w14:paraId="26B78B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提升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生态环境　</w:t>
            </w: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2060EAE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有效提升生态环境</w:t>
            </w:r>
          </w:p>
        </w:tc>
        <w:tc>
          <w:tcPr>
            <w:tcW w:w="716" w:type="dxa"/>
            <w:noWrap w:val="0"/>
            <w:vAlign w:val="center"/>
          </w:tcPr>
          <w:p w14:paraId="09AF593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873" w:type="dxa"/>
            <w:noWrap w:val="0"/>
            <w:vAlign w:val="center"/>
          </w:tcPr>
          <w:p w14:paraId="6C9107C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1446" w:type="dxa"/>
            <w:noWrap w:val="0"/>
            <w:vAlign w:val="center"/>
          </w:tcPr>
          <w:p w14:paraId="5F46C5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058B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01FF9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90F07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244F97D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70" w:type="dxa"/>
            <w:noWrap w:val="0"/>
            <w:vAlign w:val="center"/>
          </w:tcPr>
          <w:p w14:paraId="64FE25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努力把岳阳管理成干干净净、整整齐齐、清清爽爽的城市</w:t>
            </w:r>
          </w:p>
        </w:tc>
        <w:tc>
          <w:tcPr>
            <w:tcW w:w="1311" w:type="dxa"/>
            <w:noWrap w:val="0"/>
            <w:vAlign w:val="center"/>
          </w:tcPr>
          <w:p w14:paraId="224529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有可持续影响</w:t>
            </w:r>
          </w:p>
        </w:tc>
        <w:tc>
          <w:tcPr>
            <w:tcW w:w="1269" w:type="dxa"/>
            <w:noWrap w:val="0"/>
            <w:vAlign w:val="center"/>
          </w:tcPr>
          <w:p w14:paraId="5595C52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具有可持续影响</w:t>
            </w:r>
          </w:p>
        </w:tc>
        <w:tc>
          <w:tcPr>
            <w:tcW w:w="716" w:type="dxa"/>
            <w:noWrap w:val="0"/>
            <w:vAlign w:val="center"/>
          </w:tcPr>
          <w:p w14:paraId="272C31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873" w:type="dxa"/>
            <w:noWrap w:val="0"/>
            <w:vAlign w:val="center"/>
          </w:tcPr>
          <w:p w14:paraId="5008A2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1446" w:type="dxa"/>
            <w:noWrap w:val="0"/>
            <w:vAlign w:val="center"/>
          </w:tcPr>
          <w:p w14:paraId="7FF6C45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0D9E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DA79E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DF289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080930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1AFB19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34" w:type="dxa"/>
            <w:noWrap w:val="0"/>
            <w:vAlign w:val="center"/>
          </w:tcPr>
          <w:p w14:paraId="7B64A5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70" w:type="dxa"/>
            <w:noWrap w:val="0"/>
            <w:vAlign w:val="center"/>
          </w:tcPr>
          <w:p w14:paraId="1B3DA0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群众满意度</w:t>
            </w:r>
          </w:p>
        </w:tc>
        <w:tc>
          <w:tcPr>
            <w:tcW w:w="1311" w:type="dxa"/>
            <w:noWrap w:val="0"/>
            <w:vAlign w:val="center"/>
          </w:tcPr>
          <w:p w14:paraId="2479F7C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≥95%</w:t>
            </w:r>
          </w:p>
        </w:tc>
        <w:tc>
          <w:tcPr>
            <w:tcW w:w="1269" w:type="dxa"/>
            <w:noWrap w:val="0"/>
            <w:vAlign w:val="center"/>
          </w:tcPr>
          <w:p w14:paraId="3F4E77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631165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6A58B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46" w:type="dxa"/>
            <w:noWrap w:val="0"/>
            <w:vAlign w:val="center"/>
          </w:tcPr>
          <w:p w14:paraId="622A51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0B27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44" w:type="dxa"/>
            <w:gridSpan w:val="6"/>
            <w:noWrap w:val="0"/>
            <w:vAlign w:val="center"/>
          </w:tcPr>
          <w:p w14:paraId="27EC13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716" w:type="dxa"/>
            <w:noWrap w:val="0"/>
            <w:vAlign w:val="center"/>
          </w:tcPr>
          <w:p w14:paraId="546402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3414A4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99.16</w:t>
            </w:r>
          </w:p>
        </w:tc>
        <w:tc>
          <w:tcPr>
            <w:tcW w:w="1446" w:type="dxa"/>
            <w:noWrap w:val="0"/>
            <w:vAlign w:val="center"/>
          </w:tcPr>
          <w:p w14:paraId="050A50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233ECACC"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填报日期：         联系电话：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单位负责人签字：</w:t>
      </w:r>
    </w:p>
    <w:p w14:paraId="16FA7010">
      <w:r>
        <w:br w:type="page"/>
      </w:r>
    </w:p>
    <w:p w14:paraId="5EE727A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3-1</w:t>
      </w:r>
    </w:p>
    <w:p w14:paraId="4182F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6CF23A0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9"/>
        <w:tblW w:w="98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716"/>
        <w:gridCol w:w="1140"/>
        <w:gridCol w:w="1380"/>
        <w:gridCol w:w="645"/>
        <w:gridCol w:w="735"/>
        <w:gridCol w:w="995"/>
      </w:tblGrid>
      <w:tr w14:paraId="2F731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50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42992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ED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日常工作经费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5A7C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48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50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F9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281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23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8D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岳阳市城市管理和综合执法局</w:t>
            </w:r>
          </w:p>
        </w:tc>
      </w:tr>
      <w:tr w14:paraId="74B8E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AEA6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C1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17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6797E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BD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1542F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3F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33D38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F8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D7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C5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64725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DC4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D3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FD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125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B9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125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44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123.72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47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4A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B7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7D83B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13AF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E7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A15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125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1F1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125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546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123.72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D4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5B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80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C788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49F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67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39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27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0F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3B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E9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34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2936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40E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FF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DA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51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59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BC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45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75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1F5A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F955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50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C9F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37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F0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73F22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DC9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0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D7B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市中心城区建成区垃圾收运比例达到100%，全市城镇已收运生活垃圾无害化处理率达到100%。2.市中心城区无破损、陈旧、存在安全隐患的户外广告，无未经审批设立的户外广告。3.完成《岳阳市地下管线管理条例》的立法调研，形成调研报告。4.开展安全宣传教育培训活动，组织安全技能比赛，开展安全隐患排查；组织应急预案演练；举办特色活动。5.全面规范燃气工程建设管理，认真抓好燃气隐患排查治理，继续开展燃气安全专项整治，提升燃气事故应急处置水平，抓好燃气做作业人员培训教育。6.城市管理工作得到广大市民的理解和支持，形成城市共治共享的良好氛围，进一步提升城管形象。7.负责城管行政执法、风景园林、卫生、市政道路、城市路灯、城市燃气、渣土道路破占、户外广告、城区限炮、火车站广场、高铁站广场等行政执法工作。8.广泛开展禁炮宣传，营造浓厚的禁炮氛围，在新闻媒体上广泛宣传、向市民群众广泛宣传、向市民群众群发禁炮短信、组织车队巡回宣传、电子屏播放禁炮公益广告等。9.提升道路通行质量，使市民走得通畅、走得安全。主要工作是督促相关部门加强城区道路日常维护、人行道提质改造、排水管道清淤、窨井设施维修等。</w:t>
            </w:r>
          </w:p>
        </w:tc>
        <w:tc>
          <w:tcPr>
            <w:tcW w:w="37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43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市中心城区建成区垃圾收运比例达到100%，全市城镇已收运生活垃圾无害化处理率达到100%。2.确保了城区无破损、陈旧、存在安全隐患的户外广告，无未经审批设立的户外广告。3.完成了《岳阳市地下管线管理条例》的立法调研，形成调研报告。4.开展了两次安全宣传教育培训活动，组织了一次安全技能比赛，开展了4次全隐患排查。5.积极开展了燃气隐患排查治理和燃气安全专项整治。6.城市管理工作得到了广大市民的理解和支持，形成了城市共治共享的良好氛围，进一步提升了城管形象。7.负责城管行政执法、风景园林、卫生、市政道路、城市路灯、城市燃气、渣土道路破占、户外广告、城区限炮、火车站广场、高铁站广场等行政执法工作。8.进行了一次禁炮宣传，完成了新闻媒体宣传、向市民群众群发禁炮短信、组织车队巡回宣传、电子屏播放禁炮公益广告等工作。9.积极督促相关部门加强城区道路日常维护、人行道提质改造、排水管道清淤、窨井设施维修等。</w:t>
            </w:r>
          </w:p>
        </w:tc>
      </w:tr>
      <w:tr w14:paraId="5D90B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9D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03C55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1FDE8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6496B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8A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D4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DF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6F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15EFC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B8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010D3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FC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96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A1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3F5E8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6D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415F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45D76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7F1C1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1B46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EE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开展安全宣传教育培训活动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FD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2次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3C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2次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52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C7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EA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FAE4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BD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056E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090E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79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组织安全技能比赛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B5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1次/100人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6C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1次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1C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C4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B9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7972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87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D6BC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D789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63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开展安全隐患排查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9E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4次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18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4次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03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27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8A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AC6A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97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F0A1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F1DF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8C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组织应急预案演练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3C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1次/100人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CA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1次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A4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EB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3B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9C20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6D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FEB4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B5F4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9B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举办特色活动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84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1次/50人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F8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1次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49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3B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2B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317F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E3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A72E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6802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C7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禁止燃放烟花炮竹中心城区范围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49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全市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9B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全市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4E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2A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45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8B04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4E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5AB7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5679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ED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开展禁炮宣传媒体宣传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2C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报纸32次/年，电视台全年播放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67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32次/年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EE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B6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0B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0F1D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1B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A956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5638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89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向市民群发禁炮短信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CE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600000条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B0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600000条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9A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93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F9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E0A4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D4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16D1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E4A2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BF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配合城管支队禁炮执法、垃圾倾倒、户外违规广告牌、打击毁绿等专项整治行动。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C1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为期三个月，配合城管支队专项整治行动三次。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B1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三个月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E2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31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A2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AF17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44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8DF3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E7A1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61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协助燃气执法保障，打击偷盗气、破坏燃气管道专项行动。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0F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打击城市偷盗燃气现象。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1F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有力打击了城市偷盗燃气现象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6B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C6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7C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B6BC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4C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DB58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9684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11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完成整治区域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85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大型广告：全市中心城区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09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全市中心城区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08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E6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F0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7711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CB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95B1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9439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26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拆除户外广告数量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B3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400个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3F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400个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46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14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F4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D7D8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F3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549C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1830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70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开展燃气安全隐患专项整治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EE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1次／年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70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1次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F3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A4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78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98FC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AD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3238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D06A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FA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燃气隐患排查治理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93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50次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36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50次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28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CD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D0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778D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05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3B65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CF51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A7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燃气从业人员培训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CB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300人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BC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300人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6A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E8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33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7CB3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B8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8CC4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D2CE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71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发放城市管理各类宣传资料。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74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100000份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6B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100000份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D4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79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0F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709C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0A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C432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632E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9F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方位开展《中华人民共和国安全生产法》《岳阳市扬尘管理条例》《岳阳市燃气管理办法》《岳阳市绿线管理办法》《岳阳市生活垃圾分类管理办法》《岳阳市机动车停车条例》《岳阳市文明促进条例》等城市管理行业法律法规。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7C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24次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82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24次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C3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1C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53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4163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75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4D6D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2430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D0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 xml:space="preserve">签订立法服务合同；完成立法草案送审稿、起草说明、依据对照表、注释稿、相关参阅资料等 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27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共1套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B4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1套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34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3B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1A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5E6B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83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1647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22FA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CB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完成城区主要道路维护和管理。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08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7条道路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EA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7条道路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B6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69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66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C762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E6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91CA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5A47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9E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人行道海绵化提质改造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E8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3条人行道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B7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3条人行道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D8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25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B7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A7F5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49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DA89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7B75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59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窨井设施维修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FB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7处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67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7处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06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90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08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A6EC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AD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8109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22EA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6D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确保年度燃气稳定供应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E3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2.7亿立方米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29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2.7亿立方米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9B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6F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44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BBC5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76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9FB1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B889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E2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服务燃气用户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CB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157.16万户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1C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157.16万户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9C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B3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A7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0296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71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1706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BFC2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89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组织车队巡回宣传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B7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4台15天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72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4台15天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AF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55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0F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7F93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BA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EFE2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C6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22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完成地下管线管理的立法并报市政府常务会议审议通过后实施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F4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共1个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5C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共1个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86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75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C4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9699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17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2E4C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6FD06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A4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垃圾处理设施运行正常化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99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正常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CF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确保了正常运行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C0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59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38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DA82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BC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C084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13FE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F5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道路维护质量合格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7A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符合相关标准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28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符合相关标准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09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C8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68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ACB7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7C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8E88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661C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BB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人行道海绵化提质合格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B8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符合相关标准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76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符合相关标准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DB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BC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70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F93F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09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5CFF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B427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1B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损坏的窨井设施及时维修，质量合格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48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不发生安全事故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0A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未发生安全事故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5C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0D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5C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9854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BD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3C45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EDD8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BE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燃气安全事故预防效果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EF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全年不出现较大的燃气人员伤亡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D6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全年未出现较大的燃气人员伤亡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F3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72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59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8A16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32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AB73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4684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0D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燃气设施建设安全保障程度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30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燃气设施建设安全达标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83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燃气设施建设安全达标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DB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81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C4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357E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79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63AA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4041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9E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宣传工作覆盖率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40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02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B8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E7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B9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EA83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C6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8E10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FC53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63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执法水平提高程度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4C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秉公执法、文明执法、无较重大投诉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DD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秉公执法、文明执法、无较重大投诉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0B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87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5C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D865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2E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1241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5EEE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76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执法合规合法性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F2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不出现违规违法行为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BD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无违规违法行为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2B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D9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22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EA00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39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FAAD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782F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B1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通过相关部门验收合格率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62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DE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72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E1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D3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F181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B5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8C1E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997B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3D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无安全隐患户外广告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33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全年不出现安全事故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87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全年未出现安全事故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4C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05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F9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B0EC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3D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A1E6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566D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99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合规设立户外广告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85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均经相关审批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DE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均经相关审批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7C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CF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F8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0EE4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6B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523D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90D2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EB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重大活动保障率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2D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D7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55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4E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10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23A6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9F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BCFD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A995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C3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开展安全隐患排查整改率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55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95%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13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95%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4E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3E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F8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7AA3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EB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F06E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D337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06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无害化处理符合行业相关标准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CE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01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FA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A8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0F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8F48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3E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6F60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A9B0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05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污染物排放、气体排放符合环保标准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53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符合环保标准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62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符合环保标准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41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19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FC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D665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B0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029B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D6B0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6B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预防和控制事故发生效果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C1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比同期减少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14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比同期减少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D3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D5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A8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5608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47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DDDB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0E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EA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各个区基本无燃放烟花炮竹实施情况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EB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95%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34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95%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24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9B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FB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617C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6A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8FD0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5D65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A5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及时出警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FA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做到及时出警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95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完成及时出警要求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0C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B3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D4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759A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9A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AC48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E8EB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FC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及时完成工作任务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D0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全年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D2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全年及时完成工作任务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E5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A3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E4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67D3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D3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39C3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54C9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43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在规定的时间节点完成项目的立法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7A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在2025年年底之前完成立法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B6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在2025年年底之前初步完成立法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4E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2D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02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EEA5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98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5941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8C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70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按时完成城区主要道路的维护工作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55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按时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DE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已按时完成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7F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6B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14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542A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94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F9DD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137B5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CF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项目年支出金额不超过预算金额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8C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不超过125万元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6C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123.72万元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2C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27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6D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9935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BF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F620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1C6F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86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对社会发展可能造成的负面影响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33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45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84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38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F1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CA23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D2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6A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AF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F8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对自然生态环境造成负面影响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FA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82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60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6D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D3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795D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C1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35486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516CC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6274B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2F9EB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7C40A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32B91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6C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提高城镇、农村生活垃圾无害化处理水平，减少政府环境整治经费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FC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有效提高城乡生活垃圾无害化处理水平，减少了政府环境整治经费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4C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有效提高城乡生活垃圾无害化处理水平，减少了政府环境整治经费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C9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67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9A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C631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E8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BEA8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6E0D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6A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提升居民幸福指数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20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群众满意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65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有效提升了群众满意度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C5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4E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0F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A43A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E3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9843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2C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61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安全生产，减少损失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26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无直接经济效益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E4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无直接经济效益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5D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69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9A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EB10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34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B960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62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7AAE6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7D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增强市民群众对城市管理部门的认知，增强市民群众对城市管理工作的理解和支持。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89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有效增强市民群众对城市管理部门的认知、理解和支持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D9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有效增强了市民群众对城市管理部门的认知、理解和支持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76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5F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30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C259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35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22EC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E943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1DA2B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C5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防止空气污染，减少垃圾改善城市人居环境。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74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有效改善城市人居环境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98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有效改善了城市人居环境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9D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2D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AC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3246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1B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C225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BACB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AF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压实管线建设和管理单位责任，明确占道挖掘的审批程序和禁止挖掘道路的情形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0A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确保我市地下管线管理有法可依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2E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实现我市地下管线管理有法可依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B7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95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8F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0AD9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7B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7B95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D5A5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D4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美化城市居民生活环境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63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打造安全美丽岳阳道路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91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打造安全美丽岳阳道路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57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2D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22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25D0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00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0E63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7C7B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EA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社会文明程度提高，人人爱护环境、保护环境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09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社会文明程度提高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77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社会文明程度有所提高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5C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6B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B8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1751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06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E578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12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16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广告环境、社会环境、文化氛围更浓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08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广告环境、社会环境变得更加干净、整洁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03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广告环境、社会环境变得更加干净、整洁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B2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C9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2C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9665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D1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DA81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81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5B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进一步提高城市管理水平，确保城市管理执法工作顺利有序开展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66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有可持续影响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C7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有可持续影响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D9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CE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83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E326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75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852D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49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B0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持续性保持户外广告合规性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AA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有可持续影响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F1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有可持续影响</w:t>
            </w:r>
          </w:p>
        </w:tc>
        <w:tc>
          <w:tcPr>
            <w:tcW w:w="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50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A7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05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AFAD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7E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199B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B3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CC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提高市民安全、卫生意识，全民禁炮。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25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有可持续影响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38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有可持续影响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53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E3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AA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CB40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ED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8FD6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EF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DC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为畅通城市“生命线”、补齐城市建设短板、改善人居环境、提升城市品质提供法治保障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C6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制定专门规范城市地下管线管理的地方性法规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43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制定了专门规范城市地下管线管理的地方性法规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78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EC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E9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0193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FA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D1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43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AB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实行信息化管理，提高科技含量。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A1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安全、可持续性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16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具有安全、可持续性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6C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72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05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B7B2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81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DC10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06938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0FE1F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34409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F4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受益对象满意度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E9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≥95%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68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95%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82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25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10.00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9D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616D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327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C8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AD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2A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76A44F7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 w14:paraId="4E55FF4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18"/>
          <w:szCs w:val="18"/>
          <w:highlight w:val="none"/>
          <w:lang w:eastAsia="zh-CN"/>
        </w:rPr>
      </w:pPr>
    </w:p>
    <w:p w14:paraId="76A7E0EF"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联系电话：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单位负责人签字：</w:t>
      </w:r>
    </w:p>
    <w:p w14:paraId="1B573F12">
      <w:r>
        <w:br w:type="page"/>
      </w:r>
    </w:p>
    <w:p w14:paraId="06E112A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3-2</w:t>
      </w:r>
    </w:p>
    <w:p w14:paraId="4F9C258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9"/>
        <w:tblW w:w="98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25"/>
        <w:gridCol w:w="1095"/>
        <w:gridCol w:w="1860"/>
        <w:gridCol w:w="1065"/>
        <w:gridCol w:w="1185"/>
        <w:gridCol w:w="675"/>
        <w:gridCol w:w="915"/>
        <w:gridCol w:w="1130"/>
      </w:tblGrid>
      <w:tr w14:paraId="29C85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3A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7F739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68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非税执收经费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4C2C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A8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8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23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79A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27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99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城市管理和综合执法局</w:t>
            </w:r>
          </w:p>
        </w:tc>
      </w:tr>
      <w:tr w14:paraId="3D861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1075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9D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E8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年初预算数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33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全年预算数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C7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全年执行数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D9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A1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3F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1EA1B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802D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B3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FF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50.5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89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50.5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8D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61.68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57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756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112%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E6A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0A609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A5F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1E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7D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02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77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2C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69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21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EABB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F4AF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33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9D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18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22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88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C0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C9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303C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3A67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A0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D4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50.5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65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50.5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D0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61.68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96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AB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57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9FC2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3B92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8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563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39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A5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01340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D8B4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8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E64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保障局机关中心工作（城管秩序、环境卫生、园林绿化、市政设施维护、路灯、燃气、停车管理及渣土运输等日常管理工作）、主城区防汛排涝、渍水整治和其他重大城市管理工作任务顺利开展和完成。</w:t>
            </w:r>
          </w:p>
        </w:tc>
        <w:tc>
          <w:tcPr>
            <w:tcW w:w="39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AA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顺利保障了局机关工作（城管秩序、环境卫生、园林绿化、市政设施维护、路灯、燃气、停车管理及渣土运输等日常管理工作）、主城区防汛排涝、渍水整治和其他重大城市管理工作任务顺利开展和完成。</w:t>
            </w:r>
          </w:p>
        </w:tc>
      </w:tr>
      <w:tr w14:paraId="173F6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B7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4D40E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49B5A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7F91B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62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C6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C4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FE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1D3EF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73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39A1B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AE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4B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29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69403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5F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B4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产出指标(50分)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17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83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完成全年非税收入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F5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50.5万元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D8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61.68万元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C4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D7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7.00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27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E665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A1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0B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81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46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征收率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84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CA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B8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97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7.00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78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E882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4F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07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12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C6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年度内完成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84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2025/12/31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75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全年按时完成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02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7E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6.00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7C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A987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D6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20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2A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0A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按成本率核算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9E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按成本率核算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7E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按成本率核算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2F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BE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10.00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E0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C267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70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F1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4B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28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对社会发展可能造成的负面影响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C8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FD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10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9C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10.00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BA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35FF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56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62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E0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28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对自然环境可能造成的负面影响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2A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9F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A9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1F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10.00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6E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5897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AA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65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效益指标（30分）</w:t>
            </w:r>
          </w:p>
          <w:p w14:paraId="5BADD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AD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4721B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68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促进岳阳经济发展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3F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经济平稳发展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BB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经济平稳发展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DF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B0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7.00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58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F07A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8D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2F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FA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418C2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91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保障城市管理工作日常开展维护良好社会秩序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06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有所提升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AA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有所提升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EF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DB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7.00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02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4C07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53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85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1C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25B56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CF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生态居住环境改善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6C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有所改善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13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有所改善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7C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0C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8.00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CE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485C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E9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1C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9B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FE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保障非税收入上缴，保障城市管理工作任务顺利完成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7C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保障城管工作顺利完成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30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有效保障了城管工作顺利完成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20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39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8.00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BA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97B4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16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C4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5C3E1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0AE2E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10分）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CA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AC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服务对象满意度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AF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95%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BE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95%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12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DB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10.00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A3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B7C9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253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08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36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AC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275ECBD3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联系电话：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单位负责人签字：</w:t>
      </w:r>
    </w:p>
    <w:p w14:paraId="33E5A941">
      <w:pPr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br w:type="page"/>
      </w:r>
    </w:p>
    <w:p w14:paraId="0E0D2DF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3-3</w:t>
      </w:r>
    </w:p>
    <w:p w14:paraId="7F069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3D98A05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9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97"/>
        <w:gridCol w:w="1071"/>
        <w:gridCol w:w="879"/>
        <w:gridCol w:w="822"/>
        <w:gridCol w:w="1418"/>
      </w:tblGrid>
      <w:tr w14:paraId="51426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noWrap w:val="0"/>
            <w:vAlign w:val="center"/>
          </w:tcPr>
          <w:p w14:paraId="50CEE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4BFBF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 w14:paraId="20A1C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企业军转干部补助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D60F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noWrap w:val="0"/>
            <w:vAlign w:val="center"/>
          </w:tcPr>
          <w:p w14:paraId="75440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581" w:type="dxa"/>
            <w:gridSpan w:val="4"/>
            <w:noWrap w:val="0"/>
            <w:vAlign w:val="center"/>
          </w:tcPr>
          <w:p w14:paraId="2EC71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71" w:type="dxa"/>
            <w:noWrap w:val="0"/>
            <w:vAlign w:val="center"/>
          </w:tcPr>
          <w:p w14:paraId="5E107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 w14:paraId="5F161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岳阳市城市管理和综合执法局</w:t>
            </w:r>
          </w:p>
        </w:tc>
      </w:tr>
      <w:tr w14:paraId="589F0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3C0F4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 w14:paraId="77609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24" w:type="dxa"/>
            <w:noWrap w:val="0"/>
            <w:vAlign w:val="center"/>
          </w:tcPr>
          <w:p w14:paraId="14D50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19175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97" w:type="dxa"/>
            <w:noWrap w:val="0"/>
            <w:vAlign w:val="center"/>
          </w:tcPr>
          <w:p w14:paraId="26846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78C41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071" w:type="dxa"/>
            <w:noWrap w:val="0"/>
            <w:vAlign w:val="center"/>
          </w:tcPr>
          <w:p w14:paraId="0B493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0CDD7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879" w:type="dxa"/>
            <w:noWrap w:val="0"/>
            <w:vAlign w:val="center"/>
          </w:tcPr>
          <w:p w14:paraId="6DAAD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22" w:type="dxa"/>
            <w:noWrap w:val="0"/>
            <w:vAlign w:val="center"/>
          </w:tcPr>
          <w:p w14:paraId="62222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 w14:paraId="19E00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09767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55FE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447E2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224" w:type="dxa"/>
            <w:noWrap w:val="0"/>
            <w:vAlign w:val="center"/>
          </w:tcPr>
          <w:p w14:paraId="502CE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0.89</w:t>
            </w:r>
          </w:p>
        </w:tc>
        <w:tc>
          <w:tcPr>
            <w:tcW w:w="1197" w:type="dxa"/>
            <w:noWrap w:val="0"/>
            <w:vAlign w:val="center"/>
          </w:tcPr>
          <w:p w14:paraId="2CF57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0.89</w:t>
            </w:r>
          </w:p>
        </w:tc>
        <w:tc>
          <w:tcPr>
            <w:tcW w:w="1071" w:type="dxa"/>
            <w:noWrap w:val="0"/>
            <w:vAlign w:val="center"/>
          </w:tcPr>
          <w:p w14:paraId="492FA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0.89</w:t>
            </w:r>
          </w:p>
        </w:tc>
        <w:tc>
          <w:tcPr>
            <w:tcW w:w="879" w:type="dxa"/>
            <w:noWrap w:val="0"/>
            <w:vAlign w:val="center"/>
          </w:tcPr>
          <w:p w14:paraId="7EC76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10</w:t>
            </w:r>
          </w:p>
        </w:tc>
        <w:tc>
          <w:tcPr>
            <w:tcW w:w="822" w:type="dxa"/>
            <w:noWrap w:val="0"/>
            <w:vAlign w:val="center"/>
          </w:tcPr>
          <w:p w14:paraId="683F7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 w14:paraId="4AF5F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40090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DD10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5080B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224" w:type="dxa"/>
            <w:shd w:val="clear" w:color="auto" w:fill="auto"/>
            <w:noWrap w:val="0"/>
            <w:vAlign w:val="center"/>
          </w:tcPr>
          <w:p w14:paraId="4D78B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0.89</w:t>
            </w:r>
          </w:p>
        </w:tc>
        <w:tc>
          <w:tcPr>
            <w:tcW w:w="1197" w:type="dxa"/>
            <w:shd w:val="clear" w:color="auto" w:fill="auto"/>
            <w:noWrap w:val="0"/>
            <w:vAlign w:val="center"/>
          </w:tcPr>
          <w:p w14:paraId="74907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0.89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 w14:paraId="41066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0.89</w:t>
            </w:r>
          </w:p>
        </w:tc>
        <w:tc>
          <w:tcPr>
            <w:tcW w:w="879" w:type="dxa"/>
            <w:noWrap w:val="0"/>
            <w:vAlign w:val="center"/>
          </w:tcPr>
          <w:p w14:paraId="22BD7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2" w:type="dxa"/>
            <w:noWrap w:val="0"/>
            <w:vAlign w:val="center"/>
          </w:tcPr>
          <w:p w14:paraId="6B442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76C40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E7AA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1576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644BE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224" w:type="dxa"/>
            <w:noWrap w:val="0"/>
            <w:vAlign w:val="center"/>
          </w:tcPr>
          <w:p w14:paraId="209F7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97" w:type="dxa"/>
            <w:noWrap w:val="0"/>
            <w:vAlign w:val="center"/>
          </w:tcPr>
          <w:p w14:paraId="160A5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71" w:type="dxa"/>
            <w:noWrap w:val="0"/>
            <w:vAlign w:val="center"/>
          </w:tcPr>
          <w:p w14:paraId="2CC48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9" w:type="dxa"/>
            <w:noWrap w:val="0"/>
            <w:vAlign w:val="center"/>
          </w:tcPr>
          <w:p w14:paraId="79207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2" w:type="dxa"/>
            <w:noWrap w:val="0"/>
            <w:vAlign w:val="center"/>
          </w:tcPr>
          <w:p w14:paraId="6CF92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1B7B7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5453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0792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26A18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224" w:type="dxa"/>
            <w:noWrap w:val="0"/>
            <w:vAlign w:val="center"/>
          </w:tcPr>
          <w:p w14:paraId="69EC1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97" w:type="dxa"/>
            <w:noWrap w:val="0"/>
            <w:vAlign w:val="center"/>
          </w:tcPr>
          <w:p w14:paraId="16245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71" w:type="dxa"/>
            <w:noWrap w:val="0"/>
            <w:vAlign w:val="center"/>
          </w:tcPr>
          <w:p w14:paraId="61B8D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9" w:type="dxa"/>
            <w:noWrap w:val="0"/>
            <w:vAlign w:val="center"/>
          </w:tcPr>
          <w:p w14:paraId="4F6FC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2" w:type="dxa"/>
            <w:noWrap w:val="0"/>
            <w:vAlign w:val="center"/>
          </w:tcPr>
          <w:p w14:paraId="22F8A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5BA6B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86EB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116D3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581" w:type="dxa"/>
            <w:gridSpan w:val="4"/>
            <w:noWrap w:val="0"/>
            <w:vAlign w:val="center"/>
          </w:tcPr>
          <w:p w14:paraId="406FC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190" w:type="dxa"/>
            <w:gridSpan w:val="4"/>
            <w:noWrap w:val="0"/>
            <w:vAlign w:val="center"/>
          </w:tcPr>
          <w:p w14:paraId="5FFDF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22E11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8CFF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81" w:type="dxa"/>
            <w:gridSpan w:val="4"/>
            <w:noWrap w:val="0"/>
            <w:vAlign w:val="center"/>
          </w:tcPr>
          <w:p w14:paraId="07F3D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按社保科下达标准发放困难企业军转干部补助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　</w:t>
            </w:r>
          </w:p>
        </w:tc>
        <w:tc>
          <w:tcPr>
            <w:tcW w:w="4190" w:type="dxa"/>
            <w:gridSpan w:val="4"/>
            <w:noWrap w:val="0"/>
            <w:vAlign w:val="center"/>
          </w:tcPr>
          <w:p w14:paraId="1EDCD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按社保科下达标准完成困难企业军转干部补助发放工作</w:t>
            </w:r>
          </w:p>
        </w:tc>
      </w:tr>
      <w:tr w14:paraId="53C96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30A2C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60884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3DAAA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51C2A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 w14:paraId="4380B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 w14:paraId="71676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24" w:type="dxa"/>
            <w:noWrap w:val="0"/>
            <w:vAlign w:val="center"/>
          </w:tcPr>
          <w:p w14:paraId="337AB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197" w:type="dxa"/>
            <w:noWrap w:val="0"/>
            <w:vAlign w:val="center"/>
          </w:tcPr>
          <w:p w14:paraId="4E2D4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0E7F8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071" w:type="dxa"/>
            <w:noWrap w:val="0"/>
            <w:vAlign w:val="center"/>
          </w:tcPr>
          <w:p w14:paraId="2BE7C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26507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879" w:type="dxa"/>
            <w:noWrap w:val="0"/>
            <w:vAlign w:val="center"/>
          </w:tcPr>
          <w:p w14:paraId="1E02E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22" w:type="dxa"/>
            <w:noWrap w:val="0"/>
            <w:vAlign w:val="center"/>
          </w:tcPr>
          <w:p w14:paraId="4A12C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 w14:paraId="38A90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7A82C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EA71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0CCDE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0.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  <w:p w14:paraId="7A86D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072B6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80" w:type="dxa"/>
            <w:noWrap w:val="0"/>
            <w:vAlign w:val="center"/>
          </w:tcPr>
          <w:p w14:paraId="48735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24" w:type="dxa"/>
            <w:noWrap w:val="0"/>
            <w:vAlign w:val="center"/>
          </w:tcPr>
          <w:p w14:paraId="53652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困难企业军转干部人数</w:t>
            </w:r>
          </w:p>
        </w:tc>
        <w:tc>
          <w:tcPr>
            <w:tcW w:w="1197" w:type="dxa"/>
            <w:noWrap w:val="0"/>
            <w:vAlign w:val="center"/>
          </w:tcPr>
          <w:p w14:paraId="73EF7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5人</w:t>
            </w:r>
          </w:p>
        </w:tc>
        <w:tc>
          <w:tcPr>
            <w:tcW w:w="1071" w:type="dxa"/>
            <w:noWrap w:val="0"/>
            <w:vAlign w:val="center"/>
          </w:tcPr>
          <w:p w14:paraId="289E8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5人</w:t>
            </w:r>
          </w:p>
        </w:tc>
        <w:tc>
          <w:tcPr>
            <w:tcW w:w="879" w:type="dxa"/>
            <w:noWrap w:val="0"/>
            <w:vAlign w:val="center"/>
          </w:tcPr>
          <w:p w14:paraId="53B84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822" w:type="dxa"/>
            <w:noWrap w:val="0"/>
            <w:vAlign w:val="center"/>
          </w:tcPr>
          <w:p w14:paraId="57AC4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1418" w:type="dxa"/>
            <w:noWrap w:val="0"/>
            <w:vAlign w:val="center"/>
          </w:tcPr>
          <w:p w14:paraId="45945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894A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9672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0F896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6E8B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24" w:type="dxa"/>
            <w:noWrap w:val="0"/>
            <w:vAlign w:val="center"/>
          </w:tcPr>
          <w:p w14:paraId="3B5AA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按社保科下达指标足额发放完成</w:t>
            </w:r>
          </w:p>
        </w:tc>
        <w:tc>
          <w:tcPr>
            <w:tcW w:w="1197" w:type="dxa"/>
            <w:noWrap w:val="0"/>
            <w:vAlign w:val="center"/>
          </w:tcPr>
          <w:p w14:paraId="37381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按社保科下达指标发放完成</w:t>
            </w:r>
          </w:p>
        </w:tc>
        <w:tc>
          <w:tcPr>
            <w:tcW w:w="1071" w:type="dxa"/>
            <w:noWrap w:val="0"/>
            <w:vAlign w:val="center"/>
          </w:tcPr>
          <w:p w14:paraId="42855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按社保科下达指标发放完成</w:t>
            </w:r>
          </w:p>
        </w:tc>
        <w:tc>
          <w:tcPr>
            <w:tcW w:w="879" w:type="dxa"/>
            <w:noWrap w:val="0"/>
            <w:vAlign w:val="center"/>
          </w:tcPr>
          <w:p w14:paraId="67966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822" w:type="dxa"/>
            <w:noWrap w:val="0"/>
            <w:vAlign w:val="center"/>
          </w:tcPr>
          <w:p w14:paraId="6BC0A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1418" w:type="dxa"/>
            <w:noWrap w:val="0"/>
            <w:vAlign w:val="center"/>
          </w:tcPr>
          <w:p w14:paraId="14241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F3C5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FA2C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1E70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CCCD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24" w:type="dxa"/>
            <w:noWrap w:val="0"/>
            <w:vAlign w:val="center"/>
          </w:tcPr>
          <w:p w14:paraId="25677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及时完成任务</w:t>
            </w:r>
          </w:p>
        </w:tc>
        <w:tc>
          <w:tcPr>
            <w:tcW w:w="1197" w:type="dxa"/>
            <w:noWrap w:val="0"/>
            <w:vAlign w:val="center"/>
          </w:tcPr>
          <w:p w14:paraId="4A8E1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及时完成任务</w:t>
            </w:r>
          </w:p>
        </w:tc>
        <w:tc>
          <w:tcPr>
            <w:tcW w:w="1071" w:type="dxa"/>
            <w:noWrap w:val="0"/>
            <w:vAlign w:val="center"/>
          </w:tcPr>
          <w:p w14:paraId="509FE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及时完成任务</w:t>
            </w:r>
          </w:p>
        </w:tc>
        <w:tc>
          <w:tcPr>
            <w:tcW w:w="879" w:type="dxa"/>
            <w:noWrap w:val="0"/>
            <w:vAlign w:val="center"/>
          </w:tcPr>
          <w:p w14:paraId="69E21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822" w:type="dxa"/>
            <w:noWrap w:val="0"/>
            <w:vAlign w:val="center"/>
          </w:tcPr>
          <w:p w14:paraId="55AFD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1418" w:type="dxa"/>
            <w:noWrap w:val="0"/>
            <w:vAlign w:val="center"/>
          </w:tcPr>
          <w:p w14:paraId="65058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6AD7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977A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AAEB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56F17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24" w:type="dxa"/>
            <w:noWrap w:val="0"/>
            <w:vAlign w:val="center"/>
          </w:tcPr>
          <w:p w14:paraId="12A8E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控制在预算内</w:t>
            </w:r>
          </w:p>
        </w:tc>
        <w:tc>
          <w:tcPr>
            <w:tcW w:w="1197" w:type="dxa"/>
            <w:noWrap w:val="0"/>
            <w:vAlign w:val="center"/>
          </w:tcPr>
          <w:p w14:paraId="1CAFF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≤0.89万元</w:t>
            </w:r>
          </w:p>
        </w:tc>
        <w:tc>
          <w:tcPr>
            <w:tcW w:w="1071" w:type="dxa"/>
            <w:noWrap w:val="0"/>
            <w:vAlign w:val="center"/>
          </w:tcPr>
          <w:p w14:paraId="63DA9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0.89万元</w:t>
            </w:r>
          </w:p>
        </w:tc>
        <w:tc>
          <w:tcPr>
            <w:tcW w:w="879" w:type="dxa"/>
            <w:noWrap w:val="0"/>
            <w:vAlign w:val="center"/>
          </w:tcPr>
          <w:p w14:paraId="116CC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822" w:type="dxa"/>
            <w:noWrap w:val="0"/>
            <w:vAlign w:val="center"/>
          </w:tcPr>
          <w:p w14:paraId="28BD4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418" w:type="dxa"/>
            <w:noWrap w:val="0"/>
            <w:vAlign w:val="center"/>
          </w:tcPr>
          <w:p w14:paraId="1CBE6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282E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014C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EF67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851B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368DE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对社会发展可能造成的负面影响</w:t>
            </w:r>
          </w:p>
        </w:tc>
        <w:tc>
          <w:tcPr>
            <w:tcW w:w="1197" w:type="dxa"/>
            <w:noWrap w:val="0"/>
            <w:vAlign w:val="center"/>
          </w:tcPr>
          <w:p w14:paraId="47B27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1071" w:type="dxa"/>
            <w:noWrap w:val="0"/>
            <w:vAlign w:val="center"/>
          </w:tcPr>
          <w:p w14:paraId="7FA83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879" w:type="dxa"/>
            <w:noWrap w:val="0"/>
            <w:vAlign w:val="center"/>
          </w:tcPr>
          <w:p w14:paraId="797BD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822" w:type="dxa"/>
            <w:noWrap w:val="0"/>
            <w:vAlign w:val="center"/>
          </w:tcPr>
          <w:p w14:paraId="5A9F4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418" w:type="dxa"/>
            <w:noWrap w:val="0"/>
            <w:vAlign w:val="center"/>
          </w:tcPr>
          <w:p w14:paraId="0B796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9211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F020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56CB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179CA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15C7D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对自然环境可能造成的负面影响</w:t>
            </w:r>
          </w:p>
        </w:tc>
        <w:tc>
          <w:tcPr>
            <w:tcW w:w="1197" w:type="dxa"/>
            <w:noWrap w:val="0"/>
            <w:vAlign w:val="center"/>
          </w:tcPr>
          <w:p w14:paraId="76410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1071" w:type="dxa"/>
            <w:noWrap w:val="0"/>
            <w:vAlign w:val="center"/>
          </w:tcPr>
          <w:p w14:paraId="253FD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879" w:type="dxa"/>
            <w:noWrap w:val="0"/>
            <w:vAlign w:val="center"/>
          </w:tcPr>
          <w:p w14:paraId="1B1BE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822" w:type="dxa"/>
            <w:noWrap w:val="0"/>
            <w:vAlign w:val="center"/>
          </w:tcPr>
          <w:p w14:paraId="48A98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418" w:type="dxa"/>
            <w:noWrap w:val="0"/>
            <w:vAlign w:val="center"/>
          </w:tcPr>
          <w:p w14:paraId="365BE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52D9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247A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3F904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0A19E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76DB9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7F4F8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436B1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4C289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noWrap w:val="0"/>
            <w:vAlign w:val="center"/>
          </w:tcPr>
          <w:p w14:paraId="222AB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无直接经济效益</w:t>
            </w:r>
          </w:p>
        </w:tc>
        <w:tc>
          <w:tcPr>
            <w:tcW w:w="1197" w:type="dxa"/>
            <w:noWrap w:val="0"/>
            <w:vAlign w:val="center"/>
          </w:tcPr>
          <w:p w14:paraId="2294F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无直接经济效益</w:t>
            </w:r>
          </w:p>
        </w:tc>
        <w:tc>
          <w:tcPr>
            <w:tcW w:w="1071" w:type="dxa"/>
            <w:noWrap w:val="0"/>
            <w:vAlign w:val="center"/>
          </w:tcPr>
          <w:p w14:paraId="4D65C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无直接经济效益</w:t>
            </w:r>
          </w:p>
        </w:tc>
        <w:tc>
          <w:tcPr>
            <w:tcW w:w="879" w:type="dxa"/>
            <w:noWrap w:val="0"/>
            <w:vAlign w:val="center"/>
          </w:tcPr>
          <w:p w14:paraId="1208D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22" w:type="dxa"/>
            <w:noWrap w:val="0"/>
            <w:vAlign w:val="center"/>
          </w:tcPr>
          <w:p w14:paraId="453D4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20327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CB83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800C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5917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1A2D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37369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noWrap w:val="0"/>
            <w:vAlign w:val="center"/>
          </w:tcPr>
          <w:p w14:paraId="2FEF5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保障军转干部民生</w:t>
            </w:r>
          </w:p>
        </w:tc>
        <w:tc>
          <w:tcPr>
            <w:tcW w:w="1197" w:type="dxa"/>
            <w:noWrap w:val="0"/>
            <w:vAlign w:val="center"/>
          </w:tcPr>
          <w:p w14:paraId="74931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保障军转干部民生</w:t>
            </w:r>
          </w:p>
        </w:tc>
        <w:tc>
          <w:tcPr>
            <w:tcW w:w="1071" w:type="dxa"/>
            <w:noWrap w:val="0"/>
            <w:vAlign w:val="center"/>
          </w:tcPr>
          <w:p w14:paraId="411FA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保障军转干部民生</w:t>
            </w:r>
          </w:p>
        </w:tc>
        <w:tc>
          <w:tcPr>
            <w:tcW w:w="879" w:type="dxa"/>
            <w:noWrap w:val="0"/>
            <w:vAlign w:val="center"/>
          </w:tcPr>
          <w:p w14:paraId="0EF90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22" w:type="dxa"/>
            <w:noWrap w:val="0"/>
            <w:vAlign w:val="center"/>
          </w:tcPr>
          <w:p w14:paraId="39304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39982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5F4A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9EEB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75FE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05C4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33AAD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noWrap w:val="0"/>
            <w:vAlign w:val="center"/>
          </w:tcPr>
          <w:p w14:paraId="1E7DE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无生态效益</w:t>
            </w:r>
          </w:p>
        </w:tc>
        <w:tc>
          <w:tcPr>
            <w:tcW w:w="1197" w:type="dxa"/>
            <w:noWrap w:val="0"/>
            <w:vAlign w:val="center"/>
          </w:tcPr>
          <w:p w14:paraId="250C6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无生态效益</w:t>
            </w:r>
          </w:p>
        </w:tc>
        <w:tc>
          <w:tcPr>
            <w:tcW w:w="1071" w:type="dxa"/>
            <w:noWrap w:val="0"/>
            <w:vAlign w:val="center"/>
          </w:tcPr>
          <w:p w14:paraId="567A6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无生态效益</w:t>
            </w:r>
          </w:p>
        </w:tc>
        <w:tc>
          <w:tcPr>
            <w:tcW w:w="879" w:type="dxa"/>
            <w:noWrap w:val="0"/>
            <w:vAlign w:val="center"/>
          </w:tcPr>
          <w:p w14:paraId="6D689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822" w:type="dxa"/>
            <w:noWrap w:val="0"/>
            <w:vAlign w:val="center"/>
          </w:tcPr>
          <w:p w14:paraId="59F18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418" w:type="dxa"/>
            <w:noWrap w:val="0"/>
            <w:vAlign w:val="center"/>
          </w:tcPr>
          <w:p w14:paraId="30712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73DB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597E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8AB6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0810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24" w:type="dxa"/>
            <w:noWrap w:val="0"/>
            <w:vAlign w:val="center"/>
          </w:tcPr>
          <w:p w14:paraId="4FDEF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保障工作任务顺利开展并完成</w:t>
            </w:r>
          </w:p>
        </w:tc>
        <w:tc>
          <w:tcPr>
            <w:tcW w:w="1197" w:type="dxa"/>
            <w:noWrap w:val="0"/>
            <w:vAlign w:val="center"/>
          </w:tcPr>
          <w:p w14:paraId="67DC8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保障工作任务顺利开展并完成</w:t>
            </w:r>
          </w:p>
        </w:tc>
        <w:tc>
          <w:tcPr>
            <w:tcW w:w="1071" w:type="dxa"/>
            <w:noWrap w:val="0"/>
            <w:vAlign w:val="center"/>
          </w:tcPr>
          <w:p w14:paraId="6AC3C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保障工作任务顺利开展并完成</w:t>
            </w:r>
          </w:p>
        </w:tc>
        <w:tc>
          <w:tcPr>
            <w:tcW w:w="879" w:type="dxa"/>
            <w:noWrap w:val="0"/>
            <w:vAlign w:val="center"/>
          </w:tcPr>
          <w:p w14:paraId="2CB67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22" w:type="dxa"/>
            <w:noWrap w:val="0"/>
            <w:vAlign w:val="center"/>
          </w:tcPr>
          <w:p w14:paraId="6EBE7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731C7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5B03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74C1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6EC9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1BBC3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6FBBA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80" w:type="dxa"/>
            <w:noWrap w:val="0"/>
            <w:vAlign w:val="center"/>
          </w:tcPr>
          <w:p w14:paraId="4EC76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24" w:type="dxa"/>
            <w:noWrap w:val="0"/>
            <w:vAlign w:val="center"/>
          </w:tcPr>
          <w:p w14:paraId="210B8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群众满意度</w:t>
            </w:r>
          </w:p>
        </w:tc>
        <w:tc>
          <w:tcPr>
            <w:tcW w:w="1197" w:type="dxa"/>
            <w:noWrap w:val="0"/>
            <w:vAlign w:val="center"/>
          </w:tcPr>
          <w:p w14:paraId="1A110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≥95%</w:t>
            </w:r>
          </w:p>
        </w:tc>
        <w:tc>
          <w:tcPr>
            <w:tcW w:w="1071" w:type="dxa"/>
            <w:noWrap w:val="0"/>
            <w:vAlign w:val="center"/>
          </w:tcPr>
          <w:p w14:paraId="08D21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95%</w:t>
            </w:r>
          </w:p>
        </w:tc>
        <w:tc>
          <w:tcPr>
            <w:tcW w:w="879" w:type="dxa"/>
            <w:noWrap w:val="0"/>
            <w:vAlign w:val="center"/>
          </w:tcPr>
          <w:p w14:paraId="42870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22" w:type="dxa"/>
            <w:noWrap w:val="0"/>
            <w:vAlign w:val="center"/>
          </w:tcPr>
          <w:p w14:paraId="785D5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3E7FC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BB35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noWrap w:val="0"/>
            <w:vAlign w:val="center"/>
          </w:tcPr>
          <w:p w14:paraId="7C73B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879" w:type="dxa"/>
            <w:noWrap w:val="0"/>
            <w:vAlign w:val="center"/>
          </w:tcPr>
          <w:p w14:paraId="25586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22" w:type="dxa"/>
            <w:noWrap w:val="0"/>
            <w:vAlign w:val="center"/>
          </w:tcPr>
          <w:p w14:paraId="38FED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1418" w:type="dxa"/>
            <w:noWrap w:val="0"/>
            <w:vAlign w:val="center"/>
          </w:tcPr>
          <w:p w14:paraId="672A0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7C1D2CA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18"/>
          <w:szCs w:val="18"/>
          <w:highlight w:val="none"/>
          <w:lang w:eastAsia="zh-CN"/>
        </w:rPr>
      </w:pPr>
    </w:p>
    <w:p w14:paraId="4AE889C9"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联系电话：</w:t>
      </w:r>
      <w:r>
        <w:rPr>
          <w:rFonts w:hint="eastAsia" w:eastAsia="仿宋_GB2312" w:cs="Times New Roman"/>
          <w:sz w:val="22"/>
          <w:szCs w:val="22"/>
          <w:highlight w:val="none"/>
          <w:lang w:val="en-US" w:eastAsia="zh-CN"/>
        </w:rPr>
        <w:t>8857572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单位负责人签字：</w:t>
      </w:r>
    </w:p>
    <w:p w14:paraId="780C62CA">
      <w:r>
        <w:br w:type="page"/>
      </w:r>
    </w:p>
    <w:p w14:paraId="0D633A4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3-4</w:t>
      </w:r>
    </w:p>
    <w:p w14:paraId="22C3AF5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9"/>
        <w:tblW w:w="98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746"/>
        <w:gridCol w:w="960"/>
        <w:gridCol w:w="1245"/>
        <w:gridCol w:w="795"/>
        <w:gridCol w:w="820"/>
        <w:gridCol w:w="1045"/>
      </w:tblGrid>
      <w:tr w14:paraId="51849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72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79A64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B0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/>
              </w:rPr>
              <w:t>生活垃圾分类、城市管理考评专项经费</w:t>
            </w:r>
          </w:p>
        </w:tc>
      </w:tr>
      <w:tr w14:paraId="522C9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38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8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00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E34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26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47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城市管理和综合执法局</w:t>
            </w:r>
          </w:p>
        </w:tc>
      </w:tr>
      <w:tr w14:paraId="5F3C2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774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B8FBD">
            <w:pPr>
              <w:keepNext w:val="0"/>
              <w:keepLines w:val="0"/>
              <w:pageBreakBefore w:val="0"/>
              <w:widowControl w:val="0"/>
              <w:tabs>
                <w:tab w:val="left" w:pos="4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A9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37EF6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96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08A09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3A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0F3EE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F5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C0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4F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1CB06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75C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C2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</w:t>
            </w: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19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C9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200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0B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50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04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EF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8A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75%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1C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7.5</w:t>
            </w:r>
          </w:p>
        </w:tc>
      </w:tr>
      <w:tr w14:paraId="512EB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0F9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44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EB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150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57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50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B2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50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04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7C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21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23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8BBB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6DF9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08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97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77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E9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7C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77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89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9246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2C50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85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3A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E2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3F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E3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35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40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1C746A4"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F66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8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7C1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39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C9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</w:t>
            </w:r>
          </w:p>
        </w:tc>
      </w:tr>
      <w:tr w14:paraId="55CA1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B53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8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A786A6">
            <w:pPr>
              <w:pStyle w:val="13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80" w:lineRule="exact"/>
              <w:ind w:lef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1.做好垃圾分类和资源化利用工作，增强居民分类投放好习惯，加快形成绿色生产生活方式。2.提高人居环境和居民生活满意度。3.提高财政预算的使用效益。</w:t>
            </w:r>
          </w:p>
        </w:tc>
        <w:tc>
          <w:tcPr>
            <w:tcW w:w="39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F6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增强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了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居民分类投放好习惯，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初步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形成绿色生产生活方式。提高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了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人居环境和居民生活满意度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财政预算的使用效益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得到了提升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。</w:t>
            </w:r>
          </w:p>
        </w:tc>
      </w:tr>
      <w:tr w14:paraId="20115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80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417AD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341A9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73583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BB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C9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E7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31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5ADFC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DA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4460C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25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29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23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5FAD8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F1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7083D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55770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540C1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CD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EA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0"/>
                <w:szCs w:val="20"/>
                <w:lang w:val="en-US" w:eastAsia="zh-CN"/>
              </w:rPr>
              <w:t>省级高标准示范街道创建数量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7A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1个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AA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0"/>
                <w:szCs w:val="20"/>
                <w:lang w:val="en-US" w:eastAsia="zh-CN"/>
              </w:rPr>
              <w:t>1个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0F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69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E7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2"/>
                <w:sz w:val="20"/>
                <w:szCs w:val="20"/>
                <w:lang w:val="en-US" w:eastAsia="zh-CN"/>
              </w:rPr>
            </w:pPr>
          </w:p>
        </w:tc>
      </w:tr>
      <w:tr w14:paraId="2CDD6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6B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A1DE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69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A3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生活垃圾分类居民知晓率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CD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B7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1C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8E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CA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F513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4E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9A02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E1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83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0"/>
                <w:szCs w:val="20"/>
                <w:lang w:val="en-US" w:eastAsia="zh-CN"/>
              </w:rPr>
              <w:t>各项工作如期</w:t>
            </w:r>
            <w:bookmarkStart w:id="4" w:name="_GoBack"/>
            <w:bookmarkEnd w:id="4"/>
            <w:r>
              <w:rPr>
                <w:rFonts w:hint="eastAsia" w:ascii="仿宋_GB2312" w:hAnsi="仿宋_GB2312" w:eastAsia="仿宋_GB2312" w:cs="仿宋_GB2312"/>
                <w:spacing w:val="-2"/>
                <w:sz w:val="20"/>
                <w:szCs w:val="20"/>
                <w:lang w:val="en-US" w:eastAsia="zh-CN"/>
              </w:rPr>
              <w:t>完成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6A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0"/>
                <w:szCs w:val="20"/>
                <w:lang w:val="en-US" w:eastAsia="zh-CN"/>
              </w:rPr>
              <w:t>全年如期完成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D1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0"/>
                <w:szCs w:val="20"/>
                <w:lang w:val="en-US" w:eastAsia="zh-CN"/>
              </w:rPr>
              <w:t>全年如期完成相关工作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40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26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6B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8B22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4C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ABE4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2C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ED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项目年支出金额不超过预算金额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1E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200万元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25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50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04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万元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4F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F1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1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3E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E9E2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E0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06DB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08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2B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对社会发展可能造成的负面影响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D0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98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A5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B1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8A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F510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3B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15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2A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5F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对自然环境可能造成的负面影响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DB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E1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E4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6B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BE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60FD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34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94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0598D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4771C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117BE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AC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4EFD4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45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减少垃圾处理成本，提高再生资源回收利用率。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16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间接提高经济效益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BA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间接提高经济效益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F4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F8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DC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67B60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58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0B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E6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6D80A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83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减少环境污染，提高资源利用效率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75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有所提高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97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有所提高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6D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C3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D7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35C6F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75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27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54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2DC04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76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减少垃圾对空气、土壤、地下水的污染。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31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有所改善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81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有所改善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37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02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63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54403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5E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E0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36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DF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绿色环保可持续发展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6C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可持续影响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0E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可持续影响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8D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F6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57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3FDF3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13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3F69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5D060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65DC1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EA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00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社会公众或服务对象满意度指标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32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≥95%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7D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95%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C4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02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4A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7C99E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FB5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E9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AF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97.5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89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</w:tr>
    </w:tbl>
    <w:p w14:paraId="5AFFCBC0"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联系电话：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单位负责人签字：</w:t>
      </w:r>
    </w:p>
    <w:p w14:paraId="0120A731"/>
    <w:p w14:paraId="7A14A4D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3-5</w:t>
      </w:r>
    </w:p>
    <w:p w14:paraId="77AC3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1FE2C7B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9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690"/>
        <w:gridCol w:w="1020"/>
        <w:gridCol w:w="2325"/>
        <w:gridCol w:w="1065"/>
        <w:gridCol w:w="1080"/>
        <w:gridCol w:w="675"/>
        <w:gridCol w:w="810"/>
        <w:gridCol w:w="1115"/>
      </w:tblGrid>
      <w:tr w14:paraId="36B39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noWrap w:val="0"/>
            <w:vAlign w:val="center"/>
          </w:tcPr>
          <w:p w14:paraId="78B17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0112A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80" w:type="dxa"/>
            <w:gridSpan w:val="8"/>
            <w:shd w:val="clear" w:color="auto" w:fill="auto"/>
            <w:noWrap w:val="0"/>
            <w:vAlign w:val="center"/>
          </w:tcPr>
          <w:p w14:paraId="408DD4C9">
            <w:pPr>
              <w:keepNext w:val="0"/>
              <w:keepLines w:val="0"/>
              <w:widowControl/>
              <w:suppressLineNumbers w:val="0"/>
              <w:ind w:firstLine="630" w:firstLineChars="3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市城区主要道路人行道海绵城市生态提质改造项目</w:t>
            </w:r>
          </w:p>
        </w:tc>
      </w:tr>
      <w:tr w14:paraId="046D5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noWrap w:val="0"/>
            <w:vAlign w:val="center"/>
          </w:tcPr>
          <w:p w14:paraId="28B4B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5100" w:type="dxa"/>
            <w:gridSpan w:val="4"/>
            <w:noWrap w:val="0"/>
            <w:vAlign w:val="center"/>
          </w:tcPr>
          <w:p w14:paraId="55A8D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62768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2600" w:type="dxa"/>
            <w:gridSpan w:val="3"/>
            <w:noWrap w:val="0"/>
            <w:vAlign w:val="center"/>
          </w:tcPr>
          <w:p w14:paraId="44B60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市城市管理和综合执法局</w:t>
            </w:r>
          </w:p>
        </w:tc>
      </w:tr>
      <w:tr w14:paraId="4B35C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restart"/>
            <w:noWrap w:val="0"/>
            <w:vAlign w:val="center"/>
          </w:tcPr>
          <w:p w14:paraId="4C592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1710" w:type="dxa"/>
            <w:gridSpan w:val="2"/>
            <w:noWrap w:val="0"/>
            <w:vAlign w:val="center"/>
          </w:tcPr>
          <w:p w14:paraId="4F98B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325" w:type="dxa"/>
            <w:noWrap w:val="0"/>
            <w:vAlign w:val="center"/>
          </w:tcPr>
          <w:p w14:paraId="0F822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年初预算数</w:t>
            </w:r>
          </w:p>
        </w:tc>
        <w:tc>
          <w:tcPr>
            <w:tcW w:w="1065" w:type="dxa"/>
            <w:noWrap w:val="0"/>
            <w:vAlign w:val="center"/>
          </w:tcPr>
          <w:p w14:paraId="1C394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全年预算数</w:t>
            </w:r>
          </w:p>
        </w:tc>
        <w:tc>
          <w:tcPr>
            <w:tcW w:w="1080" w:type="dxa"/>
            <w:noWrap w:val="0"/>
            <w:vAlign w:val="center"/>
          </w:tcPr>
          <w:p w14:paraId="4E3B2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全年执行数</w:t>
            </w:r>
          </w:p>
        </w:tc>
        <w:tc>
          <w:tcPr>
            <w:tcW w:w="675" w:type="dxa"/>
            <w:noWrap w:val="0"/>
            <w:vAlign w:val="center"/>
          </w:tcPr>
          <w:p w14:paraId="5438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10" w:type="dxa"/>
            <w:noWrap w:val="0"/>
            <w:vAlign w:val="center"/>
          </w:tcPr>
          <w:p w14:paraId="59C04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115" w:type="dxa"/>
            <w:noWrap w:val="0"/>
            <w:vAlign w:val="center"/>
          </w:tcPr>
          <w:p w14:paraId="14E86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0CA3F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noWrap w:val="0"/>
            <w:vAlign w:val="center"/>
          </w:tcPr>
          <w:p w14:paraId="6A7B1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 w14:paraId="1685E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2325" w:type="dxa"/>
            <w:noWrap w:val="0"/>
            <w:vAlign w:val="center"/>
          </w:tcPr>
          <w:p w14:paraId="757A8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1639.54</w:t>
            </w:r>
          </w:p>
        </w:tc>
        <w:tc>
          <w:tcPr>
            <w:tcW w:w="1065" w:type="dxa"/>
            <w:noWrap w:val="0"/>
            <w:vAlign w:val="center"/>
          </w:tcPr>
          <w:p w14:paraId="71DC6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1639.54</w:t>
            </w:r>
          </w:p>
        </w:tc>
        <w:tc>
          <w:tcPr>
            <w:tcW w:w="1080" w:type="dxa"/>
            <w:noWrap w:val="0"/>
            <w:vAlign w:val="center"/>
          </w:tcPr>
          <w:p w14:paraId="5BE44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1639.54</w:t>
            </w:r>
          </w:p>
        </w:tc>
        <w:tc>
          <w:tcPr>
            <w:tcW w:w="675" w:type="dxa"/>
            <w:noWrap w:val="0"/>
            <w:vAlign w:val="center"/>
          </w:tcPr>
          <w:p w14:paraId="4C2FD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810" w:type="dxa"/>
            <w:noWrap w:val="0"/>
            <w:vAlign w:val="center"/>
          </w:tcPr>
          <w:p w14:paraId="1CF36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115" w:type="dxa"/>
            <w:noWrap w:val="0"/>
            <w:vAlign w:val="center"/>
          </w:tcPr>
          <w:p w14:paraId="3D175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32DCD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noWrap w:val="0"/>
            <w:vAlign w:val="center"/>
          </w:tcPr>
          <w:p w14:paraId="5215B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 w14:paraId="00A5C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2325" w:type="dxa"/>
            <w:noWrap w:val="0"/>
            <w:vAlign w:val="center"/>
          </w:tcPr>
          <w:p w14:paraId="0719C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1639.54</w:t>
            </w:r>
          </w:p>
        </w:tc>
        <w:tc>
          <w:tcPr>
            <w:tcW w:w="1065" w:type="dxa"/>
            <w:noWrap w:val="0"/>
            <w:vAlign w:val="center"/>
          </w:tcPr>
          <w:p w14:paraId="521E5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1639.54</w:t>
            </w:r>
          </w:p>
        </w:tc>
        <w:tc>
          <w:tcPr>
            <w:tcW w:w="1080" w:type="dxa"/>
            <w:noWrap w:val="0"/>
            <w:vAlign w:val="center"/>
          </w:tcPr>
          <w:p w14:paraId="64B35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1639.54</w:t>
            </w:r>
          </w:p>
        </w:tc>
        <w:tc>
          <w:tcPr>
            <w:tcW w:w="675" w:type="dxa"/>
            <w:noWrap w:val="0"/>
            <w:vAlign w:val="center"/>
          </w:tcPr>
          <w:p w14:paraId="674B7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10" w:type="dxa"/>
            <w:noWrap w:val="0"/>
            <w:vAlign w:val="center"/>
          </w:tcPr>
          <w:p w14:paraId="0DAE5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7DAF8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FD10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noWrap w:val="0"/>
            <w:vAlign w:val="center"/>
          </w:tcPr>
          <w:p w14:paraId="52858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 w14:paraId="24B66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2325" w:type="dxa"/>
            <w:noWrap w:val="0"/>
            <w:vAlign w:val="center"/>
          </w:tcPr>
          <w:p w14:paraId="313E0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0F2A0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0BF56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5" w:type="dxa"/>
            <w:noWrap w:val="0"/>
            <w:vAlign w:val="center"/>
          </w:tcPr>
          <w:p w14:paraId="54C03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10" w:type="dxa"/>
            <w:noWrap w:val="0"/>
            <w:vAlign w:val="center"/>
          </w:tcPr>
          <w:p w14:paraId="72D4B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5" w:type="dxa"/>
            <w:noWrap w:val="0"/>
            <w:vAlign w:val="center"/>
          </w:tcPr>
          <w:p w14:paraId="00680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36B5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noWrap w:val="0"/>
            <w:vAlign w:val="center"/>
          </w:tcPr>
          <w:p w14:paraId="7B3E5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 w14:paraId="5E7CD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2325" w:type="dxa"/>
            <w:noWrap w:val="0"/>
            <w:vAlign w:val="center"/>
          </w:tcPr>
          <w:p w14:paraId="1D4D1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5F6E7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3E911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5" w:type="dxa"/>
            <w:noWrap w:val="0"/>
            <w:vAlign w:val="center"/>
          </w:tcPr>
          <w:p w14:paraId="61395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10" w:type="dxa"/>
            <w:noWrap w:val="0"/>
            <w:vAlign w:val="center"/>
          </w:tcPr>
          <w:p w14:paraId="632DD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5" w:type="dxa"/>
            <w:noWrap w:val="0"/>
            <w:vAlign w:val="center"/>
          </w:tcPr>
          <w:p w14:paraId="3F025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CA78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restart"/>
            <w:noWrap w:val="0"/>
            <w:vAlign w:val="center"/>
          </w:tcPr>
          <w:p w14:paraId="49796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5100" w:type="dxa"/>
            <w:gridSpan w:val="4"/>
            <w:noWrap w:val="0"/>
            <w:vAlign w:val="center"/>
          </w:tcPr>
          <w:p w14:paraId="484ED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3680" w:type="dxa"/>
            <w:gridSpan w:val="4"/>
            <w:noWrap w:val="0"/>
            <w:vAlign w:val="center"/>
          </w:tcPr>
          <w:p w14:paraId="0C4FE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53B51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noWrap w:val="0"/>
            <w:vAlign w:val="center"/>
          </w:tcPr>
          <w:p w14:paraId="282CA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100" w:type="dxa"/>
            <w:gridSpan w:val="4"/>
            <w:noWrap w:val="0"/>
            <w:vAlign w:val="center"/>
          </w:tcPr>
          <w:p w14:paraId="33A0C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系统化全面推进海绵城市建设理念得到全面系统落实，城市防洪防涝能力、地下空间利用水平显著升高，城市水环境、水安全、水资源明显改善，群众满意度明显提升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　</w:t>
            </w:r>
          </w:p>
        </w:tc>
        <w:tc>
          <w:tcPr>
            <w:tcW w:w="3680" w:type="dxa"/>
            <w:gridSpan w:val="4"/>
            <w:noWrap w:val="0"/>
            <w:vAlign w:val="center"/>
          </w:tcPr>
          <w:p w14:paraId="49772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项目已完成98%，待竣工验收完成结算</w:t>
            </w:r>
          </w:p>
        </w:tc>
      </w:tr>
      <w:tr w14:paraId="4C72A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restart"/>
            <w:noWrap w:val="0"/>
            <w:vAlign w:val="center"/>
          </w:tcPr>
          <w:p w14:paraId="0DC5F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38753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71D82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1ECCA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690" w:type="dxa"/>
            <w:noWrap w:val="0"/>
            <w:vAlign w:val="center"/>
          </w:tcPr>
          <w:p w14:paraId="49794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20" w:type="dxa"/>
            <w:noWrap w:val="0"/>
            <w:vAlign w:val="center"/>
          </w:tcPr>
          <w:p w14:paraId="2E02F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2325" w:type="dxa"/>
            <w:noWrap w:val="0"/>
            <w:vAlign w:val="center"/>
          </w:tcPr>
          <w:p w14:paraId="69BBA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065" w:type="dxa"/>
            <w:noWrap w:val="0"/>
            <w:vAlign w:val="center"/>
          </w:tcPr>
          <w:p w14:paraId="32A81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年度指标值</w:t>
            </w:r>
          </w:p>
        </w:tc>
        <w:tc>
          <w:tcPr>
            <w:tcW w:w="1080" w:type="dxa"/>
            <w:noWrap w:val="0"/>
            <w:vAlign w:val="center"/>
          </w:tcPr>
          <w:p w14:paraId="4610C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实际完成值</w:t>
            </w:r>
          </w:p>
        </w:tc>
        <w:tc>
          <w:tcPr>
            <w:tcW w:w="675" w:type="dxa"/>
            <w:noWrap w:val="0"/>
            <w:vAlign w:val="center"/>
          </w:tcPr>
          <w:p w14:paraId="43289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10" w:type="dxa"/>
            <w:noWrap w:val="0"/>
            <w:vAlign w:val="center"/>
          </w:tcPr>
          <w:p w14:paraId="5744C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115" w:type="dxa"/>
            <w:noWrap w:val="0"/>
            <w:vAlign w:val="center"/>
          </w:tcPr>
          <w:p w14:paraId="75A54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307D8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noWrap w:val="0"/>
            <w:vAlign w:val="center"/>
          </w:tcPr>
          <w:p w14:paraId="6503B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restart"/>
            <w:noWrap w:val="0"/>
            <w:vAlign w:val="center"/>
          </w:tcPr>
          <w:p w14:paraId="0E30A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2E73F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20" w:type="dxa"/>
            <w:vMerge w:val="restart"/>
            <w:noWrap w:val="0"/>
            <w:vAlign w:val="center"/>
          </w:tcPr>
          <w:p w14:paraId="0F2B3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2325" w:type="dxa"/>
            <w:noWrap w:val="0"/>
            <w:vAlign w:val="center"/>
          </w:tcPr>
          <w:p w14:paraId="05634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lang w:val="en-US" w:eastAsia="zh-CN"/>
              </w:rPr>
              <w:t>雨水控制率</w:t>
            </w:r>
          </w:p>
        </w:tc>
        <w:tc>
          <w:tcPr>
            <w:tcW w:w="1065" w:type="dxa"/>
            <w:noWrap w:val="0"/>
            <w:vAlign w:val="center"/>
          </w:tcPr>
          <w:p w14:paraId="2F5B1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50%</w:t>
            </w:r>
          </w:p>
        </w:tc>
        <w:tc>
          <w:tcPr>
            <w:tcW w:w="1080" w:type="dxa"/>
            <w:noWrap w:val="0"/>
            <w:vAlign w:val="center"/>
          </w:tcPr>
          <w:p w14:paraId="0A722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50%</w:t>
            </w:r>
          </w:p>
        </w:tc>
        <w:tc>
          <w:tcPr>
            <w:tcW w:w="675" w:type="dxa"/>
            <w:noWrap w:val="0"/>
            <w:vAlign w:val="center"/>
          </w:tcPr>
          <w:p w14:paraId="09FBA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10" w:type="dxa"/>
            <w:noWrap w:val="0"/>
            <w:vAlign w:val="center"/>
          </w:tcPr>
          <w:p w14:paraId="0B244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115" w:type="dxa"/>
            <w:noWrap w:val="0"/>
            <w:vAlign w:val="center"/>
          </w:tcPr>
          <w:p w14:paraId="084F1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6ECB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noWrap w:val="0"/>
            <w:vAlign w:val="center"/>
          </w:tcPr>
          <w:p w14:paraId="5BF9E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continue"/>
            <w:noWrap w:val="0"/>
            <w:vAlign w:val="center"/>
          </w:tcPr>
          <w:p w14:paraId="550E4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781DE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325" w:type="dxa"/>
            <w:noWrap w:val="0"/>
            <w:vAlign w:val="center"/>
          </w:tcPr>
          <w:p w14:paraId="3C714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雨水污染去除率</w:t>
            </w:r>
          </w:p>
        </w:tc>
        <w:tc>
          <w:tcPr>
            <w:tcW w:w="1065" w:type="dxa"/>
            <w:noWrap w:val="0"/>
            <w:vAlign w:val="center"/>
          </w:tcPr>
          <w:p w14:paraId="7D1FD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40%</w:t>
            </w:r>
          </w:p>
        </w:tc>
        <w:tc>
          <w:tcPr>
            <w:tcW w:w="1080" w:type="dxa"/>
            <w:noWrap w:val="0"/>
            <w:vAlign w:val="center"/>
          </w:tcPr>
          <w:p w14:paraId="5FF35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40%</w:t>
            </w:r>
          </w:p>
        </w:tc>
        <w:tc>
          <w:tcPr>
            <w:tcW w:w="675" w:type="dxa"/>
            <w:noWrap w:val="0"/>
            <w:vAlign w:val="center"/>
          </w:tcPr>
          <w:p w14:paraId="1CBD3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10" w:type="dxa"/>
            <w:noWrap w:val="0"/>
            <w:vAlign w:val="center"/>
          </w:tcPr>
          <w:p w14:paraId="119E1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115" w:type="dxa"/>
            <w:noWrap w:val="0"/>
            <w:vAlign w:val="center"/>
          </w:tcPr>
          <w:p w14:paraId="3766A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0DD4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noWrap w:val="0"/>
            <w:vAlign w:val="center"/>
          </w:tcPr>
          <w:p w14:paraId="17557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continue"/>
            <w:noWrap w:val="0"/>
            <w:vAlign w:val="center"/>
          </w:tcPr>
          <w:p w14:paraId="21BC4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0" w:type="dxa"/>
            <w:vMerge w:val="restart"/>
            <w:noWrap w:val="0"/>
            <w:vAlign w:val="center"/>
          </w:tcPr>
          <w:p w14:paraId="7E5CF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2325" w:type="dxa"/>
            <w:noWrap w:val="0"/>
            <w:vAlign w:val="center"/>
          </w:tcPr>
          <w:p w14:paraId="2A7EF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可透水地面面积比例（城市建成区范围和可透水铺装的地面占建成区面积比例</w:t>
            </w:r>
          </w:p>
        </w:tc>
        <w:tc>
          <w:tcPr>
            <w:tcW w:w="1065" w:type="dxa"/>
            <w:noWrap w:val="0"/>
            <w:vAlign w:val="center"/>
          </w:tcPr>
          <w:p w14:paraId="3D22F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080" w:type="dxa"/>
            <w:noWrap w:val="0"/>
            <w:vAlign w:val="center"/>
          </w:tcPr>
          <w:p w14:paraId="7F50E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675" w:type="dxa"/>
            <w:noWrap w:val="0"/>
            <w:vAlign w:val="center"/>
          </w:tcPr>
          <w:p w14:paraId="79394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10" w:type="dxa"/>
            <w:noWrap w:val="0"/>
            <w:vAlign w:val="center"/>
          </w:tcPr>
          <w:p w14:paraId="2EF35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115" w:type="dxa"/>
            <w:noWrap w:val="0"/>
            <w:vAlign w:val="center"/>
          </w:tcPr>
          <w:p w14:paraId="0C05D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4D6B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noWrap w:val="0"/>
            <w:vAlign w:val="center"/>
          </w:tcPr>
          <w:p w14:paraId="116CD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continue"/>
            <w:noWrap w:val="0"/>
            <w:vAlign w:val="center"/>
          </w:tcPr>
          <w:p w14:paraId="4DDAA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0E3CE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325" w:type="dxa"/>
            <w:noWrap w:val="0"/>
            <w:vAlign w:val="center"/>
          </w:tcPr>
          <w:p w14:paraId="4BE4C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lang w:val="en-US" w:eastAsia="zh-CN"/>
              </w:rPr>
              <w:t>内涝防治标准（重现期年）</w:t>
            </w:r>
          </w:p>
        </w:tc>
        <w:tc>
          <w:tcPr>
            <w:tcW w:w="1065" w:type="dxa"/>
            <w:noWrap w:val="0"/>
            <w:vAlign w:val="center"/>
          </w:tcPr>
          <w:p w14:paraId="30FF0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30年一遇</w:t>
            </w:r>
          </w:p>
        </w:tc>
        <w:tc>
          <w:tcPr>
            <w:tcW w:w="1080" w:type="dxa"/>
            <w:noWrap w:val="0"/>
            <w:vAlign w:val="center"/>
          </w:tcPr>
          <w:p w14:paraId="0CD6B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30年一遇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5" w:type="dxa"/>
            <w:noWrap w:val="0"/>
            <w:vAlign w:val="center"/>
          </w:tcPr>
          <w:p w14:paraId="64B16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10" w:type="dxa"/>
            <w:noWrap w:val="0"/>
            <w:vAlign w:val="center"/>
          </w:tcPr>
          <w:p w14:paraId="6B0D6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115" w:type="dxa"/>
            <w:noWrap w:val="0"/>
            <w:vAlign w:val="center"/>
          </w:tcPr>
          <w:p w14:paraId="0DFDD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4130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noWrap w:val="0"/>
            <w:vAlign w:val="center"/>
          </w:tcPr>
          <w:p w14:paraId="3C5E1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continue"/>
            <w:noWrap w:val="0"/>
            <w:vAlign w:val="center"/>
          </w:tcPr>
          <w:p w14:paraId="15A1E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56226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325" w:type="dxa"/>
            <w:noWrap w:val="0"/>
            <w:vAlign w:val="center"/>
          </w:tcPr>
          <w:p w14:paraId="179F3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lang w:val="en-US" w:eastAsia="zh-CN"/>
              </w:rPr>
              <w:t>内涝防治标准（对应降雨量。Mm/24h)</w:t>
            </w:r>
          </w:p>
        </w:tc>
        <w:tc>
          <w:tcPr>
            <w:tcW w:w="1065" w:type="dxa"/>
            <w:noWrap w:val="0"/>
            <w:vAlign w:val="center"/>
          </w:tcPr>
          <w:p w14:paraId="253C6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lang w:val="en-US" w:eastAsia="zh-CN"/>
              </w:rPr>
              <w:t>224.3mm/24h</w:t>
            </w:r>
          </w:p>
        </w:tc>
        <w:tc>
          <w:tcPr>
            <w:tcW w:w="1080" w:type="dxa"/>
            <w:noWrap w:val="0"/>
            <w:vAlign w:val="center"/>
          </w:tcPr>
          <w:p w14:paraId="16434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lang w:val="en-US" w:eastAsia="zh-CN"/>
              </w:rPr>
              <w:t>224.3mm/24h</w:t>
            </w:r>
          </w:p>
        </w:tc>
        <w:tc>
          <w:tcPr>
            <w:tcW w:w="675" w:type="dxa"/>
            <w:noWrap w:val="0"/>
            <w:vAlign w:val="center"/>
          </w:tcPr>
          <w:p w14:paraId="17CF5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10" w:type="dxa"/>
            <w:noWrap w:val="0"/>
            <w:vAlign w:val="center"/>
          </w:tcPr>
          <w:p w14:paraId="0CDBF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115" w:type="dxa"/>
            <w:noWrap w:val="0"/>
            <w:vAlign w:val="center"/>
          </w:tcPr>
          <w:p w14:paraId="2338F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F646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noWrap w:val="0"/>
            <w:vAlign w:val="center"/>
          </w:tcPr>
          <w:p w14:paraId="3E47C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continue"/>
            <w:noWrap w:val="0"/>
            <w:vAlign w:val="center"/>
          </w:tcPr>
          <w:p w14:paraId="7B583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663A7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2325" w:type="dxa"/>
            <w:noWrap w:val="0"/>
            <w:vAlign w:val="center"/>
          </w:tcPr>
          <w:p w14:paraId="7EE24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三年内完成项目建设</w:t>
            </w:r>
          </w:p>
        </w:tc>
        <w:tc>
          <w:tcPr>
            <w:tcW w:w="1065" w:type="dxa"/>
            <w:noWrap w:val="0"/>
            <w:vAlign w:val="center"/>
          </w:tcPr>
          <w:p w14:paraId="1D1B4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3年</w:t>
            </w:r>
          </w:p>
        </w:tc>
        <w:tc>
          <w:tcPr>
            <w:tcW w:w="1080" w:type="dxa"/>
            <w:noWrap w:val="0"/>
            <w:vAlign w:val="center"/>
          </w:tcPr>
          <w:p w14:paraId="062D4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3年</w:t>
            </w:r>
          </w:p>
        </w:tc>
        <w:tc>
          <w:tcPr>
            <w:tcW w:w="675" w:type="dxa"/>
            <w:noWrap w:val="0"/>
            <w:vAlign w:val="center"/>
          </w:tcPr>
          <w:p w14:paraId="1A07A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10" w:type="dxa"/>
            <w:noWrap w:val="0"/>
            <w:vAlign w:val="center"/>
          </w:tcPr>
          <w:p w14:paraId="370F8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115" w:type="dxa"/>
            <w:noWrap w:val="0"/>
            <w:vAlign w:val="center"/>
          </w:tcPr>
          <w:p w14:paraId="244C5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46CF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noWrap w:val="0"/>
            <w:vAlign w:val="center"/>
          </w:tcPr>
          <w:p w14:paraId="2BDDC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continue"/>
            <w:noWrap w:val="0"/>
            <w:vAlign w:val="center"/>
          </w:tcPr>
          <w:p w14:paraId="55E66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10B6B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2325" w:type="dxa"/>
            <w:noWrap w:val="0"/>
            <w:vAlign w:val="center"/>
          </w:tcPr>
          <w:p w14:paraId="1A614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不超过全年预算数（万元）</w:t>
            </w:r>
          </w:p>
        </w:tc>
        <w:tc>
          <w:tcPr>
            <w:tcW w:w="1065" w:type="dxa"/>
            <w:noWrap w:val="0"/>
            <w:vAlign w:val="center"/>
          </w:tcPr>
          <w:p w14:paraId="551C4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≤1639.54</w:t>
            </w:r>
          </w:p>
        </w:tc>
        <w:tc>
          <w:tcPr>
            <w:tcW w:w="1080" w:type="dxa"/>
            <w:noWrap w:val="0"/>
            <w:vAlign w:val="center"/>
          </w:tcPr>
          <w:p w14:paraId="7929E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1639.54</w:t>
            </w:r>
          </w:p>
        </w:tc>
        <w:tc>
          <w:tcPr>
            <w:tcW w:w="675" w:type="dxa"/>
            <w:noWrap w:val="0"/>
            <w:vAlign w:val="center"/>
          </w:tcPr>
          <w:p w14:paraId="4A99D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10" w:type="dxa"/>
            <w:noWrap w:val="0"/>
            <w:vAlign w:val="center"/>
          </w:tcPr>
          <w:p w14:paraId="5F617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115" w:type="dxa"/>
            <w:noWrap w:val="0"/>
            <w:vAlign w:val="center"/>
          </w:tcPr>
          <w:p w14:paraId="39E5A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41C0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71" w:type="dxa"/>
            <w:vMerge w:val="continue"/>
            <w:noWrap w:val="0"/>
            <w:vAlign w:val="center"/>
          </w:tcPr>
          <w:p w14:paraId="70606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restart"/>
            <w:noWrap w:val="0"/>
            <w:vAlign w:val="center"/>
          </w:tcPr>
          <w:p w14:paraId="3368F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24EFF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52D4D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20" w:type="dxa"/>
            <w:noWrap w:val="0"/>
            <w:vAlign w:val="center"/>
          </w:tcPr>
          <w:p w14:paraId="02250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1B46F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2325" w:type="dxa"/>
            <w:noWrap w:val="0"/>
            <w:vAlign w:val="center"/>
          </w:tcPr>
          <w:p w14:paraId="2DA1D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完成投资（万元）</w:t>
            </w:r>
          </w:p>
        </w:tc>
        <w:tc>
          <w:tcPr>
            <w:tcW w:w="1065" w:type="dxa"/>
            <w:noWrap w:val="0"/>
            <w:vAlign w:val="center"/>
          </w:tcPr>
          <w:p w14:paraId="2426D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1639.54</w:t>
            </w:r>
          </w:p>
        </w:tc>
        <w:tc>
          <w:tcPr>
            <w:tcW w:w="1080" w:type="dxa"/>
            <w:noWrap w:val="0"/>
            <w:vAlign w:val="center"/>
          </w:tcPr>
          <w:p w14:paraId="61761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1639.54</w:t>
            </w:r>
          </w:p>
        </w:tc>
        <w:tc>
          <w:tcPr>
            <w:tcW w:w="675" w:type="dxa"/>
            <w:noWrap w:val="0"/>
            <w:vAlign w:val="center"/>
          </w:tcPr>
          <w:p w14:paraId="152DD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10" w:type="dxa"/>
            <w:noWrap w:val="0"/>
            <w:vAlign w:val="center"/>
          </w:tcPr>
          <w:p w14:paraId="2FB7B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115" w:type="dxa"/>
            <w:noWrap w:val="0"/>
            <w:vAlign w:val="center"/>
          </w:tcPr>
          <w:p w14:paraId="619F1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BC71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71" w:type="dxa"/>
            <w:vMerge w:val="continue"/>
            <w:noWrap w:val="0"/>
            <w:vAlign w:val="center"/>
          </w:tcPr>
          <w:p w14:paraId="24DF1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continue"/>
            <w:noWrap w:val="0"/>
            <w:vAlign w:val="center"/>
          </w:tcPr>
          <w:p w14:paraId="5F0C8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0" w:type="dxa"/>
            <w:vMerge w:val="restart"/>
            <w:noWrap w:val="0"/>
            <w:vAlign w:val="center"/>
          </w:tcPr>
          <w:p w14:paraId="08620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3E40B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2325" w:type="dxa"/>
            <w:noWrap w:val="0"/>
            <w:vAlign w:val="center"/>
          </w:tcPr>
          <w:p w14:paraId="33B33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lang w:val="en-US" w:eastAsia="zh-CN"/>
              </w:rPr>
              <w:t>海绵城市建设理念是否落实在规划建设管理全过程</w:t>
            </w:r>
          </w:p>
        </w:tc>
        <w:tc>
          <w:tcPr>
            <w:tcW w:w="1065" w:type="dxa"/>
            <w:noWrap w:val="0"/>
            <w:vAlign w:val="center"/>
          </w:tcPr>
          <w:p w14:paraId="65D6E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全面落实</w:t>
            </w:r>
          </w:p>
        </w:tc>
        <w:tc>
          <w:tcPr>
            <w:tcW w:w="1080" w:type="dxa"/>
            <w:noWrap w:val="0"/>
            <w:vAlign w:val="center"/>
          </w:tcPr>
          <w:p w14:paraId="584F4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全面落实</w:t>
            </w:r>
          </w:p>
        </w:tc>
        <w:tc>
          <w:tcPr>
            <w:tcW w:w="675" w:type="dxa"/>
            <w:noWrap w:val="0"/>
            <w:vAlign w:val="center"/>
          </w:tcPr>
          <w:p w14:paraId="4E8F5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10" w:type="dxa"/>
            <w:noWrap w:val="0"/>
            <w:vAlign w:val="center"/>
          </w:tcPr>
          <w:p w14:paraId="5D104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115" w:type="dxa"/>
            <w:noWrap w:val="0"/>
            <w:vAlign w:val="center"/>
          </w:tcPr>
          <w:p w14:paraId="15FFF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28D5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71" w:type="dxa"/>
            <w:vMerge w:val="continue"/>
            <w:noWrap w:val="0"/>
            <w:vAlign w:val="center"/>
          </w:tcPr>
          <w:p w14:paraId="2DEC6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continue"/>
            <w:noWrap w:val="0"/>
            <w:vAlign w:val="center"/>
          </w:tcPr>
          <w:p w14:paraId="0FE35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0786D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325" w:type="dxa"/>
            <w:noWrap w:val="0"/>
            <w:vAlign w:val="center"/>
          </w:tcPr>
          <w:p w14:paraId="37686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示范城市建设以来，新建项目全面落实建设理念</w:t>
            </w:r>
          </w:p>
        </w:tc>
        <w:tc>
          <w:tcPr>
            <w:tcW w:w="1065" w:type="dxa"/>
            <w:noWrap w:val="0"/>
            <w:vAlign w:val="center"/>
          </w:tcPr>
          <w:p w14:paraId="395D4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是</w:t>
            </w:r>
          </w:p>
        </w:tc>
        <w:tc>
          <w:tcPr>
            <w:tcW w:w="1080" w:type="dxa"/>
            <w:noWrap w:val="0"/>
            <w:vAlign w:val="center"/>
          </w:tcPr>
          <w:p w14:paraId="445F1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是</w:t>
            </w:r>
          </w:p>
        </w:tc>
        <w:tc>
          <w:tcPr>
            <w:tcW w:w="675" w:type="dxa"/>
            <w:noWrap w:val="0"/>
            <w:vAlign w:val="center"/>
          </w:tcPr>
          <w:p w14:paraId="1BCCB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10" w:type="dxa"/>
            <w:noWrap w:val="0"/>
            <w:vAlign w:val="center"/>
          </w:tcPr>
          <w:p w14:paraId="3AAB4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115" w:type="dxa"/>
            <w:noWrap w:val="0"/>
            <w:vAlign w:val="center"/>
          </w:tcPr>
          <w:p w14:paraId="18F77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7B51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071" w:type="dxa"/>
            <w:vMerge w:val="continue"/>
            <w:noWrap w:val="0"/>
            <w:vAlign w:val="center"/>
          </w:tcPr>
          <w:p w14:paraId="6D301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continue"/>
            <w:noWrap w:val="0"/>
            <w:vAlign w:val="center"/>
          </w:tcPr>
          <w:p w14:paraId="1E605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53C89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0B707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2325" w:type="dxa"/>
            <w:noWrap w:val="0"/>
            <w:vAlign w:val="center"/>
          </w:tcPr>
          <w:p w14:paraId="09EF9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lang w:val="en-US" w:eastAsia="zh-CN"/>
              </w:rPr>
              <w:t>项目谋划与实施的系统性整体性（防涝与排渍水统筹、地上与地下统筹、排涝和治污统筹等）</w:t>
            </w:r>
          </w:p>
        </w:tc>
        <w:tc>
          <w:tcPr>
            <w:tcW w:w="1065" w:type="dxa"/>
            <w:noWrap w:val="0"/>
            <w:vAlign w:val="center"/>
          </w:tcPr>
          <w:p w14:paraId="53C52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强</w:t>
            </w:r>
          </w:p>
        </w:tc>
        <w:tc>
          <w:tcPr>
            <w:tcW w:w="1080" w:type="dxa"/>
            <w:noWrap w:val="0"/>
            <w:vAlign w:val="center"/>
          </w:tcPr>
          <w:p w14:paraId="2B677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强</w:t>
            </w:r>
          </w:p>
        </w:tc>
        <w:tc>
          <w:tcPr>
            <w:tcW w:w="675" w:type="dxa"/>
            <w:noWrap w:val="0"/>
            <w:vAlign w:val="center"/>
          </w:tcPr>
          <w:p w14:paraId="47BDB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10" w:type="dxa"/>
            <w:noWrap w:val="0"/>
            <w:vAlign w:val="center"/>
          </w:tcPr>
          <w:p w14:paraId="0ED90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115" w:type="dxa"/>
            <w:noWrap w:val="0"/>
            <w:vAlign w:val="center"/>
          </w:tcPr>
          <w:p w14:paraId="51C55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8484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noWrap w:val="0"/>
            <w:vAlign w:val="center"/>
          </w:tcPr>
          <w:p w14:paraId="49C51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continue"/>
            <w:noWrap w:val="0"/>
            <w:vAlign w:val="center"/>
          </w:tcPr>
          <w:p w14:paraId="126A6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1CB42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2325" w:type="dxa"/>
            <w:noWrap w:val="0"/>
            <w:vAlign w:val="center"/>
          </w:tcPr>
          <w:p w14:paraId="65E53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提升城市排水管理，保障人民生命财产安全</w:t>
            </w:r>
          </w:p>
        </w:tc>
        <w:tc>
          <w:tcPr>
            <w:tcW w:w="1065" w:type="dxa"/>
            <w:noWrap w:val="0"/>
            <w:vAlign w:val="center"/>
          </w:tcPr>
          <w:p w14:paraId="5520C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具有可持续性</w:t>
            </w:r>
          </w:p>
        </w:tc>
        <w:tc>
          <w:tcPr>
            <w:tcW w:w="1080" w:type="dxa"/>
            <w:noWrap w:val="0"/>
            <w:vAlign w:val="center"/>
          </w:tcPr>
          <w:p w14:paraId="4FCA4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具有可持续性</w:t>
            </w:r>
          </w:p>
        </w:tc>
        <w:tc>
          <w:tcPr>
            <w:tcW w:w="675" w:type="dxa"/>
            <w:noWrap w:val="0"/>
            <w:vAlign w:val="center"/>
          </w:tcPr>
          <w:p w14:paraId="3AD60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10" w:type="dxa"/>
            <w:noWrap w:val="0"/>
            <w:vAlign w:val="center"/>
          </w:tcPr>
          <w:p w14:paraId="399BE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115" w:type="dxa"/>
            <w:noWrap w:val="0"/>
            <w:vAlign w:val="center"/>
          </w:tcPr>
          <w:p w14:paraId="343F4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AD21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vMerge w:val="continue"/>
            <w:noWrap w:val="0"/>
            <w:vAlign w:val="center"/>
          </w:tcPr>
          <w:p w14:paraId="7535D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noWrap w:val="0"/>
            <w:vAlign w:val="center"/>
          </w:tcPr>
          <w:p w14:paraId="54DE6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满意度指标</w:t>
            </w:r>
          </w:p>
        </w:tc>
        <w:tc>
          <w:tcPr>
            <w:tcW w:w="1020" w:type="dxa"/>
            <w:noWrap w:val="0"/>
            <w:vAlign w:val="center"/>
          </w:tcPr>
          <w:p w14:paraId="14C7C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2325" w:type="dxa"/>
            <w:noWrap w:val="0"/>
            <w:vAlign w:val="center"/>
          </w:tcPr>
          <w:p w14:paraId="719BB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人民群众满意度</w:t>
            </w:r>
          </w:p>
        </w:tc>
        <w:tc>
          <w:tcPr>
            <w:tcW w:w="1065" w:type="dxa"/>
            <w:noWrap w:val="0"/>
            <w:vAlign w:val="center"/>
          </w:tcPr>
          <w:p w14:paraId="14EA6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≥95%</w:t>
            </w:r>
          </w:p>
        </w:tc>
        <w:tc>
          <w:tcPr>
            <w:tcW w:w="1080" w:type="dxa"/>
            <w:noWrap w:val="0"/>
            <w:vAlign w:val="center"/>
          </w:tcPr>
          <w:p w14:paraId="006E0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≥95%</w:t>
            </w:r>
          </w:p>
        </w:tc>
        <w:tc>
          <w:tcPr>
            <w:tcW w:w="675" w:type="dxa"/>
            <w:noWrap w:val="0"/>
            <w:vAlign w:val="center"/>
          </w:tcPr>
          <w:p w14:paraId="465B2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10" w:type="dxa"/>
            <w:noWrap w:val="0"/>
            <w:vAlign w:val="center"/>
          </w:tcPr>
          <w:p w14:paraId="5E2A5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115" w:type="dxa"/>
            <w:noWrap w:val="0"/>
            <w:vAlign w:val="center"/>
          </w:tcPr>
          <w:p w14:paraId="30F8B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3122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51" w:type="dxa"/>
            <w:gridSpan w:val="6"/>
            <w:noWrap w:val="0"/>
            <w:vAlign w:val="center"/>
          </w:tcPr>
          <w:p w14:paraId="1EDCD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675" w:type="dxa"/>
            <w:noWrap w:val="0"/>
            <w:vAlign w:val="center"/>
          </w:tcPr>
          <w:p w14:paraId="120A7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10" w:type="dxa"/>
            <w:noWrap w:val="0"/>
            <w:vAlign w:val="center"/>
          </w:tcPr>
          <w:p w14:paraId="3526F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1115" w:type="dxa"/>
            <w:noWrap w:val="0"/>
            <w:vAlign w:val="center"/>
          </w:tcPr>
          <w:p w14:paraId="6A94C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3295828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18"/>
          <w:szCs w:val="18"/>
          <w:highlight w:val="none"/>
          <w:lang w:eastAsia="zh-CN"/>
        </w:rPr>
      </w:pPr>
    </w:p>
    <w:p w14:paraId="55DAE55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3-6</w:t>
      </w:r>
    </w:p>
    <w:p w14:paraId="0FA80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119DD3D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9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846"/>
        <w:gridCol w:w="1950"/>
        <w:gridCol w:w="1380"/>
        <w:gridCol w:w="975"/>
        <w:gridCol w:w="630"/>
        <w:gridCol w:w="705"/>
        <w:gridCol w:w="1205"/>
      </w:tblGrid>
      <w:tr w14:paraId="5AE57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noWrap w:val="0"/>
            <w:vAlign w:val="center"/>
          </w:tcPr>
          <w:p w14:paraId="3D1A6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5DD19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 w14:paraId="60972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岳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阳市蛇皮套和三大湖综合整治工程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　</w:t>
            </w:r>
          </w:p>
        </w:tc>
      </w:tr>
      <w:tr w14:paraId="6D6EB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noWrap w:val="0"/>
            <w:vAlign w:val="center"/>
          </w:tcPr>
          <w:p w14:paraId="4229C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5256" w:type="dxa"/>
            <w:gridSpan w:val="4"/>
            <w:noWrap w:val="0"/>
            <w:vAlign w:val="center"/>
          </w:tcPr>
          <w:p w14:paraId="336E2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岳阳市城市管理和综合执法局</w:t>
            </w:r>
          </w:p>
        </w:tc>
        <w:tc>
          <w:tcPr>
            <w:tcW w:w="975" w:type="dxa"/>
            <w:noWrap w:val="0"/>
            <w:vAlign w:val="center"/>
          </w:tcPr>
          <w:p w14:paraId="7AA13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2540" w:type="dxa"/>
            <w:gridSpan w:val="3"/>
            <w:noWrap w:val="0"/>
            <w:vAlign w:val="center"/>
          </w:tcPr>
          <w:p w14:paraId="3F4A9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岳阳凯投环保科技有限公司</w:t>
            </w:r>
          </w:p>
        </w:tc>
      </w:tr>
      <w:tr w14:paraId="2B133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4F643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1926" w:type="dxa"/>
            <w:gridSpan w:val="2"/>
            <w:noWrap w:val="0"/>
            <w:vAlign w:val="center"/>
          </w:tcPr>
          <w:p w14:paraId="48F7F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50" w:type="dxa"/>
            <w:noWrap w:val="0"/>
            <w:vAlign w:val="center"/>
          </w:tcPr>
          <w:p w14:paraId="06226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6BCC0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380" w:type="dxa"/>
            <w:noWrap w:val="0"/>
            <w:vAlign w:val="center"/>
          </w:tcPr>
          <w:p w14:paraId="4366B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063D4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975" w:type="dxa"/>
            <w:noWrap w:val="0"/>
            <w:vAlign w:val="center"/>
          </w:tcPr>
          <w:p w14:paraId="1177D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527E2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630" w:type="dxa"/>
            <w:noWrap w:val="0"/>
            <w:vAlign w:val="center"/>
          </w:tcPr>
          <w:p w14:paraId="3466C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705" w:type="dxa"/>
            <w:noWrap w:val="0"/>
            <w:vAlign w:val="center"/>
          </w:tcPr>
          <w:p w14:paraId="191E0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205" w:type="dxa"/>
            <w:noWrap w:val="0"/>
            <w:vAlign w:val="center"/>
          </w:tcPr>
          <w:p w14:paraId="0C1E3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00630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25BE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926" w:type="dxa"/>
            <w:gridSpan w:val="2"/>
            <w:noWrap w:val="0"/>
            <w:vAlign w:val="center"/>
          </w:tcPr>
          <w:p w14:paraId="649C2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950" w:type="dxa"/>
            <w:noWrap w:val="0"/>
            <w:vAlign w:val="center"/>
          </w:tcPr>
          <w:p w14:paraId="06A4E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3758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83</w:t>
            </w:r>
          </w:p>
        </w:tc>
        <w:tc>
          <w:tcPr>
            <w:tcW w:w="1380" w:type="dxa"/>
            <w:noWrap w:val="0"/>
            <w:vAlign w:val="center"/>
          </w:tcPr>
          <w:p w14:paraId="45382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3758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83</w:t>
            </w:r>
          </w:p>
        </w:tc>
        <w:tc>
          <w:tcPr>
            <w:tcW w:w="975" w:type="dxa"/>
            <w:noWrap w:val="0"/>
            <w:vAlign w:val="center"/>
          </w:tcPr>
          <w:p w14:paraId="5B227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3758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83</w:t>
            </w:r>
          </w:p>
        </w:tc>
        <w:tc>
          <w:tcPr>
            <w:tcW w:w="630" w:type="dxa"/>
            <w:noWrap w:val="0"/>
            <w:vAlign w:val="center"/>
          </w:tcPr>
          <w:p w14:paraId="100C1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705" w:type="dxa"/>
            <w:noWrap w:val="0"/>
            <w:vAlign w:val="center"/>
          </w:tcPr>
          <w:p w14:paraId="1B42C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05" w:type="dxa"/>
            <w:noWrap w:val="0"/>
            <w:vAlign w:val="center"/>
          </w:tcPr>
          <w:p w14:paraId="2432F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65C2C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1585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926" w:type="dxa"/>
            <w:gridSpan w:val="2"/>
            <w:noWrap w:val="0"/>
            <w:vAlign w:val="center"/>
          </w:tcPr>
          <w:p w14:paraId="0A850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950" w:type="dxa"/>
            <w:noWrap w:val="0"/>
            <w:vAlign w:val="center"/>
          </w:tcPr>
          <w:p w14:paraId="128D5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3758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83</w:t>
            </w:r>
          </w:p>
        </w:tc>
        <w:tc>
          <w:tcPr>
            <w:tcW w:w="1380" w:type="dxa"/>
            <w:noWrap w:val="0"/>
            <w:vAlign w:val="center"/>
          </w:tcPr>
          <w:p w14:paraId="0F98A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3758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83</w:t>
            </w:r>
          </w:p>
        </w:tc>
        <w:tc>
          <w:tcPr>
            <w:tcW w:w="975" w:type="dxa"/>
            <w:noWrap w:val="0"/>
            <w:vAlign w:val="center"/>
          </w:tcPr>
          <w:p w14:paraId="00DF4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3758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83</w:t>
            </w:r>
          </w:p>
        </w:tc>
        <w:tc>
          <w:tcPr>
            <w:tcW w:w="630" w:type="dxa"/>
            <w:noWrap w:val="0"/>
            <w:vAlign w:val="center"/>
          </w:tcPr>
          <w:p w14:paraId="14324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2453F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05" w:type="dxa"/>
            <w:noWrap w:val="0"/>
            <w:vAlign w:val="center"/>
          </w:tcPr>
          <w:p w14:paraId="7A9B9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317E6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012B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926" w:type="dxa"/>
            <w:gridSpan w:val="2"/>
            <w:noWrap w:val="0"/>
            <w:vAlign w:val="center"/>
          </w:tcPr>
          <w:p w14:paraId="7A02B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950" w:type="dxa"/>
            <w:noWrap w:val="0"/>
            <w:vAlign w:val="center"/>
          </w:tcPr>
          <w:p w14:paraId="0760C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380" w:type="dxa"/>
            <w:noWrap w:val="0"/>
            <w:vAlign w:val="center"/>
          </w:tcPr>
          <w:p w14:paraId="04D0E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975" w:type="dxa"/>
            <w:noWrap w:val="0"/>
            <w:vAlign w:val="center"/>
          </w:tcPr>
          <w:p w14:paraId="1DF49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630" w:type="dxa"/>
            <w:noWrap w:val="0"/>
            <w:vAlign w:val="center"/>
          </w:tcPr>
          <w:p w14:paraId="4AA8A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 w14:paraId="48504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205" w:type="dxa"/>
            <w:noWrap w:val="0"/>
            <w:vAlign w:val="center"/>
          </w:tcPr>
          <w:p w14:paraId="57C5A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7BF89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67C9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926" w:type="dxa"/>
            <w:gridSpan w:val="2"/>
            <w:noWrap w:val="0"/>
            <w:vAlign w:val="center"/>
          </w:tcPr>
          <w:p w14:paraId="6D918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950" w:type="dxa"/>
            <w:noWrap w:val="0"/>
            <w:vAlign w:val="center"/>
          </w:tcPr>
          <w:p w14:paraId="65399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380" w:type="dxa"/>
            <w:noWrap w:val="0"/>
            <w:vAlign w:val="center"/>
          </w:tcPr>
          <w:p w14:paraId="074C7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975" w:type="dxa"/>
            <w:noWrap w:val="0"/>
            <w:vAlign w:val="center"/>
          </w:tcPr>
          <w:p w14:paraId="52994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630" w:type="dxa"/>
            <w:noWrap w:val="0"/>
            <w:vAlign w:val="center"/>
          </w:tcPr>
          <w:p w14:paraId="067BE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 w14:paraId="0006A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205" w:type="dxa"/>
            <w:noWrap w:val="0"/>
            <w:vAlign w:val="center"/>
          </w:tcPr>
          <w:p w14:paraId="7A8B0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2B69A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6A324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5256" w:type="dxa"/>
            <w:gridSpan w:val="4"/>
            <w:noWrap w:val="0"/>
            <w:vAlign w:val="center"/>
          </w:tcPr>
          <w:p w14:paraId="01945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3515" w:type="dxa"/>
            <w:gridSpan w:val="4"/>
            <w:noWrap w:val="0"/>
            <w:vAlign w:val="center"/>
          </w:tcPr>
          <w:p w14:paraId="57727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638B2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B282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256" w:type="dxa"/>
            <w:gridSpan w:val="4"/>
            <w:noWrap w:val="0"/>
            <w:vAlign w:val="center"/>
          </w:tcPr>
          <w:p w14:paraId="4485E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及时处理公园内基础设施设备，保障设施设备良好，同时公共区域内无废弃物。2、明确管理责任，健全操作规程，对于定期检查、维修养护进行完整记录。3、公园不定期开展安全宣传教育培训活动，开展安全隐患排查；组织应急预案演练。4、生态滤池进水情况进行规范的记录，及时进行检测。5、严格遵照考核指标，公园环境、水质、路面、设施设备高水平维护，保障经费回报完整。6、随机调查相关社会人员对于项目提供社会性服务的满意度，周边住户评价度高有助于提升项目在公众中的形象。　</w:t>
            </w:r>
          </w:p>
        </w:tc>
        <w:tc>
          <w:tcPr>
            <w:tcW w:w="3515" w:type="dxa"/>
            <w:gridSpan w:val="4"/>
            <w:noWrap w:val="0"/>
            <w:vAlign w:val="center"/>
          </w:tcPr>
          <w:p w14:paraId="79ACC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针对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公园内基础设施设备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运行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良好，同时公共区域内无废弃物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，清理及时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。定期检查、维修养护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完整记录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备案；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2、遵照考核指标，公园环境、水质、路面、设施设备进行了高水平维护。3、周边住户评价度高；4、定期自查自检，对运行过程中发生的不利情况进行及时的修正或整改，无相关投诉情况。达到了预期目标。</w:t>
            </w:r>
          </w:p>
        </w:tc>
      </w:tr>
      <w:tr w14:paraId="24AFC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5F4D6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4320E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6BFF0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21F5B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 w14:paraId="1BE59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846" w:type="dxa"/>
            <w:noWrap w:val="0"/>
            <w:vAlign w:val="center"/>
          </w:tcPr>
          <w:p w14:paraId="6E446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950" w:type="dxa"/>
            <w:noWrap w:val="0"/>
            <w:vAlign w:val="center"/>
          </w:tcPr>
          <w:p w14:paraId="5C913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380" w:type="dxa"/>
            <w:noWrap w:val="0"/>
            <w:vAlign w:val="center"/>
          </w:tcPr>
          <w:p w14:paraId="4242D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781B0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975" w:type="dxa"/>
            <w:noWrap w:val="0"/>
            <w:vAlign w:val="center"/>
          </w:tcPr>
          <w:p w14:paraId="6EFB7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0D76D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630" w:type="dxa"/>
            <w:noWrap w:val="0"/>
            <w:vAlign w:val="center"/>
          </w:tcPr>
          <w:p w14:paraId="5B84F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705" w:type="dxa"/>
            <w:noWrap w:val="0"/>
            <w:vAlign w:val="center"/>
          </w:tcPr>
          <w:p w14:paraId="5CCBD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205" w:type="dxa"/>
            <w:noWrap w:val="0"/>
            <w:vAlign w:val="center"/>
          </w:tcPr>
          <w:p w14:paraId="7B3EE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7F946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1399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10AFB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15201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6ECA1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846" w:type="dxa"/>
            <w:noWrap w:val="0"/>
            <w:vAlign w:val="center"/>
          </w:tcPr>
          <w:p w14:paraId="00973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950" w:type="dxa"/>
            <w:noWrap w:val="0"/>
            <w:vAlign w:val="center"/>
          </w:tcPr>
          <w:p w14:paraId="53B2D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1.符合相关法律规定，验收合格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2.符合工程施工安全检查标准；3.完成排污管道建设；4.完成工程竣工；5.完成园林绿化；6.完成道路及人行道维护；7.完成日常排水</w:t>
            </w:r>
          </w:p>
        </w:tc>
        <w:tc>
          <w:tcPr>
            <w:tcW w:w="1380" w:type="dxa"/>
            <w:noWrap w:val="0"/>
            <w:vAlign w:val="center"/>
          </w:tcPr>
          <w:p w14:paraId="3A885D42">
            <w:pPr>
              <w:keepNext w:val="0"/>
              <w:keepLines w:val="0"/>
              <w:pageBreakBefore w:val="0"/>
              <w:widowControl w:val="0"/>
              <w:tabs>
                <w:tab w:val="left" w:pos="4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≤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3758.83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万</w:t>
            </w:r>
          </w:p>
        </w:tc>
        <w:tc>
          <w:tcPr>
            <w:tcW w:w="975" w:type="dxa"/>
            <w:noWrap w:val="0"/>
            <w:vAlign w:val="center"/>
          </w:tcPr>
          <w:p w14:paraId="12EB6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630" w:type="dxa"/>
            <w:noWrap w:val="0"/>
            <w:vAlign w:val="center"/>
          </w:tcPr>
          <w:p w14:paraId="3C1B9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705" w:type="dxa"/>
            <w:noWrap w:val="0"/>
            <w:vAlign w:val="center"/>
          </w:tcPr>
          <w:p w14:paraId="36034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05" w:type="dxa"/>
            <w:noWrap w:val="0"/>
            <w:vAlign w:val="center"/>
          </w:tcPr>
          <w:p w14:paraId="23FB1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AD84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95FF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B89C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46" w:type="dxa"/>
            <w:noWrap w:val="0"/>
            <w:vAlign w:val="center"/>
          </w:tcPr>
          <w:p w14:paraId="670E2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950" w:type="dxa"/>
            <w:noWrap w:val="0"/>
            <w:vAlign w:val="center"/>
          </w:tcPr>
          <w:p w14:paraId="2109E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1.灌木丛缺失率；2.水体化学含氧量；3.财务管理制度严格规范；4.建筑质量保持度；5.车辙累计长度；6.园区内标示标牌</w:t>
            </w:r>
          </w:p>
        </w:tc>
        <w:tc>
          <w:tcPr>
            <w:tcW w:w="1380" w:type="dxa"/>
            <w:noWrap w:val="0"/>
            <w:vAlign w:val="center"/>
          </w:tcPr>
          <w:p w14:paraId="55B77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1.不超过1㎡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2.不超过30mg/L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3.规范度100%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4.保持度98%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5.不超过25 m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数量100%</w:t>
            </w:r>
          </w:p>
        </w:tc>
        <w:tc>
          <w:tcPr>
            <w:tcW w:w="975" w:type="dxa"/>
            <w:noWrap w:val="0"/>
            <w:vAlign w:val="center"/>
          </w:tcPr>
          <w:p w14:paraId="0BA34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630" w:type="dxa"/>
            <w:noWrap w:val="0"/>
            <w:vAlign w:val="center"/>
          </w:tcPr>
          <w:p w14:paraId="353B6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705" w:type="dxa"/>
            <w:noWrap w:val="0"/>
            <w:vAlign w:val="center"/>
          </w:tcPr>
          <w:p w14:paraId="290B4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05" w:type="dxa"/>
            <w:noWrap w:val="0"/>
            <w:vAlign w:val="center"/>
          </w:tcPr>
          <w:p w14:paraId="43E42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3CE9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AD6D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3A76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46" w:type="dxa"/>
            <w:noWrap w:val="0"/>
            <w:vAlign w:val="center"/>
          </w:tcPr>
          <w:p w14:paraId="0FFDB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950" w:type="dxa"/>
            <w:noWrap w:val="0"/>
            <w:vAlign w:val="center"/>
          </w:tcPr>
          <w:p w14:paraId="3671D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1.季度考核30%另纳入运营期绩效考核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2。季度考核</w:t>
            </w:r>
          </w:p>
        </w:tc>
        <w:tc>
          <w:tcPr>
            <w:tcW w:w="1380" w:type="dxa"/>
            <w:noWrap w:val="0"/>
            <w:vAlign w:val="center"/>
          </w:tcPr>
          <w:p w14:paraId="58935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1.30%每季度考核一次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每季度考核</w:t>
            </w:r>
          </w:p>
        </w:tc>
        <w:tc>
          <w:tcPr>
            <w:tcW w:w="975" w:type="dxa"/>
            <w:noWrap w:val="0"/>
            <w:vAlign w:val="center"/>
          </w:tcPr>
          <w:p w14:paraId="748F7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630" w:type="dxa"/>
            <w:noWrap w:val="0"/>
            <w:vAlign w:val="center"/>
          </w:tcPr>
          <w:p w14:paraId="770DF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705" w:type="dxa"/>
            <w:noWrap w:val="0"/>
            <w:vAlign w:val="center"/>
          </w:tcPr>
          <w:p w14:paraId="40EE8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05" w:type="dxa"/>
            <w:noWrap w:val="0"/>
            <w:vAlign w:val="center"/>
          </w:tcPr>
          <w:p w14:paraId="2D45E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87B0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D867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2D10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46" w:type="dxa"/>
            <w:vMerge w:val="restart"/>
            <w:noWrap w:val="0"/>
            <w:vAlign w:val="center"/>
          </w:tcPr>
          <w:p w14:paraId="4883E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950" w:type="dxa"/>
            <w:noWrap w:val="0"/>
            <w:vAlign w:val="center"/>
          </w:tcPr>
          <w:p w14:paraId="1FD69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项目金额控制在预算内</w:t>
            </w:r>
          </w:p>
        </w:tc>
        <w:tc>
          <w:tcPr>
            <w:tcW w:w="1380" w:type="dxa"/>
            <w:noWrap w:val="0"/>
            <w:vAlign w:val="center"/>
          </w:tcPr>
          <w:p w14:paraId="41A63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≤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3758.83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万</w:t>
            </w:r>
          </w:p>
        </w:tc>
        <w:tc>
          <w:tcPr>
            <w:tcW w:w="975" w:type="dxa"/>
            <w:noWrap w:val="0"/>
            <w:vAlign w:val="center"/>
          </w:tcPr>
          <w:p w14:paraId="02617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630" w:type="dxa"/>
            <w:noWrap w:val="0"/>
            <w:vAlign w:val="center"/>
          </w:tcPr>
          <w:p w14:paraId="34957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705" w:type="dxa"/>
            <w:noWrap w:val="0"/>
            <w:vAlign w:val="center"/>
          </w:tcPr>
          <w:p w14:paraId="31F7E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05" w:type="dxa"/>
            <w:noWrap w:val="0"/>
            <w:vAlign w:val="center"/>
          </w:tcPr>
          <w:p w14:paraId="44706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D928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97D1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4547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46" w:type="dxa"/>
            <w:vMerge w:val="continue"/>
            <w:noWrap w:val="0"/>
            <w:vAlign w:val="center"/>
          </w:tcPr>
          <w:p w14:paraId="4046F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2F064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对社会发展造成的负面影响</w:t>
            </w:r>
          </w:p>
        </w:tc>
        <w:tc>
          <w:tcPr>
            <w:tcW w:w="1380" w:type="dxa"/>
            <w:noWrap w:val="0"/>
            <w:vAlign w:val="center"/>
          </w:tcPr>
          <w:p w14:paraId="6FF07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无负面影响</w:t>
            </w:r>
          </w:p>
        </w:tc>
        <w:tc>
          <w:tcPr>
            <w:tcW w:w="975" w:type="dxa"/>
            <w:noWrap w:val="0"/>
            <w:vAlign w:val="center"/>
          </w:tcPr>
          <w:p w14:paraId="6FA9A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630" w:type="dxa"/>
            <w:noWrap w:val="0"/>
            <w:vAlign w:val="center"/>
          </w:tcPr>
          <w:p w14:paraId="78136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705" w:type="dxa"/>
            <w:noWrap w:val="0"/>
            <w:vAlign w:val="center"/>
          </w:tcPr>
          <w:p w14:paraId="293D0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205" w:type="dxa"/>
            <w:noWrap w:val="0"/>
            <w:vAlign w:val="center"/>
          </w:tcPr>
          <w:p w14:paraId="2207C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4B8B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CF21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0632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46" w:type="dxa"/>
            <w:vMerge w:val="continue"/>
            <w:noWrap w:val="0"/>
            <w:vAlign w:val="center"/>
          </w:tcPr>
          <w:p w14:paraId="594E1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79293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对生态环境造成费负面影响</w:t>
            </w:r>
          </w:p>
        </w:tc>
        <w:tc>
          <w:tcPr>
            <w:tcW w:w="1380" w:type="dxa"/>
            <w:noWrap w:val="0"/>
            <w:vAlign w:val="center"/>
          </w:tcPr>
          <w:p w14:paraId="1C0A3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无负面影响</w:t>
            </w:r>
          </w:p>
        </w:tc>
        <w:tc>
          <w:tcPr>
            <w:tcW w:w="975" w:type="dxa"/>
            <w:noWrap w:val="0"/>
            <w:vAlign w:val="center"/>
          </w:tcPr>
          <w:p w14:paraId="68284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630" w:type="dxa"/>
            <w:noWrap w:val="0"/>
            <w:vAlign w:val="center"/>
          </w:tcPr>
          <w:p w14:paraId="2D73B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705" w:type="dxa"/>
            <w:noWrap w:val="0"/>
            <w:vAlign w:val="center"/>
          </w:tcPr>
          <w:p w14:paraId="6B661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205" w:type="dxa"/>
            <w:noWrap w:val="0"/>
            <w:vAlign w:val="center"/>
          </w:tcPr>
          <w:p w14:paraId="11594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1DFE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B3FB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31D0D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64159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786D2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59D9A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46" w:type="dxa"/>
            <w:noWrap w:val="0"/>
            <w:vAlign w:val="center"/>
          </w:tcPr>
          <w:p w14:paraId="55CD8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400E0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950" w:type="dxa"/>
            <w:noWrap w:val="0"/>
            <w:vAlign w:val="center"/>
          </w:tcPr>
          <w:p w14:paraId="409D0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将PPP项目总投资金额，按PPP合同公式计算，十年分期支付给项目公司</w:t>
            </w:r>
          </w:p>
        </w:tc>
        <w:tc>
          <w:tcPr>
            <w:tcW w:w="1380" w:type="dxa"/>
            <w:noWrap w:val="0"/>
            <w:vAlign w:val="center"/>
          </w:tcPr>
          <w:p w14:paraId="4FABB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每年支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付可用性服务费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2397.55万元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2.每年支付290万运营费。</w:t>
            </w:r>
          </w:p>
        </w:tc>
        <w:tc>
          <w:tcPr>
            <w:tcW w:w="975" w:type="dxa"/>
            <w:noWrap w:val="0"/>
            <w:vAlign w:val="center"/>
          </w:tcPr>
          <w:p w14:paraId="17E47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630" w:type="dxa"/>
            <w:noWrap w:val="0"/>
            <w:vAlign w:val="center"/>
          </w:tcPr>
          <w:p w14:paraId="24303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705" w:type="dxa"/>
            <w:noWrap w:val="0"/>
            <w:vAlign w:val="center"/>
          </w:tcPr>
          <w:p w14:paraId="2C2A4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05" w:type="dxa"/>
            <w:noWrap w:val="0"/>
            <w:vAlign w:val="center"/>
          </w:tcPr>
          <w:p w14:paraId="3D656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9E44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5C10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E743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46" w:type="dxa"/>
            <w:noWrap w:val="0"/>
            <w:vAlign w:val="center"/>
          </w:tcPr>
          <w:p w14:paraId="0A8DA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580ED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950" w:type="dxa"/>
            <w:noWrap w:val="0"/>
            <w:vAlign w:val="center"/>
          </w:tcPr>
          <w:p w14:paraId="16E15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给周边居民提供良好的生态环境公园</w:t>
            </w:r>
          </w:p>
        </w:tc>
        <w:tc>
          <w:tcPr>
            <w:tcW w:w="1380" w:type="dxa"/>
            <w:noWrap w:val="0"/>
            <w:vAlign w:val="center"/>
          </w:tcPr>
          <w:p w14:paraId="3F5BF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975" w:type="dxa"/>
            <w:noWrap w:val="0"/>
            <w:vAlign w:val="center"/>
          </w:tcPr>
          <w:p w14:paraId="085B9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630" w:type="dxa"/>
            <w:noWrap w:val="0"/>
            <w:vAlign w:val="center"/>
          </w:tcPr>
          <w:p w14:paraId="4FE0B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705" w:type="dxa"/>
            <w:noWrap w:val="0"/>
            <w:vAlign w:val="center"/>
          </w:tcPr>
          <w:p w14:paraId="49E4B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205" w:type="dxa"/>
            <w:noWrap w:val="0"/>
            <w:vAlign w:val="center"/>
          </w:tcPr>
          <w:p w14:paraId="3CC48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7C96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4FC6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92E0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46" w:type="dxa"/>
            <w:vMerge w:val="restart"/>
            <w:noWrap w:val="0"/>
            <w:vAlign w:val="center"/>
          </w:tcPr>
          <w:p w14:paraId="706F5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5E3D1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950" w:type="dxa"/>
            <w:noWrap w:val="0"/>
            <w:vAlign w:val="center"/>
          </w:tcPr>
          <w:p w14:paraId="03A56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改善原本的发臭味水体影响。</w:t>
            </w:r>
          </w:p>
        </w:tc>
        <w:tc>
          <w:tcPr>
            <w:tcW w:w="1380" w:type="dxa"/>
            <w:noWrap w:val="0"/>
            <w:vAlign w:val="center"/>
          </w:tcPr>
          <w:p w14:paraId="28DA5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1.水体无发臭味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2.改善城市形象。</w:t>
            </w:r>
          </w:p>
        </w:tc>
        <w:tc>
          <w:tcPr>
            <w:tcW w:w="975" w:type="dxa"/>
            <w:noWrap w:val="0"/>
            <w:vAlign w:val="center"/>
          </w:tcPr>
          <w:p w14:paraId="4CD5B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630" w:type="dxa"/>
            <w:noWrap w:val="0"/>
            <w:vAlign w:val="center"/>
          </w:tcPr>
          <w:p w14:paraId="0B984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705" w:type="dxa"/>
            <w:noWrap w:val="0"/>
            <w:vAlign w:val="center"/>
          </w:tcPr>
          <w:p w14:paraId="164DC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205" w:type="dxa"/>
            <w:noWrap w:val="0"/>
            <w:vAlign w:val="center"/>
          </w:tcPr>
          <w:p w14:paraId="213B2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4B0B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FD7F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7238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46" w:type="dxa"/>
            <w:vMerge w:val="continue"/>
            <w:noWrap w:val="0"/>
            <w:vAlign w:val="center"/>
          </w:tcPr>
          <w:p w14:paraId="66FA8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43A7A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给城市的生态环境带来正面影响。</w:t>
            </w:r>
          </w:p>
        </w:tc>
        <w:tc>
          <w:tcPr>
            <w:tcW w:w="1380" w:type="dxa"/>
            <w:noWrap w:val="0"/>
            <w:vAlign w:val="center"/>
          </w:tcPr>
          <w:p w14:paraId="0D049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改善城市形象。</w:t>
            </w:r>
          </w:p>
        </w:tc>
        <w:tc>
          <w:tcPr>
            <w:tcW w:w="975" w:type="dxa"/>
            <w:noWrap w:val="0"/>
            <w:vAlign w:val="center"/>
          </w:tcPr>
          <w:p w14:paraId="48ED0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630" w:type="dxa"/>
            <w:noWrap w:val="0"/>
            <w:vAlign w:val="center"/>
          </w:tcPr>
          <w:p w14:paraId="172AC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705" w:type="dxa"/>
            <w:noWrap w:val="0"/>
            <w:vAlign w:val="center"/>
          </w:tcPr>
          <w:p w14:paraId="268D9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205" w:type="dxa"/>
            <w:noWrap w:val="0"/>
            <w:vAlign w:val="center"/>
          </w:tcPr>
          <w:p w14:paraId="29CA7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DCAF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D7A9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0188D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46" w:type="dxa"/>
            <w:noWrap w:val="0"/>
            <w:vAlign w:val="center"/>
          </w:tcPr>
          <w:p w14:paraId="1E1ED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950" w:type="dxa"/>
            <w:noWrap w:val="0"/>
            <w:vAlign w:val="center"/>
          </w:tcPr>
          <w:p w14:paraId="2461B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周边生态可持续好转</w:t>
            </w:r>
          </w:p>
        </w:tc>
        <w:tc>
          <w:tcPr>
            <w:tcW w:w="1380" w:type="dxa"/>
            <w:noWrap w:val="0"/>
            <w:vAlign w:val="center"/>
          </w:tcPr>
          <w:p w14:paraId="1BB5C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持续发展海绵城市</w:t>
            </w:r>
          </w:p>
        </w:tc>
        <w:tc>
          <w:tcPr>
            <w:tcW w:w="975" w:type="dxa"/>
            <w:noWrap w:val="0"/>
            <w:vAlign w:val="center"/>
          </w:tcPr>
          <w:p w14:paraId="5F899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630" w:type="dxa"/>
            <w:noWrap w:val="0"/>
            <w:vAlign w:val="center"/>
          </w:tcPr>
          <w:p w14:paraId="5F2BA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705" w:type="dxa"/>
            <w:noWrap w:val="0"/>
            <w:vAlign w:val="center"/>
          </w:tcPr>
          <w:p w14:paraId="7F51F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205" w:type="dxa"/>
            <w:noWrap w:val="0"/>
            <w:vAlign w:val="center"/>
          </w:tcPr>
          <w:p w14:paraId="0B064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4495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A5AB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2E28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22458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366C9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846" w:type="dxa"/>
            <w:noWrap w:val="0"/>
            <w:vAlign w:val="center"/>
          </w:tcPr>
          <w:p w14:paraId="39D84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950" w:type="dxa"/>
            <w:noWrap w:val="0"/>
            <w:vAlign w:val="center"/>
          </w:tcPr>
          <w:p w14:paraId="033FE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周边居民满意度</w:t>
            </w:r>
          </w:p>
        </w:tc>
        <w:tc>
          <w:tcPr>
            <w:tcW w:w="1380" w:type="dxa"/>
            <w:noWrap w:val="0"/>
            <w:vAlign w:val="center"/>
          </w:tcPr>
          <w:p w14:paraId="05C5D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周边居民满意程度100%</w:t>
            </w:r>
          </w:p>
        </w:tc>
        <w:tc>
          <w:tcPr>
            <w:tcW w:w="975" w:type="dxa"/>
            <w:noWrap w:val="0"/>
            <w:vAlign w:val="center"/>
          </w:tcPr>
          <w:p w14:paraId="34073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630" w:type="dxa"/>
            <w:noWrap w:val="0"/>
            <w:vAlign w:val="center"/>
          </w:tcPr>
          <w:p w14:paraId="27672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705" w:type="dxa"/>
            <w:noWrap w:val="0"/>
            <w:vAlign w:val="center"/>
          </w:tcPr>
          <w:p w14:paraId="3094C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05" w:type="dxa"/>
            <w:noWrap w:val="0"/>
            <w:vAlign w:val="center"/>
          </w:tcPr>
          <w:p w14:paraId="3C8AC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78CA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1" w:type="dxa"/>
            <w:gridSpan w:val="6"/>
            <w:noWrap w:val="0"/>
            <w:vAlign w:val="center"/>
          </w:tcPr>
          <w:p w14:paraId="397EF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630" w:type="dxa"/>
            <w:noWrap w:val="0"/>
            <w:vAlign w:val="center"/>
          </w:tcPr>
          <w:p w14:paraId="72B94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705" w:type="dxa"/>
            <w:noWrap w:val="0"/>
            <w:vAlign w:val="center"/>
          </w:tcPr>
          <w:p w14:paraId="01983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1205" w:type="dxa"/>
            <w:noWrap w:val="0"/>
            <w:vAlign w:val="center"/>
          </w:tcPr>
          <w:p w14:paraId="3B02F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6EE24C4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 w14:paraId="34F566D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18"/>
          <w:szCs w:val="18"/>
          <w:highlight w:val="none"/>
          <w:lang w:eastAsia="zh-CN"/>
        </w:rPr>
      </w:pPr>
    </w:p>
    <w:p w14:paraId="43143649"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联系电话：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单位负责人签字：</w:t>
      </w:r>
    </w:p>
    <w:p w14:paraId="11220835">
      <w:r>
        <w:br w:type="page"/>
      </w:r>
    </w:p>
    <w:p w14:paraId="6B760B2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3-7</w:t>
      </w:r>
    </w:p>
    <w:p w14:paraId="5F1BF7D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9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 w14:paraId="1FD21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33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187A0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DD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2025年岳阳市中心城区春节氛围营造摆花工程　</w:t>
            </w:r>
          </w:p>
        </w:tc>
      </w:tr>
      <w:tr w14:paraId="22B92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24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5F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岳阳市城市管理和综合执法局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233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B3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岳阳市园林绿化管理中心</w:t>
            </w:r>
          </w:p>
        </w:tc>
      </w:tr>
      <w:tr w14:paraId="4D829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6A5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BA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00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35344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6E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63413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03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38164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24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F0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1C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01454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7BEF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AC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2A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64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2A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195.98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76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52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97.99%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EE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9.8</w:t>
            </w:r>
          </w:p>
        </w:tc>
      </w:tr>
      <w:tr w14:paraId="5E653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1CA4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67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96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68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9D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>195.98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A3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F0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5E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1988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44E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1C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86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B6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F1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A5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6F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43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CD4A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BA7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91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35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85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F1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E5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BC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34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2575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8C5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9FC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E8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62304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714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AD8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提高城市文明形象，提升市民幸福指数。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　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BC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春节期间，在市主城区的南湖广场、岳阳东站广场、金鹗公园东门广场、岳阳大道东、岳阳大道西5处设置大型景观小品，全力营造喜庆的春节氛围，点“靓”浓浓年味。</w:t>
            </w:r>
          </w:p>
        </w:tc>
      </w:tr>
      <w:tr w14:paraId="4AD36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70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6224E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64FC3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6E157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49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33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61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0B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59C2B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BA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3AC84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56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53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D9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54985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73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69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3BCA6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591C1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FF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08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按合同地点完成摆花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2A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5处大型景观小品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93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5处大型景观小品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9C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FA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46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8BBA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EB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FE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0C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1E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按合同标准完成摆花工作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50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达到合同要求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86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达到合同要求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F7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9E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1C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C50E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D0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45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35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93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年度完成工作任务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0F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按时完成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63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按时完成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DF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17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3E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9507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F3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51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A3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F9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项目年支出金额不超过预算金额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A6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≤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00万元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BC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  <w:lang w:val="en-US" w:eastAsia="zh-CN"/>
              </w:rPr>
              <w:t>195.98万元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4C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89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1A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851C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F7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95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7E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07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对社会发展可能造成的负面影响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53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无负面影响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67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无负面影响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31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9C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84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46F3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F1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A0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9E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CA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对生态环境可能造成的负面影响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24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无负面影响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DF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无负面影响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34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D0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C6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9429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15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20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32BE8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36921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6E2F3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9E1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B62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B16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E3F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EC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3B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42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ADE3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70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2D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5B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11B55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F95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对社会效益的影响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4BE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383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有效提高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3C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E6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73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54CF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B0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4F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6B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2AB4F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079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对生态环境的影响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033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有所改善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994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有所改善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36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32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FE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914A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A0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46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EF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543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提升岳阳对外形象和竞争力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BAA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可持续影响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F07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可持续影响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75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C4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15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6FF3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25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80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427CE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33592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C5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FA8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城市市民满意度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4C3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满意率达95%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E14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95%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1F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27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93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07FC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7B4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29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97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99.8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5E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00267FCE"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填表人：</w:t>
      </w:r>
      <w:r>
        <w:rPr>
          <w:rFonts w:hint="eastAsia" w:eastAsia="仿宋_GB2312" w:cs="Times New Roman"/>
          <w:sz w:val="22"/>
          <w:szCs w:val="22"/>
          <w:highlight w:val="none"/>
          <w:lang w:eastAsia="zh-CN"/>
        </w:rPr>
        <w:t>杜思雨</w:t>
      </w:r>
      <w:r>
        <w:rPr>
          <w:rFonts w:hint="eastAsia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联系电话：</w:t>
      </w:r>
      <w:r>
        <w:rPr>
          <w:rFonts w:hint="eastAsia" w:eastAsia="仿宋_GB2312" w:cs="Times New Roman"/>
          <w:sz w:val="22"/>
          <w:szCs w:val="22"/>
          <w:highlight w:val="none"/>
          <w:lang w:val="en-US" w:eastAsia="zh-CN"/>
        </w:rPr>
        <w:t xml:space="preserve">15773010050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单位负责人签字：</w:t>
      </w:r>
    </w:p>
    <w:p w14:paraId="64D28C8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3-8</w:t>
      </w:r>
    </w:p>
    <w:p w14:paraId="2569EF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24F9A9E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9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933"/>
        <w:gridCol w:w="1371"/>
        <w:gridCol w:w="1134"/>
        <w:gridCol w:w="1134"/>
        <w:gridCol w:w="828"/>
        <w:gridCol w:w="873"/>
        <w:gridCol w:w="1418"/>
      </w:tblGrid>
      <w:tr w14:paraId="40B34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39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0E2F0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B1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园林绿化事务管理经费</w:t>
            </w:r>
          </w:p>
        </w:tc>
      </w:tr>
      <w:tr w14:paraId="7FF9D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ED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0F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岳阳市城市管理和综合执法局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F39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DC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岳阳市园林绿化管理中心</w:t>
            </w:r>
          </w:p>
        </w:tc>
      </w:tr>
      <w:tr w14:paraId="03055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E3E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A5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18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32976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93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0573F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C3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78975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E1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2C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44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3C201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F289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E9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72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F3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25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68.4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A4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41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90.07%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BE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9.01</w:t>
            </w:r>
          </w:p>
        </w:tc>
      </w:tr>
      <w:tr w14:paraId="3A662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2EB3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10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0B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E5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20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68.4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19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E3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E9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C90F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8CD0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4E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C1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3C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A6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A9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86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F6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FFEC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510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A4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ED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BD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25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88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92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D7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7F47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F612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8C7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A5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1386A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4FF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DB9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开展全市园林绿地绿地信息的调查、采集、统计和全国城市园林绿化行业信息系统、湖南省住建领域统计信息平台数据上报查询等服务工作；开展园林绿化科研活动项目生物多样性保护工作；开展市城区古树名木及后备资源保护工作；开展城市绿化主题宣传；社会绿化管理。　　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76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全年度实时、动态监控城市园林绿化信息数据；开展1次以上园林绿化科研活动项目；全年对市城区范围内的古树名木及后备资源进行1次以上检测和保护；开展植树节、城市绿化宣传周等1次以上园林绿化主题活动；社会绿化管理、应急管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。</w:t>
            </w:r>
          </w:p>
        </w:tc>
      </w:tr>
      <w:tr w14:paraId="7EBF4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D1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347BB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3EBE6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78056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B2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C4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F2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96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282A4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1F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0CDF8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3D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37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2B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366E4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D1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6EA22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2869A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3A982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933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4ED85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99F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1.绿地基础信息上报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E7C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全年按实际信息数量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607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全年按实际信息数量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EE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E6B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5E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857F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1E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77BC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34CC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849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2.园林绿化科研活动项目（生物多样性监测）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856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5CD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1次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46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C10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B5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CF2B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FC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84F2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5841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715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3.古树名木保护次数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65A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1次及以上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8D8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1次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84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F61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67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71FC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9F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C96E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0953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455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4.城市绿化主题宣传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BE6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1次及以上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33E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5次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4B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D4C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84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6F98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FA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2DE4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70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87C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5.社会绿化管理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C5C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3A0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1次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0B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BE8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D4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8BE9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C4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DC7B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39AE0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A47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1.城市园林绿化建设工作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CAF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合格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9CD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合格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9AE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DD5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F3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D065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FE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6E33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BD5D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A2C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2.园林绿化科研活动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2E6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合格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F9E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合格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2C0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EBD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7D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68E1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DF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98E4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DDA5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950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3.古树名木保护范围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C31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完好率100%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3F7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完好率100%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A82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498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B1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72F7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AB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6EF9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B42F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E7A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4.绿地基础信息准确录入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908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合格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739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合格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7C6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D65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28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20F3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54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7386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BC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BD2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5.城市绿化主题宣传活动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F87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合格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DA7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合格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29A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594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45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6AFA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97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364B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CE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F82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年度内完成工作任务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2EE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按时完成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36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按时完成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E0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B3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98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69D2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29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E4CE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1E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159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项目年支出金额不超过预算金额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22C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≤76万元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7ED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68.45万元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5F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36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91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98CF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2F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C4DF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43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3A9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对社会发展可能造成的负面影响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B01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A16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BF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BD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19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8C24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09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3F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B4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0C1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对生态环境可能造成的负面影响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8F1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F35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70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33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76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042A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D7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00A7B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6012E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59AFE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26867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1E8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经济效益指标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1DF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4D7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C52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CE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B6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5E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FC0B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E1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184B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FA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2F300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A27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提高城市文明和市民幸福指数，提升城市形象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1AF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不断提升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E44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不断提升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9B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B7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BD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386E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17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36E3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E5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208D6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4FC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生态环境改善情况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6DB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不断改善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45E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不断改善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00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E5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66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AF13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6B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74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236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EBE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提升岳阳对外形象和竞争力。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BFE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不断提升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EE1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不断提升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1F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1D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DB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CD36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0C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F2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48FF7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732ED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88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5E8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城市市民满意度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943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满意率达95%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00E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97%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C0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A3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80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4B7D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A9D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01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0F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99.01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63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1855110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 w14:paraId="1E5D65A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18"/>
          <w:szCs w:val="18"/>
          <w:highlight w:val="none"/>
          <w:lang w:eastAsia="zh-CN"/>
        </w:rPr>
      </w:pPr>
    </w:p>
    <w:p w14:paraId="52D423D2">
      <w:pP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填表人：</w:t>
      </w:r>
      <w:r>
        <w:rPr>
          <w:rFonts w:hint="eastAsia" w:eastAsia="仿宋_GB2312" w:cs="Times New Roman"/>
          <w:sz w:val="22"/>
          <w:szCs w:val="22"/>
          <w:highlight w:val="none"/>
          <w:lang w:eastAsia="zh-CN"/>
        </w:rPr>
        <w:t>杜思雨</w:t>
      </w:r>
      <w:r>
        <w:rPr>
          <w:rFonts w:hint="eastAsia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联系电话：</w:t>
      </w:r>
      <w:r>
        <w:rPr>
          <w:rFonts w:hint="eastAsia" w:eastAsia="仿宋_GB2312" w:cs="Times New Roman"/>
          <w:sz w:val="22"/>
          <w:szCs w:val="22"/>
          <w:highlight w:val="none"/>
          <w:lang w:val="en-US" w:eastAsia="zh-CN"/>
        </w:rPr>
        <w:t xml:space="preserve">15773010050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单位负责人签字：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br w:type="page"/>
      </w:r>
    </w:p>
    <w:p w14:paraId="736230E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3-9</w:t>
      </w:r>
    </w:p>
    <w:p w14:paraId="2A76AFC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9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 w14:paraId="0B87A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DE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321D9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A0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2025年鲜花一条街生产维护管理项目经费　</w:t>
            </w:r>
          </w:p>
        </w:tc>
      </w:tr>
      <w:tr w14:paraId="18C33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A8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49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岳阳市城市管理和综合执法局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538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2F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岳阳市园林绿化管理中心</w:t>
            </w:r>
          </w:p>
        </w:tc>
      </w:tr>
      <w:tr w14:paraId="60BBD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75B0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2B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4D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78687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7E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0F67E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10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6C4C5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7A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F8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29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1BA43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1DA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0D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E9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B3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20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87.2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65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0A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75.83%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5B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7.58</w:t>
            </w:r>
          </w:p>
        </w:tc>
      </w:tr>
      <w:tr w14:paraId="00551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D87D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85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BE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6D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0E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87.2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D8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A7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8E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D6A8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111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4E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9C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94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24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3E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F5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1D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0933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1445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18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EB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FB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5A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5C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A7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38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A407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FBB2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ACA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EE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03E20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06C3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A28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提高城市文明形象，提升市民幸福指数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19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市城区岳阳大道、南湖大道等主干道的鲜花培育、播种、栽植和养护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。</w:t>
            </w:r>
          </w:p>
        </w:tc>
      </w:tr>
      <w:tr w14:paraId="6387A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03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692A2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53EFD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07ED3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F4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6D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6D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22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65C61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B3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2BAEC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27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E6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03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347D7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EE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34436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7297D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1B427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05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638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按合同地点完成维护管理项目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BCB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岳阳大道、南湖大道两条主干道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14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岳阳大道、南湖大道两条主干道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FA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65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9C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C0CD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F2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186B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1C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F45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按合同标准完成维护管理工作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E7A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达到合同要求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13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达到合同要求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1E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C2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EC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05FB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4C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09B1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9D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919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年度完成工作任务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08C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按时完成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ED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按时完成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90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9C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FD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2109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86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3C15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CE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F4A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项目支出金额不超过预算金额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419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≤240万元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439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87.5万元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EC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31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89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AF29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98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9942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6B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970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对社会发展可能造成的负面影响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83E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BDD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6B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19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9A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09072FF"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17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EB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50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ED5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对生态环境可能造成的负面影响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1D0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440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EE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88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51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815A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3B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39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5A97B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65ACF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21D7F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EC9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经济效益指标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A4D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83F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26C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9D5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16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11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30CC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30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84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CD8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0EAD1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286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对社会效益的影响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87A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有效提高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76E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有效提高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1E2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B8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8C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49FD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76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34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EB1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16B83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759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对生态环境的影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6F1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有所改善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160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有所改善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FF0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75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40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3EA0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9B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7A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4A1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F15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提升岳阳对外形象和竞争力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892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可持续影响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D5F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可持续影响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949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1C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60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66F2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5E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1C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4C92B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3B9BE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23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5AB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城市市民满意度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751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满意率达95%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72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95%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46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CE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69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060C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D53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01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85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97.58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9C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4650CE66"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填表人：</w:t>
      </w:r>
      <w:r>
        <w:rPr>
          <w:rFonts w:hint="eastAsia" w:eastAsia="仿宋_GB2312" w:cs="Times New Roman"/>
          <w:sz w:val="22"/>
          <w:szCs w:val="22"/>
          <w:highlight w:val="none"/>
          <w:lang w:eastAsia="zh-CN"/>
        </w:rPr>
        <w:t>杜思雨</w:t>
      </w:r>
      <w:r>
        <w:rPr>
          <w:rFonts w:hint="eastAsia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联系电话：</w:t>
      </w:r>
      <w:r>
        <w:rPr>
          <w:rFonts w:hint="eastAsia" w:eastAsia="仿宋_GB2312" w:cs="Times New Roman"/>
          <w:sz w:val="22"/>
          <w:szCs w:val="22"/>
          <w:highlight w:val="none"/>
          <w:lang w:val="en-US" w:eastAsia="zh-CN"/>
        </w:rPr>
        <w:t xml:space="preserve">15773040050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单位负责人签字：</w:t>
      </w:r>
    </w:p>
    <w:p w14:paraId="70C4C248">
      <w:pP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br w:type="page"/>
      </w:r>
    </w:p>
    <w:p w14:paraId="72656DB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3-10</w:t>
      </w:r>
    </w:p>
    <w:p w14:paraId="52F6C59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9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774"/>
        <w:gridCol w:w="927"/>
        <w:gridCol w:w="1418"/>
      </w:tblGrid>
      <w:tr w14:paraId="04784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DF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33472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EE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城市燃气管道老化更新改造工程经费　</w:t>
            </w:r>
          </w:p>
        </w:tc>
      </w:tr>
      <w:tr w14:paraId="32F50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23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95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365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A5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岳阳市城市管理和综合执法局</w:t>
            </w:r>
          </w:p>
        </w:tc>
      </w:tr>
      <w:tr w14:paraId="1B663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BB2A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57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9C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00C2C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2F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5F2EA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37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4CBDF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66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D0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E4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2C35C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1BC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39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AB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525.20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D5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525.20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70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525.20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DB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10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49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41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 xml:space="preserve">  10</w:t>
            </w:r>
          </w:p>
        </w:tc>
      </w:tr>
      <w:tr w14:paraId="2701C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4FF3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25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8B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525.20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34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525.20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17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525.20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52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DC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E3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D2E9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FC6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8B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56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6B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59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A4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95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BE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755B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E96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EB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79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A9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5E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FD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29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D3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090B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8D8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FD9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85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4FE28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E09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0DE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顺利完成城市燃气管道老化更新改造工程　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8F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顺利完成了城市燃气管道老化更新改造工程</w:t>
            </w:r>
          </w:p>
        </w:tc>
      </w:tr>
      <w:tr w14:paraId="5F6C0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47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0880D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5FB22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0EDD1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7B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76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73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C4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41A3A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3C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24BA0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DD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AA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B0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4102A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E5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AA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60044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12A80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88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4F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燃气管道老化更新长度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9B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32公里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34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38公里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A9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D5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5F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03EC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62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F8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59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AC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按质完成燃气管道老化更新项目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BE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按质完成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58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按质完成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43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8C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BD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42B7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3D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06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0E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83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按时完成燃气管道老化更新项目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68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按时完成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FC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按时完成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0A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4A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68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BC31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5F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8C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14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B1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经济成本指标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50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实际支出不超过预算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BE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未超过预算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3B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95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E4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5DD5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6B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49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0B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EA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社会成本指标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B0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对社会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可能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产生的负面影响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40E52">
            <w:pPr>
              <w:keepNext w:val="0"/>
              <w:keepLines w:val="0"/>
              <w:pageBreakBefore w:val="0"/>
              <w:widowControl w:val="0"/>
              <w:tabs>
                <w:tab w:val="left" w:pos="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无负面影响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AF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6B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ED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FDEE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F9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3B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03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10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生态环境成本指标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7C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对生态环境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可能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产生的负面影响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E1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无负面影响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31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F2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33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500B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4D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BE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17F5A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43353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0A971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B2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0200F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FB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无直接经济效益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2F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无直接经济效益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79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无直接经济效益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B8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EE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2B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D9EC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EE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2C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80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365AE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03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提高居民用气安全指数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7D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用气安全指数有所提高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38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有所提高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21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CE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1A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55E7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32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4F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21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0E68E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5B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无直接生态效益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2A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无直接生态效益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2E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无直接生态效益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83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C4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0D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32F8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6D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63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84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6C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增强居民生活幸福指数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92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产生可持续影响力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60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具有可持续影响力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84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AC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C3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8600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73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30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60452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22833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0F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BD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群众满意度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7C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≥95%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AA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97%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27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FA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A7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0405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F50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82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D1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7A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7DBFC4A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18"/>
          <w:szCs w:val="18"/>
          <w:highlight w:val="none"/>
          <w:lang w:eastAsia="zh-CN"/>
        </w:rPr>
      </w:pPr>
    </w:p>
    <w:p w14:paraId="1C4E126F"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联系电话：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单位负责人签字：</w:t>
      </w:r>
    </w:p>
    <w:p w14:paraId="647F5AFE">
      <w:pP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br w:type="page"/>
      </w:r>
    </w:p>
    <w:p w14:paraId="3A9D192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3-11</w:t>
      </w:r>
    </w:p>
    <w:p w14:paraId="26F961F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9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 w14:paraId="174BE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noWrap w:val="0"/>
            <w:vAlign w:val="center"/>
          </w:tcPr>
          <w:p w14:paraId="2DE91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05CC1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 w14:paraId="319E8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其他事务管理经费（赔偿款）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15C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noWrap w:val="0"/>
            <w:vAlign w:val="center"/>
          </w:tcPr>
          <w:p w14:paraId="238C9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5344F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48292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 w14:paraId="43116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岳阳市城市管理和综合执法局</w:t>
            </w:r>
          </w:p>
        </w:tc>
      </w:tr>
      <w:tr w14:paraId="4E7AF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465D9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 w14:paraId="475DB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24" w:type="dxa"/>
            <w:noWrap w:val="0"/>
            <w:vAlign w:val="center"/>
          </w:tcPr>
          <w:p w14:paraId="343AE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50C86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noWrap w:val="0"/>
            <w:vAlign w:val="center"/>
          </w:tcPr>
          <w:p w14:paraId="460B2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70AB7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noWrap w:val="0"/>
            <w:vAlign w:val="center"/>
          </w:tcPr>
          <w:p w14:paraId="57524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3B41A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 w14:paraId="176AA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51C45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 w14:paraId="5E34A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4EC90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CD78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78E13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224" w:type="dxa"/>
            <w:noWrap w:val="0"/>
            <w:vAlign w:val="center"/>
          </w:tcPr>
          <w:p w14:paraId="0FDAD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60.71</w:t>
            </w:r>
          </w:p>
        </w:tc>
        <w:tc>
          <w:tcPr>
            <w:tcW w:w="1134" w:type="dxa"/>
            <w:noWrap w:val="0"/>
            <w:vAlign w:val="center"/>
          </w:tcPr>
          <w:p w14:paraId="7EED5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60.71</w:t>
            </w:r>
          </w:p>
        </w:tc>
        <w:tc>
          <w:tcPr>
            <w:tcW w:w="1134" w:type="dxa"/>
            <w:noWrap w:val="0"/>
            <w:vAlign w:val="center"/>
          </w:tcPr>
          <w:p w14:paraId="52B11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60.71</w:t>
            </w:r>
          </w:p>
        </w:tc>
        <w:tc>
          <w:tcPr>
            <w:tcW w:w="828" w:type="dxa"/>
            <w:noWrap w:val="0"/>
            <w:vAlign w:val="center"/>
          </w:tcPr>
          <w:p w14:paraId="719E8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2830D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 w14:paraId="36BD9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433CA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792C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09EF5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224" w:type="dxa"/>
            <w:noWrap w:val="0"/>
            <w:vAlign w:val="center"/>
          </w:tcPr>
          <w:p w14:paraId="3DBE5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60.71</w:t>
            </w:r>
          </w:p>
        </w:tc>
        <w:tc>
          <w:tcPr>
            <w:tcW w:w="1134" w:type="dxa"/>
            <w:noWrap w:val="0"/>
            <w:vAlign w:val="center"/>
          </w:tcPr>
          <w:p w14:paraId="7825B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60.71</w:t>
            </w:r>
          </w:p>
        </w:tc>
        <w:tc>
          <w:tcPr>
            <w:tcW w:w="1134" w:type="dxa"/>
            <w:noWrap w:val="0"/>
            <w:vAlign w:val="center"/>
          </w:tcPr>
          <w:p w14:paraId="57F0D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60.71</w:t>
            </w:r>
          </w:p>
        </w:tc>
        <w:tc>
          <w:tcPr>
            <w:tcW w:w="828" w:type="dxa"/>
            <w:noWrap w:val="0"/>
            <w:vAlign w:val="center"/>
          </w:tcPr>
          <w:p w14:paraId="74123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noWrap w:val="0"/>
            <w:vAlign w:val="center"/>
          </w:tcPr>
          <w:p w14:paraId="5CD4E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1DB2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E5B7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C452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1A7B3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224" w:type="dxa"/>
            <w:noWrap w:val="0"/>
            <w:vAlign w:val="center"/>
          </w:tcPr>
          <w:p w14:paraId="3430E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4F633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6208C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29338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06DCE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71114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961F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BCF2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21FE2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224" w:type="dxa"/>
            <w:noWrap w:val="0"/>
            <w:vAlign w:val="center"/>
          </w:tcPr>
          <w:p w14:paraId="67EE2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61037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1F5BB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144AA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581C8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2D688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6767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78C2B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4BBEC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3A3E5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113D7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C5C4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 w14:paraId="5FA3A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根据法院诉讼结果及时足额支付赔偿款。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　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0021C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根据法院诉讼结果及时足额完成了赔偿款支付。</w:t>
            </w:r>
          </w:p>
        </w:tc>
      </w:tr>
      <w:tr w14:paraId="4EF56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7AF23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2AB06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75DCC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3BEF0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 w14:paraId="7D712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 w14:paraId="24CF2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24" w:type="dxa"/>
            <w:noWrap w:val="0"/>
            <w:vAlign w:val="center"/>
          </w:tcPr>
          <w:p w14:paraId="743D1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134" w:type="dxa"/>
            <w:noWrap w:val="0"/>
            <w:vAlign w:val="center"/>
          </w:tcPr>
          <w:p w14:paraId="1E5C2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26542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134" w:type="dxa"/>
            <w:noWrap w:val="0"/>
            <w:vAlign w:val="center"/>
          </w:tcPr>
          <w:p w14:paraId="2C29A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56624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 w14:paraId="3B5CA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78FB3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 w14:paraId="76F4C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09D0E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8551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707F0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0EE27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3C4CC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80" w:type="dxa"/>
            <w:noWrap w:val="0"/>
            <w:vAlign w:val="center"/>
          </w:tcPr>
          <w:p w14:paraId="35939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24" w:type="dxa"/>
            <w:noWrap w:val="0"/>
            <w:vAlign w:val="center"/>
          </w:tcPr>
          <w:p w14:paraId="5FA68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赔付相关人员</w:t>
            </w:r>
          </w:p>
        </w:tc>
        <w:tc>
          <w:tcPr>
            <w:tcW w:w="1134" w:type="dxa"/>
            <w:noWrap w:val="0"/>
            <w:vAlign w:val="center"/>
          </w:tcPr>
          <w:p w14:paraId="64BAD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赔付相关人员</w:t>
            </w:r>
          </w:p>
        </w:tc>
        <w:tc>
          <w:tcPr>
            <w:tcW w:w="1134" w:type="dxa"/>
            <w:noWrap w:val="0"/>
            <w:vAlign w:val="center"/>
          </w:tcPr>
          <w:p w14:paraId="4F597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赔付相关人员</w:t>
            </w:r>
          </w:p>
        </w:tc>
        <w:tc>
          <w:tcPr>
            <w:tcW w:w="828" w:type="dxa"/>
            <w:noWrap w:val="0"/>
            <w:vAlign w:val="center"/>
          </w:tcPr>
          <w:p w14:paraId="4530C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873" w:type="dxa"/>
            <w:noWrap w:val="0"/>
            <w:vAlign w:val="center"/>
          </w:tcPr>
          <w:p w14:paraId="1F7E4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1418" w:type="dxa"/>
            <w:noWrap w:val="0"/>
            <w:vAlign w:val="center"/>
          </w:tcPr>
          <w:p w14:paraId="477D0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D981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B8C3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C653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0B2C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24" w:type="dxa"/>
            <w:noWrap w:val="0"/>
            <w:vAlign w:val="center"/>
          </w:tcPr>
          <w:p w14:paraId="4FD8A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按质完成任务</w:t>
            </w:r>
          </w:p>
        </w:tc>
        <w:tc>
          <w:tcPr>
            <w:tcW w:w="1134" w:type="dxa"/>
            <w:noWrap w:val="0"/>
            <w:vAlign w:val="center"/>
          </w:tcPr>
          <w:p w14:paraId="5105E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按质完成</w:t>
            </w:r>
          </w:p>
        </w:tc>
        <w:tc>
          <w:tcPr>
            <w:tcW w:w="1134" w:type="dxa"/>
            <w:noWrap w:val="0"/>
            <w:vAlign w:val="center"/>
          </w:tcPr>
          <w:p w14:paraId="16798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按质完成</w:t>
            </w:r>
          </w:p>
        </w:tc>
        <w:tc>
          <w:tcPr>
            <w:tcW w:w="828" w:type="dxa"/>
            <w:noWrap w:val="0"/>
            <w:vAlign w:val="center"/>
          </w:tcPr>
          <w:p w14:paraId="055AA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873" w:type="dxa"/>
            <w:noWrap w:val="0"/>
            <w:vAlign w:val="center"/>
          </w:tcPr>
          <w:p w14:paraId="49799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1418" w:type="dxa"/>
            <w:noWrap w:val="0"/>
            <w:vAlign w:val="center"/>
          </w:tcPr>
          <w:p w14:paraId="5D4C1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0438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80A7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368D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70CA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24" w:type="dxa"/>
            <w:noWrap w:val="0"/>
            <w:vAlign w:val="center"/>
          </w:tcPr>
          <w:p w14:paraId="5F443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及时完成任务</w:t>
            </w:r>
          </w:p>
        </w:tc>
        <w:tc>
          <w:tcPr>
            <w:tcW w:w="1134" w:type="dxa"/>
            <w:noWrap w:val="0"/>
            <w:vAlign w:val="center"/>
          </w:tcPr>
          <w:p w14:paraId="62975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及时完成任务</w:t>
            </w:r>
          </w:p>
        </w:tc>
        <w:tc>
          <w:tcPr>
            <w:tcW w:w="1134" w:type="dxa"/>
            <w:noWrap w:val="0"/>
            <w:vAlign w:val="center"/>
          </w:tcPr>
          <w:p w14:paraId="35788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及时完成任务</w:t>
            </w:r>
          </w:p>
        </w:tc>
        <w:tc>
          <w:tcPr>
            <w:tcW w:w="828" w:type="dxa"/>
            <w:noWrap w:val="0"/>
            <w:vAlign w:val="center"/>
          </w:tcPr>
          <w:p w14:paraId="65CE0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873" w:type="dxa"/>
            <w:noWrap w:val="0"/>
            <w:vAlign w:val="center"/>
          </w:tcPr>
          <w:p w14:paraId="3843D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1418" w:type="dxa"/>
            <w:noWrap w:val="0"/>
            <w:vAlign w:val="center"/>
          </w:tcPr>
          <w:p w14:paraId="5D520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049F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A87C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12D9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6B774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24" w:type="dxa"/>
            <w:noWrap w:val="0"/>
            <w:vAlign w:val="center"/>
          </w:tcPr>
          <w:p w14:paraId="58897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控制在预算内</w:t>
            </w:r>
          </w:p>
        </w:tc>
        <w:tc>
          <w:tcPr>
            <w:tcW w:w="1134" w:type="dxa"/>
            <w:noWrap w:val="0"/>
            <w:vAlign w:val="center"/>
          </w:tcPr>
          <w:p w14:paraId="45205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≤60.71万元</w:t>
            </w:r>
          </w:p>
        </w:tc>
        <w:tc>
          <w:tcPr>
            <w:tcW w:w="1134" w:type="dxa"/>
            <w:noWrap w:val="0"/>
            <w:vAlign w:val="center"/>
          </w:tcPr>
          <w:p w14:paraId="2A8AB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60.71万元</w:t>
            </w:r>
          </w:p>
        </w:tc>
        <w:tc>
          <w:tcPr>
            <w:tcW w:w="828" w:type="dxa"/>
            <w:noWrap w:val="0"/>
            <w:vAlign w:val="center"/>
          </w:tcPr>
          <w:p w14:paraId="74780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873" w:type="dxa"/>
            <w:noWrap w:val="0"/>
            <w:vAlign w:val="center"/>
          </w:tcPr>
          <w:p w14:paraId="3D888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418" w:type="dxa"/>
            <w:noWrap w:val="0"/>
            <w:vAlign w:val="center"/>
          </w:tcPr>
          <w:p w14:paraId="75E3A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A66D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2B75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CB9C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1E89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1C0BC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对社会发展可能造成的负面影响</w:t>
            </w:r>
          </w:p>
        </w:tc>
        <w:tc>
          <w:tcPr>
            <w:tcW w:w="1134" w:type="dxa"/>
            <w:noWrap w:val="0"/>
            <w:vAlign w:val="center"/>
          </w:tcPr>
          <w:p w14:paraId="31CE7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1134" w:type="dxa"/>
            <w:noWrap w:val="0"/>
            <w:vAlign w:val="center"/>
          </w:tcPr>
          <w:p w14:paraId="5603F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828" w:type="dxa"/>
            <w:noWrap w:val="0"/>
            <w:vAlign w:val="center"/>
          </w:tcPr>
          <w:p w14:paraId="5A2EF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873" w:type="dxa"/>
            <w:noWrap w:val="0"/>
            <w:vAlign w:val="center"/>
          </w:tcPr>
          <w:p w14:paraId="68D03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418" w:type="dxa"/>
            <w:noWrap w:val="0"/>
            <w:vAlign w:val="center"/>
          </w:tcPr>
          <w:p w14:paraId="1C7A6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7431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FF31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58C4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1728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54969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对自然环境可能造成的负面影响</w:t>
            </w:r>
          </w:p>
        </w:tc>
        <w:tc>
          <w:tcPr>
            <w:tcW w:w="1134" w:type="dxa"/>
            <w:noWrap w:val="0"/>
            <w:vAlign w:val="center"/>
          </w:tcPr>
          <w:p w14:paraId="16551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1134" w:type="dxa"/>
            <w:noWrap w:val="0"/>
            <w:vAlign w:val="center"/>
          </w:tcPr>
          <w:p w14:paraId="68154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828" w:type="dxa"/>
            <w:noWrap w:val="0"/>
            <w:vAlign w:val="center"/>
          </w:tcPr>
          <w:p w14:paraId="771FC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873" w:type="dxa"/>
            <w:noWrap w:val="0"/>
            <w:vAlign w:val="center"/>
          </w:tcPr>
          <w:p w14:paraId="7E362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418" w:type="dxa"/>
            <w:noWrap w:val="0"/>
            <w:vAlign w:val="center"/>
          </w:tcPr>
          <w:p w14:paraId="226F4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ECBD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78A1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1177D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56A6B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578F0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6F8FE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6F6E5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66B3E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noWrap w:val="0"/>
            <w:vAlign w:val="center"/>
          </w:tcPr>
          <w:p w14:paraId="0335C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无直接经济效益</w:t>
            </w:r>
          </w:p>
        </w:tc>
        <w:tc>
          <w:tcPr>
            <w:tcW w:w="1134" w:type="dxa"/>
            <w:noWrap w:val="0"/>
            <w:vAlign w:val="center"/>
          </w:tcPr>
          <w:p w14:paraId="3D92C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无直接经济效益</w:t>
            </w:r>
          </w:p>
        </w:tc>
        <w:tc>
          <w:tcPr>
            <w:tcW w:w="1134" w:type="dxa"/>
            <w:noWrap w:val="0"/>
            <w:vAlign w:val="center"/>
          </w:tcPr>
          <w:p w14:paraId="1C550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无直接经济效益</w:t>
            </w:r>
          </w:p>
        </w:tc>
        <w:tc>
          <w:tcPr>
            <w:tcW w:w="828" w:type="dxa"/>
            <w:noWrap w:val="0"/>
            <w:vAlign w:val="center"/>
          </w:tcPr>
          <w:p w14:paraId="4F613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14586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0A83F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FB33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8190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116F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23A5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6874B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noWrap w:val="0"/>
            <w:vAlign w:val="center"/>
          </w:tcPr>
          <w:p w14:paraId="21977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保障军转干部民生</w:t>
            </w:r>
          </w:p>
        </w:tc>
        <w:tc>
          <w:tcPr>
            <w:tcW w:w="1134" w:type="dxa"/>
            <w:noWrap w:val="0"/>
            <w:vAlign w:val="center"/>
          </w:tcPr>
          <w:p w14:paraId="030A2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保障军转干部民生</w:t>
            </w:r>
          </w:p>
        </w:tc>
        <w:tc>
          <w:tcPr>
            <w:tcW w:w="1134" w:type="dxa"/>
            <w:noWrap w:val="0"/>
            <w:vAlign w:val="center"/>
          </w:tcPr>
          <w:p w14:paraId="49A2C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保障军转干部民生</w:t>
            </w:r>
          </w:p>
        </w:tc>
        <w:tc>
          <w:tcPr>
            <w:tcW w:w="828" w:type="dxa"/>
            <w:noWrap w:val="0"/>
            <w:vAlign w:val="center"/>
          </w:tcPr>
          <w:p w14:paraId="0E1E3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9207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4B610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303F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164D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5EC1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9870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2C6C0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noWrap w:val="0"/>
            <w:vAlign w:val="center"/>
          </w:tcPr>
          <w:p w14:paraId="5AA77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无生态效益</w:t>
            </w:r>
          </w:p>
        </w:tc>
        <w:tc>
          <w:tcPr>
            <w:tcW w:w="1134" w:type="dxa"/>
            <w:noWrap w:val="0"/>
            <w:vAlign w:val="center"/>
          </w:tcPr>
          <w:p w14:paraId="2D806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无生态效益</w:t>
            </w:r>
          </w:p>
        </w:tc>
        <w:tc>
          <w:tcPr>
            <w:tcW w:w="1134" w:type="dxa"/>
            <w:noWrap w:val="0"/>
            <w:vAlign w:val="center"/>
          </w:tcPr>
          <w:p w14:paraId="44CA0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无生态效益</w:t>
            </w:r>
          </w:p>
        </w:tc>
        <w:tc>
          <w:tcPr>
            <w:tcW w:w="828" w:type="dxa"/>
            <w:noWrap w:val="0"/>
            <w:vAlign w:val="center"/>
          </w:tcPr>
          <w:p w14:paraId="06D83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873" w:type="dxa"/>
            <w:noWrap w:val="0"/>
            <w:vAlign w:val="center"/>
          </w:tcPr>
          <w:p w14:paraId="76108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418" w:type="dxa"/>
            <w:noWrap w:val="0"/>
            <w:vAlign w:val="center"/>
          </w:tcPr>
          <w:p w14:paraId="43298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CD33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74F3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23E8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C9F8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24" w:type="dxa"/>
            <w:noWrap w:val="0"/>
            <w:vAlign w:val="center"/>
          </w:tcPr>
          <w:p w14:paraId="03F04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保障工作任务顺利开展并完成</w:t>
            </w:r>
          </w:p>
        </w:tc>
        <w:tc>
          <w:tcPr>
            <w:tcW w:w="1134" w:type="dxa"/>
            <w:noWrap w:val="0"/>
            <w:vAlign w:val="center"/>
          </w:tcPr>
          <w:p w14:paraId="6187D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保障工作任务顺利开展并完成</w:t>
            </w:r>
          </w:p>
        </w:tc>
        <w:tc>
          <w:tcPr>
            <w:tcW w:w="1134" w:type="dxa"/>
            <w:noWrap w:val="0"/>
            <w:vAlign w:val="center"/>
          </w:tcPr>
          <w:p w14:paraId="30885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保障工作任务顺利开展并完成</w:t>
            </w:r>
          </w:p>
        </w:tc>
        <w:tc>
          <w:tcPr>
            <w:tcW w:w="828" w:type="dxa"/>
            <w:noWrap w:val="0"/>
            <w:vAlign w:val="center"/>
          </w:tcPr>
          <w:p w14:paraId="51D88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57C6C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6BA4A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ED62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9070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5EF6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1B19A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46481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80" w:type="dxa"/>
            <w:noWrap w:val="0"/>
            <w:vAlign w:val="center"/>
          </w:tcPr>
          <w:p w14:paraId="30383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24" w:type="dxa"/>
            <w:noWrap w:val="0"/>
            <w:vAlign w:val="center"/>
          </w:tcPr>
          <w:p w14:paraId="79C01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群众满意度</w:t>
            </w:r>
          </w:p>
        </w:tc>
        <w:tc>
          <w:tcPr>
            <w:tcW w:w="1134" w:type="dxa"/>
            <w:noWrap w:val="0"/>
            <w:vAlign w:val="center"/>
          </w:tcPr>
          <w:p w14:paraId="6329D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≥95%</w:t>
            </w:r>
          </w:p>
        </w:tc>
        <w:tc>
          <w:tcPr>
            <w:tcW w:w="1134" w:type="dxa"/>
            <w:noWrap w:val="0"/>
            <w:vAlign w:val="center"/>
          </w:tcPr>
          <w:p w14:paraId="64273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95%</w:t>
            </w:r>
          </w:p>
        </w:tc>
        <w:tc>
          <w:tcPr>
            <w:tcW w:w="828" w:type="dxa"/>
            <w:noWrap w:val="0"/>
            <w:vAlign w:val="center"/>
          </w:tcPr>
          <w:p w14:paraId="0706A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5F143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74702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4B16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noWrap w:val="0"/>
            <w:vAlign w:val="center"/>
          </w:tcPr>
          <w:p w14:paraId="2146D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 w14:paraId="6EC4A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5B90C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1418" w:type="dxa"/>
            <w:noWrap w:val="0"/>
            <w:vAlign w:val="center"/>
          </w:tcPr>
          <w:p w14:paraId="128FB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71FE3D2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 w14:paraId="3146915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18"/>
          <w:szCs w:val="18"/>
          <w:highlight w:val="none"/>
          <w:lang w:eastAsia="zh-CN"/>
        </w:rPr>
      </w:pPr>
    </w:p>
    <w:p w14:paraId="5E85DA56"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联系电话：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单位负责人签字：</w:t>
      </w:r>
    </w:p>
    <w:p w14:paraId="73725D7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3E860D2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3-12</w:t>
      </w:r>
    </w:p>
    <w:p w14:paraId="7C508DD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9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1061"/>
        <w:gridCol w:w="929"/>
        <w:gridCol w:w="1635"/>
        <w:gridCol w:w="1350"/>
        <w:gridCol w:w="1290"/>
        <w:gridCol w:w="720"/>
        <w:gridCol w:w="720"/>
        <w:gridCol w:w="1085"/>
      </w:tblGrid>
      <w:tr w14:paraId="71D9B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noWrap w:val="0"/>
            <w:vAlign w:val="center"/>
          </w:tcPr>
          <w:p w14:paraId="25707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4D02B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90" w:type="dxa"/>
            <w:gridSpan w:val="8"/>
            <w:shd w:val="clear" w:color="auto" w:fill="auto"/>
            <w:noWrap w:val="0"/>
            <w:vAlign w:val="center"/>
          </w:tcPr>
          <w:p w14:paraId="79F83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  <w:t>旅发大会市容市貌提质改造项目</w:t>
            </w:r>
          </w:p>
        </w:tc>
      </w:tr>
      <w:tr w14:paraId="52B48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noWrap w:val="0"/>
            <w:vAlign w:val="center"/>
          </w:tcPr>
          <w:p w14:paraId="2D324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975" w:type="dxa"/>
            <w:gridSpan w:val="4"/>
            <w:noWrap w:val="0"/>
            <w:vAlign w:val="center"/>
          </w:tcPr>
          <w:p w14:paraId="0F902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90" w:type="dxa"/>
            <w:noWrap w:val="0"/>
            <w:vAlign w:val="center"/>
          </w:tcPr>
          <w:p w14:paraId="7B6F8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2525" w:type="dxa"/>
            <w:gridSpan w:val="3"/>
            <w:noWrap w:val="0"/>
            <w:vAlign w:val="center"/>
          </w:tcPr>
          <w:p w14:paraId="6C1E5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城市管理和综合执法局</w:t>
            </w:r>
          </w:p>
        </w:tc>
      </w:tr>
      <w:tr w14:paraId="78EDD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restart"/>
            <w:noWrap w:val="0"/>
            <w:vAlign w:val="center"/>
          </w:tcPr>
          <w:p w14:paraId="55BCA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1990" w:type="dxa"/>
            <w:gridSpan w:val="2"/>
            <w:noWrap w:val="0"/>
            <w:vAlign w:val="center"/>
          </w:tcPr>
          <w:p w14:paraId="22DF3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35" w:type="dxa"/>
            <w:noWrap w:val="0"/>
            <w:vAlign w:val="center"/>
          </w:tcPr>
          <w:p w14:paraId="7408F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5502D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350" w:type="dxa"/>
            <w:noWrap w:val="0"/>
            <w:vAlign w:val="center"/>
          </w:tcPr>
          <w:p w14:paraId="601B0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7A014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290" w:type="dxa"/>
            <w:noWrap w:val="0"/>
            <w:vAlign w:val="center"/>
          </w:tcPr>
          <w:p w14:paraId="6CC1B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2B1B5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720" w:type="dxa"/>
            <w:noWrap w:val="0"/>
            <w:vAlign w:val="center"/>
          </w:tcPr>
          <w:p w14:paraId="499FB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720" w:type="dxa"/>
            <w:noWrap w:val="0"/>
            <w:vAlign w:val="center"/>
          </w:tcPr>
          <w:p w14:paraId="1C9E0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085" w:type="dxa"/>
            <w:noWrap w:val="0"/>
            <w:vAlign w:val="center"/>
          </w:tcPr>
          <w:p w14:paraId="3BFBA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73588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737AD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990" w:type="dxa"/>
            <w:gridSpan w:val="2"/>
            <w:noWrap w:val="0"/>
            <w:vAlign w:val="center"/>
          </w:tcPr>
          <w:p w14:paraId="3AF3C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635" w:type="dxa"/>
            <w:noWrap w:val="0"/>
            <w:vAlign w:val="center"/>
          </w:tcPr>
          <w:p w14:paraId="1CB10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14056.21</w:t>
            </w:r>
          </w:p>
        </w:tc>
        <w:tc>
          <w:tcPr>
            <w:tcW w:w="1350" w:type="dxa"/>
            <w:noWrap w:val="0"/>
            <w:vAlign w:val="center"/>
          </w:tcPr>
          <w:p w14:paraId="0D7B4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14056.21</w:t>
            </w:r>
          </w:p>
        </w:tc>
        <w:tc>
          <w:tcPr>
            <w:tcW w:w="1290" w:type="dxa"/>
            <w:noWrap w:val="0"/>
            <w:vAlign w:val="center"/>
          </w:tcPr>
          <w:p w14:paraId="1B12AD53">
            <w:pPr>
              <w:keepNext w:val="0"/>
              <w:keepLines w:val="0"/>
              <w:pageBreakBefore w:val="0"/>
              <w:widowControl w:val="0"/>
              <w:tabs>
                <w:tab w:val="center" w:pos="4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13545.19</w:t>
            </w:r>
          </w:p>
        </w:tc>
        <w:tc>
          <w:tcPr>
            <w:tcW w:w="720" w:type="dxa"/>
            <w:noWrap w:val="0"/>
            <w:vAlign w:val="center"/>
          </w:tcPr>
          <w:p w14:paraId="1AF12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720" w:type="dxa"/>
            <w:noWrap w:val="0"/>
            <w:vAlign w:val="center"/>
          </w:tcPr>
          <w:p w14:paraId="71A64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96.36%</w:t>
            </w:r>
          </w:p>
        </w:tc>
        <w:tc>
          <w:tcPr>
            <w:tcW w:w="1085" w:type="dxa"/>
            <w:noWrap w:val="0"/>
            <w:vAlign w:val="center"/>
          </w:tcPr>
          <w:p w14:paraId="681A6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9.64</w:t>
            </w:r>
          </w:p>
        </w:tc>
      </w:tr>
      <w:tr w14:paraId="4050B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71572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990" w:type="dxa"/>
            <w:gridSpan w:val="2"/>
            <w:noWrap w:val="0"/>
            <w:vAlign w:val="center"/>
          </w:tcPr>
          <w:p w14:paraId="238AC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635" w:type="dxa"/>
            <w:noWrap w:val="0"/>
            <w:vAlign w:val="center"/>
          </w:tcPr>
          <w:p w14:paraId="25F7C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14056.21</w:t>
            </w:r>
          </w:p>
        </w:tc>
        <w:tc>
          <w:tcPr>
            <w:tcW w:w="1350" w:type="dxa"/>
            <w:noWrap w:val="0"/>
            <w:vAlign w:val="center"/>
          </w:tcPr>
          <w:p w14:paraId="6792B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14056.21</w:t>
            </w:r>
          </w:p>
        </w:tc>
        <w:tc>
          <w:tcPr>
            <w:tcW w:w="1290" w:type="dxa"/>
            <w:noWrap w:val="0"/>
            <w:vAlign w:val="center"/>
          </w:tcPr>
          <w:p w14:paraId="7A2DBD7F">
            <w:pPr>
              <w:keepNext w:val="0"/>
              <w:keepLines w:val="0"/>
              <w:pageBreakBefore w:val="0"/>
              <w:widowControl w:val="0"/>
              <w:tabs>
                <w:tab w:val="center" w:pos="4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13545.19</w:t>
            </w:r>
          </w:p>
        </w:tc>
        <w:tc>
          <w:tcPr>
            <w:tcW w:w="720" w:type="dxa"/>
            <w:noWrap w:val="0"/>
            <w:vAlign w:val="center"/>
          </w:tcPr>
          <w:p w14:paraId="2CD7E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7332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5" w:type="dxa"/>
            <w:noWrap w:val="0"/>
            <w:vAlign w:val="center"/>
          </w:tcPr>
          <w:p w14:paraId="08FFC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6BAE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35F34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990" w:type="dxa"/>
            <w:gridSpan w:val="2"/>
            <w:noWrap w:val="0"/>
            <w:vAlign w:val="center"/>
          </w:tcPr>
          <w:p w14:paraId="70AF5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635" w:type="dxa"/>
            <w:noWrap w:val="0"/>
            <w:vAlign w:val="center"/>
          </w:tcPr>
          <w:p w14:paraId="72C07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222C7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068AF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20" w:type="dxa"/>
            <w:noWrap w:val="0"/>
            <w:vAlign w:val="center"/>
          </w:tcPr>
          <w:p w14:paraId="157A8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20" w:type="dxa"/>
            <w:noWrap w:val="0"/>
            <w:vAlign w:val="center"/>
          </w:tcPr>
          <w:p w14:paraId="5BE4E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5" w:type="dxa"/>
            <w:noWrap w:val="0"/>
            <w:vAlign w:val="center"/>
          </w:tcPr>
          <w:p w14:paraId="4D1B8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6BA3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393FA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990" w:type="dxa"/>
            <w:gridSpan w:val="2"/>
            <w:noWrap w:val="0"/>
            <w:vAlign w:val="center"/>
          </w:tcPr>
          <w:p w14:paraId="5D5CE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635" w:type="dxa"/>
            <w:noWrap w:val="0"/>
            <w:vAlign w:val="center"/>
          </w:tcPr>
          <w:p w14:paraId="68FEB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50" w:type="dxa"/>
            <w:noWrap w:val="0"/>
            <w:vAlign w:val="center"/>
          </w:tcPr>
          <w:p w14:paraId="678D8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90" w:type="dxa"/>
            <w:noWrap w:val="0"/>
            <w:vAlign w:val="center"/>
          </w:tcPr>
          <w:p w14:paraId="1BFC8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 w14:paraId="289BD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 w14:paraId="319E8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5" w:type="dxa"/>
            <w:noWrap w:val="0"/>
            <w:vAlign w:val="center"/>
          </w:tcPr>
          <w:p w14:paraId="192F3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2CE2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restart"/>
            <w:noWrap w:val="0"/>
            <w:vAlign w:val="center"/>
          </w:tcPr>
          <w:p w14:paraId="39B7A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975" w:type="dxa"/>
            <w:gridSpan w:val="4"/>
            <w:noWrap w:val="0"/>
            <w:vAlign w:val="center"/>
          </w:tcPr>
          <w:p w14:paraId="459F9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3815" w:type="dxa"/>
            <w:gridSpan w:val="4"/>
            <w:noWrap w:val="0"/>
            <w:vAlign w:val="center"/>
          </w:tcPr>
          <w:p w14:paraId="2207B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61951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1149A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975" w:type="dxa"/>
            <w:gridSpan w:val="4"/>
            <w:noWrap w:val="0"/>
            <w:vAlign w:val="center"/>
          </w:tcPr>
          <w:p w14:paraId="6D859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15"/>
                <w:szCs w:val="15"/>
              </w:rPr>
              <w:t>根据第四届湖南旅游发展大会岳阳市执行委员会办公室</w:t>
            </w:r>
            <w:r>
              <w:rPr>
                <w:rFonts w:hint="eastAsia" w:ascii="仿宋_GB2312" w:hAnsi="仿宋_GB2312" w:eastAsia="仿宋_GB2312"/>
                <w:sz w:val="15"/>
                <w:szCs w:val="15"/>
                <w:lang w:eastAsia="zh-CN"/>
              </w:rPr>
              <w:t>《</w:t>
            </w:r>
            <w:r>
              <w:rPr>
                <w:rFonts w:hint="eastAsia" w:ascii="仿宋_GB2312" w:hAnsi="仿宋_GB2312" w:eastAsia="仿宋_GB2312"/>
                <w:sz w:val="15"/>
                <w:szCs w:val="15"/>
              </w:rPr>
              <w:t>关于印发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〈</w:t>
            </w:r>
            <w:r>
              <w:rPr>
                <w:rFonts w:hint="eastAsia" w:ascii="仿宋_GB2312" w:hAnsi="仿宋_GB2312" w:eastAsia="仿宋_GB2312"/>
                <w:sz w:val="15"/>
                <w:szCs w:val="15"/>
              </w:rPr>
              <w:t>岳阳市承办第四届湖南旅游发展大会重点项目清单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〉</w:t>
            </w:r>
            <w:r>
              <w:rPr>
                <w:rFonts w:hint="eastAsia" w:ascii="仿宋_GB2312" w:hAnsi="仿宋_GB2312" w:eastAsia="仿宋_GB2312"/>
                <w:sz w:val="15"/>
                <w:szCs w:val="15"/>
                <w:lang w:eastAsia="zh-CN"/>
              </w:rPr>
              <w:t>的</w:t>
            </w:r>
            <w:r>
              <w:rPr>
                <w:rFonts w:hint="eastAsia" w:ascii="仿宋_GB2312" w:hAnsi="仿宋_GB2312" w:eastAsia="仿宋_GB2312"/>
                <w:sz w:val="15"/>
                <w:szCs w:val="15"/>
              </w:rPr>
              <w:t>通知</w:t>
            </w:r>
            <w:r>
              <w:rPr>
                <w:rFonts w:hint="eastAsia" w:ascii="仿宋_GB2312" w:hAnsi="仿宋_GB2312" w:eastAsia="仿宋_GB2312"/>
                <w:sz w:val="15"/>
                <w:szCs w:val="15"/>
                <w:lang w:eastAsia="zh-CN"/>
              </w:rPr>
              <w:t>》</w:t>
            </w:r>
            <w:r>
              <w:rPr>
                <w:rFonts w:hint="eastAsia" w:ascii="仿宋_GB2312" w:hAnsi="仿宋_GB2312" w:eastAsia="仿宋_GB2312"/>
                <w:sz w:val="15"/>
                <w:szCs w:val="15"/>
              </w:rPr>
              <w:t>要求，</w:t>
            </w:r>
            <w:r>
              <w:rPr>
                <w:rFonts w:hint="eastAsia" w:ascii="仿宋_GB2312" w:hAnsi="仿宋_GB2312" w:eastAsia="仿宋_GB2312"/>
                <w:sz w:val="15"/>
                <w:szCs w:val="15"/>
                <w:lang w:val="en-US" w:eastAsia="zh-CN"/>
              </w:rPr>
              <w:t>完成：1、</w:t>
            </w:r>
            <w:r>
              <w:rPr>
                <w:rFonts w:hint="eastAsia" w:ascii="仿宋_GB2312" w:hAnsi="仿宋_GB2312" w:eastAsia="仿宋_GB2312"/>
                <w:sz w:val="15"/>
                <w:szCs w:val="15"/>
              </w:rPr>
              <w:t>市容市貌提质改造项目（市本级）道路</w:t>
            </w:r>
            <w:r>
              <w:rPr>
                <w:rFonts w:hint="eastAsia" w:ascii="仿宋_GB2312" w:hAnsi="仿宋_GB2312" w:eastAsia="仿宋_GB2312"/>
                <w:sz w:val="15"/>
                <w:szCs w:val="15"/>
                <w:lang w:eastAsia="zh-CN"/>
              </w:rPr>
              <w:t>（</w:t>
            </w:r>
            <w:r>
              <w:rPr>
                <w:rFonts w:hint="eastAsia" w:ascii="仿宋_GB2312" w:hAnsi="仿宋_GB2312" w:eastAsia="仿宋_GB2312"/>
                <w:sz w:val="15"/>
                <w:szCs w:val="15"/>
                <w:lang w:val="en-US" w:eastAsia="zh-CN"/>
              </w:rPr>
              <w:t>大修）-洞庭大道等4条路提质改造；2、</w:t>
            </w:r>
            <w:r>
              <w:rPr>
                <w:rFonts w:hint="eastAsia" w:ascii="仿宋_GB2312" w:hAnsi="仿宋_GB2312" w:eastAsia="仿宋_GB2312"/>
                <w:sz w:val="15"/>
                <w:szCs w:val="15"/>
              </w:rPr>
              <w:t>道路提质</w:t>
            </w:r>
            <w:r>
              <w:rPr>
                <w:rFonts w:hint="eastAsia" w:ascii="仿宋_GB2312" w:hAnsi="仿宋_GB2312" w:eastAsia="仿宋_GB2312"/>
                <w:sz w:val="15"/>
                <w:szCs w:val="15"/>
                <w:lang w:val="en-US" w:eastAsia="zh-CN"/>
              </w:rPr>
              <w:t>（翻新）工程；3、景观照明：对主要道路、重要节点夜景提质改造；4、桥梁、隧道涂装翻新；5、市中心城区户外广告拆除项目；6、市中心城区广告设计、制作、发布项目；7、市主城区文化护栏和标线更新项目　</w:t>
            </w:r>
          </w:p>
        </w:tc>
        <w:tc>
          <w:tcPr>
            <w:tcW w:w="3815" w:type="dxa"/>
            <w:gridSpan w:val="4"/>
            <w:noWrap w:val="0"/>
            <w:vAlign w:val="center"/>
          </w:tcPr>
          <w:p w14:paraId="5F1F3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15"/>
                <w:szCs w:val="15"/>
                <w:lang w:val="en-US" w:eastAsia="zh-CN"/>
              </w:rPr>
              <w:t>已按执委会通知要求100%完成：4条道路大修提质改造；8条道路翻新提质改造；城区主要道路、重要节点夜景提质改造；城区10座城市桥梁防护栏和金鹗隧道涂装翻新，对朝阳小学等10座人行天桥除锈刷漆；户外广告拆除；广告设计、制作及发布项目；文化护栏和标线更新项目</w:t>
            </w:r>
          </w:p>
        </w:tc>
      </w:tr>
      <w:tr w14:paraId="6969F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restart"/>
            <w:noWrap w:val="0"/>
            <w:vAlign w:val="center"/>
          </w:tcPr>
          <w:p w14:paraId="5AA80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45713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46343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403BA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61" w:type="dxa"/>
            <w:noWrap w:val="0"/>
            <w:vAlign w:val="center"/>
          </w:tcPr>
          <w:p w14:paraId="6D8AD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929" w:type="dxa"/>
            <w:noWrap w:val="0"/>
            <w:vAlign w:val="center"/>
          </w:tcPr>
          <w:p w14:paraId="70D24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635" w:type="dxa"/>
            <w:noWrap w:val="0"/>
            <w:vAlign w:val="center"/>
          </w:tcPr>
          <w:p w14:paraId="6DD84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350" w:type="dxa"/>
            <w:noWrap w:val="0"/>
            <w:vAlign w:val="center"/>
          </w:tcPr>
          <w:p w14:paraId="4962D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77283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290" w:type="dxa"/>
            <w:noWrap w:val="0"/>
            <w:vAlign w:val="center"/>
          </w:tcPr>
          <w:p w14:paraId="4A59B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02F9C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720" w:type="dxa"/>
            <w:noWrap w:val="0"/>
            <w:vAlign w:val="center"/>
          </w:tcPr>
          <w:p w14:paraId="33425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720" w:type="dxa"/>
            <w:noWrap w:val="0"/>
            <w:vAlign w:val="center"/>
          </w:tcPr>
          <w:p w14:paraId="06191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085" w:type="dxa"/>
            <w:noWrap w:val="0"/>
            <w:vAlign w:val="center"/>
          </w:tcPr>
          <w:p w14:paraId="7FD53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54E53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04A8D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restart"/>
            <w:noWrap w:val="0"/>
            <w:vAlign w:val="center"/>
          </w:tcPr>
          <w:p w14:paraId="0BE0C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23FF2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52E38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929" w:type="dxa"/>
            <w:vMerge w:val="restart"/>
            <w:noWrap w:val="0"/>
            <w:vAlign w:val="center"/>
          </w:tcPr>
          <w:p w14:paraId="58073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635" w:type="dxa"/>
            <w:noWrap w:val="0"/>
            <w:vAlign w:val="center"/>
          </w:tcPr>
          <w:p w14:paraId="7A9B8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道路大修提质</w:t>
            </w:r>
          </w:p>
        </w:tc>
        <w:tc>
          <w:tcPr>
            <w:tcW w:w="1350" w:type="dxa"/>
            <w:noWrap w:val="0"/>
            <w:vAlign w:val="center"/>
          </w:tcPr>
          <w:p w14:paraId="525D341B">
            <w:pPr>
              <w:keepNext w:val="0"/>
              <w:keepLines w:val="0"/>
              <w:pageBreakBefore w:val="0"/>
              <w:widowControl w:val="0"/>
              <w:tabs>
                <w:tab w:val="left" w:pos="4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4条</w:t>
            </w:r>
          </w:p>
        </w:tc>
        <w:tc>
          <w:tcPr>
            <w:tcW w:w="1290" w:type="dxa"/>
            <w:noWrap w:val="0"/>
            <w:vAlign w:val="center"/>
          </w:tcPr>
          <w:p w14:paraId="4C199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4条</w:t>
            </w:r>
          </w:p>
        </w:tc>
        <w:tc>
          <w:tcPr>
            <w:tcW w:w="720" w:type="dxa"/>
            <w:noWrap w:val="0"/>
            <w:vAlign w:val="center"/>
          </w:tcPr>
          <w:p w14:paraId="3B25C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1DFA8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noWrap w:val="0"/>
            <w:vAlign w:val="center"/>
          </w:tcPr>
          <w:p w14:paraId="47006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F29C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09255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/>
            <w:noWrap w:val="0"/>
            <w:vAlign w:val="center"/>
          </w:tcPr>
          <w:p w14:paraId="65DBA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 w14:paraId="17E0E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5" w:type="dxa"/>
            <w:shd w:val="clear" w:color="auto" w:fill="auto"/>
            <w:noWrap w:val="0"/>
            <w:vAlign w:val="center"/>
          </w:tcPr>
          <w:p w14:paraId="3A8A2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道路提质翻新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629DE020">
            <w:pPr>
              <w:keepNext w:val="0"/>
              <w:keepLines w:val="0"/>
              <w:pageBreakBefore w:val="0"/>
              <w:widowControl w:val="0"/>
              <w:tabs>
                <w:tab w:val="left" w:pos="4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8条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7ADD3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8条</w:t>
            </w:r>
          </w:p>
        </w:tc>
        <w:tc>
          <w:tcPr>
            <w:tcW w:w="720" w:type="dxa"/>
            <w:noWrap w:val="0"/>
            <w:vAlign w:val="center"/>
          </w:tcPr>
          <w:p w14:paraId="5E9B3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4907E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noWrap w:val="0"/>
            <w:vAlign w:val="center"/>
          </w:tcPr>
          <w:p w14:paraId="25B5E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D802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616F8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/>
            <w:noWrap w:val="0"/>
            <w:vAlign w:val="center"/>
          </w:tcPr>
          <w:p w14:paraId="745F9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 w14:paraId="6F56D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5" w:type="dxa"/>
            <w:shd w:val="clear" w:color="auto" w:fill="auto"/>
            <w:noWrap w:val="0"/>
            <w:vAlign w:val="center"/>
          </w:tcPr>
          <w:p w14:paraId="18FA4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景观照明提质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0E19E221">
            <w:pPr>
              <w:keepNext w:val="0"/>
              <w:keepLines w:val="0"/>
              <w:pageBreakBefore w:val="0"/>
              <w:widowControl w:val="0"/>
              <w:tabs>
                <w:tab w:val="left" w:pos="4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城区主要道路、重要节点夜景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43AC5105">
            <w:pPr>
              <w:keepNext w:val="0"/>
              <w:keepLines w:val="0"/>
              <w:pageBreakBefore w:val="0"/>
              <w:widowControl w:val="0"/>
              <w:tabs>
                <w:tab w:val="left" w:pos="44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城区主要道路、重要节点夜景</w:t>
            </w:r>
          </w:p>
        </w:tc>
        <w:tc>
          <w:tcPr>
            <w:tcW w:w="720" w:type="dxa"/>
            <w:noWrap w:val="0"/>
            <w:vAlign w:val="center"/>
          </w:tcPr>
          <w:p w14:paraId="6ED79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0C8F2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noWrap w:val="0"/>
            <w:vAlign w:val="center"/>
          </w:tcPr>
          <w:p w14:paraId="22A16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50BB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3E646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/>
            <w:noWrap w:val="0"/>
            <w:vAlign w:val="center"/>
          </w:tcPr>
          <w:p w14:paraId="34922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 w14:paraId="1404D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5" w:type="dxa"/>
            <w:shd w:val="clear" w:color="auto" w:fill="auto"/>
            <w:noWrap w:val="0"/>
            <w:vAlign w:val="center"/>
          </w:tcPr>
          <w:p w14:paraId="47793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桥梁、隧道涂装翻新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4939EAEF">
            <w:pPr>
              <w:keepNext w:val="0"/>
              <w:keepLines w:val="0"/>
              <w:pageBreakBefore w:val="0"/>
              <w:widowControl w:val="0"/>
              <w:tabs>
                <w:tab w:val="left" w:pos="4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10座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68B73F4B">
            <w:pPr>
              <w:keepNext w:val="0"/>
              <w:keepLines w:val="0"/>
              <w:pageBreakBefore w:val="0"/>
              <w:widowControl w:val="0"/>
              <w:tabs>
                <w:tab w:val="left" w:pos="44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10座</w:t>
            </w:r>
          </w:p>
        </w:tc>
        <w:tc>
          <w:tcPr>
            <w:tcW w:w="720" w:type="dxa"/>
            <w:noWrap w:val="0"/>
            <w:vAlign w:val="center"/>
          </w:tcPr>
          <w:p w14:paraId="0BE8E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43AA6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085" w:type="dxa"/>
            <w:noWrap w:val="0"/>
            <w:vAlign w:val="center"/>
          </w:tcPr>
          <w:p w14:paraId="20821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5CE8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37D1A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/>
            <w:noWrap w:val="0"/>
            <w:vAlign w:val="center"/>
          </w:tcPr>
          <w:p w14:paraId="4B8B5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 w14:paraId="1FEF7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5" w:type="dxa"/>
            <w:shd w:val="clear" w:color="auto" w:fill="auto"/>
            <w:noWrap w:val="0"/>
            <w:vAlign w:val="center"/>
          </w:tcPr>
          <w:p w14:paraId="5CBFD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拆除广告屏数量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67C8499A">
            <w:pPr>
              <w:keepNext w:val="0"/>
              <w:keepLines w:val="0"/>
              <w:pageBreakBefore w:val="0"/>
              <w:widowControl w:val="0"/>
              <w:tabs>
                <w:tab w:val="left" w:pos="4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160处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319B0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349处</w:t>
            </w:r>
          </w:p>
        </w:tc>
        <w:tc>
          <w:tcPr>
            <w:tcW w:w="720" w:type="dxa"/>
            <w:noWrap w:val="0"/>
            <w:vAlign w:val="center"/>
          </w:tcPr>
          <w:p w14:paraId="664D2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777AF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noWrap w:val="0"/>
            <w:vAlign w:val="center"/>
          </w:tcPr>
          <w:p w14:paraId="775DA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A496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66448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/>
            <w:noWrap w:val="0"/>
            <w:vAlign w:val="center"/>
          </w:tcPr>
          <w:p w14:paraId="13D23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 w14:paraId="43068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5" w:type="dxa"/>
            <w:shd w:val="clear" w:color="auto" w:fill="auto"/>
            <w:noWrap w:val="0"/>
            <w:vAlign w:val="center"/>
          </w:tcPr>
          <w:p w14:paraId="1F9F6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更换文化护栏道路条数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2C09EC16">
            <w:pPr>
              <w:keepNext w:val="0"/>
              <w:keepLines w:val="0"/>
              <w:pageBreakBefore w:val="0"/>
              <w:widowControl w:val="0"/>
              <w:tabs>
                <w:tab w:val="left" w:pos="4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11条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52CC6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13条</w:t>
            </w:r>
          </w:p>
        </w:tc>
        <w:tc>
          <w:tcPr>
            <w:tcW w:w="720" w:type="dxa"/>
            <w:noWrap w:val="0"/>
            <w:vAlign w:val="center"/>
          </w:tcPr>
          <w:p w14:paraId="16CC5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26753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noWrap w:val="0"/>
            <w:vAlign w:val="center"/>
          </w:tcPr>
          <w:p w14:paraId="7223D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52AE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2CC66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/>
            <w:noWrap w:val="0"/>
            <w:vAlign w:val="center"/>
          </w:tcPr>
          <w:p w14:paraId="6DFC6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 w14:paraId="44135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5" w:type="dxa"/>
            <w:shd w:val="clear" w:color="auto" w:fill="auto"/>
            <w:noWrap w:val="0"/>
            <w:vAlign w:val="center"/>
          </w:tcPr>
          <w:p w14:paraId="2C3B3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施划标线道路条数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1C781A8A">
            <w:pPr>
              <w:keepNext w:val="0"/>
              <w:keepLines w:val="0"/>
              <w:pageBreakBefore w:val="0"/>
              <w:widowControl w:val="0"/>
              <w:tabs>
                <w:tab w:val="left" w:pos="4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10条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0E815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10条</w:t>
            </w:r>
          </w:p>
        </w:tc>
        <w:tc>
          <w:tcPr>
            <w:tcW w:w="720" w:type="dxa"/>
            <w:noWrap w:val="0"/>
            <w:vAlign w:val="center"/>
          </w:tcPr>
          <w:p w14:paraId="38357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66B59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noWrap w:val="0"/>
            <w:vAlign w:val="center"/>
          </w:tcPr>
          <w:p w14:paraId="1B5FA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BE78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694CA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/>
            <w:noWrap w:val="0"/>
            <w:vAlign w:val="center"/>
          </w:tcPr>
          <w:p w14:paraId="7F2F4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 w14:paraId="5A5BD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5" w:type="dxa"/>
            <w:shd w:val="clear" w:color="auto" w:fill="auto"/>
            <w:noWrap w:val="0"/>
            <w:vAlign w:val="center"/>
          </w:tcPr>
          <w:p w14:paraId="3A422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智慧公厕修建数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05ED9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2座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2C1AD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2座</w:t>
            </w:r>
          </w:p>
        </w:tc>
        <w:tc>
          <w:tcPr>
            <w:tcW w:w="720" w:type="dxa"/>
            <w:noWrap w:val="0"/>
            <w:vAlign w:val="center"/>
          </w:tcPr>
          <w:p w14:paraId="041D0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63C7C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noWrap w:val="0"/>
            <w:vAlign w:val="center"/>
          </w:tcPr>
          <w:p w14:paraId="13A52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85A5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21163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/>
            <w:noWrap w:val="0"/>
            <w:vAlign w:val="center"/>
          </w:tcPr>
          <w:p w14:paraId="4568C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 w14:paraId="71C39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5" w:type="dxa"/>
            <w:shd w:val="clear" w:color="auto" w:fill="auto"/>
            <w:noWrap w:val="0"/>
            <w:vAlign w:val="center"/>
          </w:tcPr>
          <w:p w14:paraId="28BA8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智慧公交驿站修建数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41363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2座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2777B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2座</w:t>
            </w:r>
          </w:p>
        </w:tc>
        <w:tc>
          <w:tcPr>
            <w:tcW w:w="720" w:type="dxa"/>
            <w:noWrap w:val="0"/>
            <w:vAlign w:val="center"/>
          </w:tcPr>
          <w:p w14:paraId="35D87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28206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noWrap w:val="0"/>
            <w:vAlign w:val="center"/>
          </w:tcPr>
          <w:p w14:paraId="470CD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3260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44831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/>
            <w:noWrap w:val="0"/>
            <w:vAlign w:val="center"/>
          </w:tcPr>
          <w:p w14:paraId="7DA9E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restart"/>
            <w:noWrap w:val="0"/>
            <w:vAlign w:val="center"/>
          </w:tcPr>
          <w:p w14:paraId="4BF68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635" w:type="dxa"/>
            <w:noWrap w:val="0"/>
            <w:vAlign w:val="center"/>
          </w:tcPr>
          <w:p w14:paraId="1330B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13"/>
                <w:szCs w:val="13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18"/>
                <w:szCs w:val="18"/>
                <w:lang w:val="en-US" w:eastAsia="zh-CN"/>
              </w:rPr>
              <w:t>阶段性工程验收合格率</w:t>
            </w:r>
          </w:p>
        </w:tc>
        <w:tc>
          <w:tcPr>
            <w:tcW w:w="1350" w:type="dxa"/>
            <w:noWrap w:val="0"/>
            <w:vAlign w:val="center"/>
          </w:tcPr>
          <w:p w14:paraId="5E876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0" w:type="dxa"/>
            <w:noWrap w:val="0"/>
            <w:vAlign w:val="center"/>
          </w:tcPr>
          <w:p w14:paraId="3A5E9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20" w:type="dxa"/>
            <w:noWrap w:val="0"/>
            <w:vAlign w:val="center"/>
          </w:tcPr>
          <w:p w14:paraId="1DDAC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670A5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noWrap w:val="0"/>
            <w:vAlign w:val="center"/>
          </w:tcPr>
          <w:p w14:paraId="749A2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771C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4A499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/>
            <w:noWrap w:val="0"/>
            <w:vAlign w:val="center"/>
          </w:tcPr>
          <w:p w14:paraId="4F5BE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continue"/>
            <w:tcBorders/>
            <w:noWrap w:val="0"/>
            <w:vAlign w:val="center"/>
          </w:tcPr>
          <w:p w14:paraId="0EDD3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5D307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18"/>
                <w:szCs w:val="18"/>
                <w:lang w:val="en-US" w:eastAsia="zh-CN"/>
              </w:rPr>
              <w:t>在建过程发生重大质量事故</w:t>
            </w:r>
          </w:p>
        </w:tc>
        <w:tc>
          <w:tcPr>
            <w:tcW w:w="1350" w:type="dxa"/>
            <w:noWrap w:val="0"/>
            <w:vAlign w:val="center"/>
          </w:tcPr>
          <w:p w14:paraId="042C6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290" w:type="dxa"/>
            <w:noWrap w:val="0"/>
            <w:vAlign w:val="center"/>
          </w:tcPr>
          <w:p w14:paraId="64432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vAlign w:val="center"/>
          </w:tcPr>
          <w:p w14:paraId="0045B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4C1F5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noWrap w:val="0"/>
            <w:vAlign w:val="center"/>
          </w:tcPr>
          <w:p w14:paraId="4424F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8E92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147B6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/>
            <w:noWrap w:val="0"/>
            <w:vAlign w:val="center"/>
          </w:tcPr>
          <w:p w14:paraId="4E0E7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continue"/>
            <w:tcBorders/>
            <w:noWrap w:val="0"/>
            <w:vAlign w:val="center"/>
          </w:tcPr>
          <w:p w14:paraId="07590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5" w:type="dxa"/>
            <w:shd w:val="clear" w:color="auto" w:fill="auto"/>
            <w:noWrap w:val="0"/>
            <w:vAlign w:val="center"/>
          </w:tcPr>
          <w:p w14:paraId="3364D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18"/>
                <w:szCs w:val="18"/>
                <w:lang w:val="en-US" w:eastAsia="zh-CN"/>
              </w:rPr>
              <w:t>广告拆除验收合格率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17137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3C746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20" w:type="dxa"/>
            <w:noWrap w:val="0"/>
            <w:vAlign w:val="center"/>
          </w:tcPr>
          <w:p w14:paraId="3C3FC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1CC14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noWrap w:val="0"/>
            <w:vAlign w:val="center"/>
          </w:tcPr>
          <w:p w14:paraId="076EB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BD80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15421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/>
            <w:noWrap w:val="0"/>
            <w:vAlign w:val="center"/>
          </w:tcPr>
          <w:p w14:paraId="29CDF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continue"/>
            <w:tcBorders/>
            <w:noWrap w:val="0"/>
            <w:vAlign w:val="center"/>
          </w:tcPr>
          <w:p w14:paraId="0331B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5" w:type="dxa"/>
            <w:shd w:val="clear" w:color="auto" w:fill="auto"/>
            <w:noWrap w:val="0"/>
            <w:vAlign w:val="center"/>
          </w:tcPr>
          <w:p w14:paraId="22D88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3"/>
                <w:sz w:val="18"/>
                <w:szCs w:val="18"/>
                <w:lang w:val="en-US" w:eastAsia="zh-CN"/>
              </w:rPr>
              <w:t>拆除过程安全事故数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778A3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7279E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414E3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5C244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noWrap w:val="0"/>
            <w:vAlign w:val="center"/>
          </w:tcPr>
          <w:p w14:paraId="14EA8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82E7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44E3F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/>
            <w:noWrap w:val="0"/>
            <w:vAlign w:val="center"/>
          </w:tcPr>
          <w:p w14:paraId="39829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continue"/>
            <w:tcBorders/>
            <w:noWrap w:val="0"/>
            <w:vAlign w:val="center"/>
          </w:tcPr>
          <w:p w14:paraId="20783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5" w:type="dxa"/>
            <w:shd w:val="clear" w:color="auto" w:fill="auto"/>
            <w:noWrap w:val="0"/>
            <w:vAlign w:val="center"/>
          </w:tcPr>
          <w:p w14:paraId="7710C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标线质量验收合格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39CF4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合格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3756D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合格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67A91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5433D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085" w:type="dxa"/>
            <w:noWrap w:val="0"/>
            <w:vAlign w:val="center"/>
          </w:tcPr>
          <w:p w14:paraId="71E9D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964D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40AFB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/>
            <w:noWrap w:val="0"/>
            <w:vAlign w:val="center"/>
          </w:tcPr>
          <w:p w14:paraId="0EC01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continue"/>
            <w:tcBorders/>
            <w:noWrap w:val="0"/>
            <w:vAlign w:val="center"/>
          </w:tcPr>
          <w:p w14:paraId="75A99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5" w:type="dxa"/>
            <w:shd w:val="clear" w:color="auto" w:fill="auto"/>
            <w:noWrap w:val="0"/>
            <w:vAlign w:val="center"/>
          </w:tcPr>
          <w:p w14:paraId="68483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护栏安装质量验收合格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4856E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合格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2271F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合格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4B4A2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632B3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085" w:type="dxa"/>
            <w:noWrap w:val="0"/>
            <w:vAlign w:val="center"/>
          </w:tcPr>
          <w:p w14:paraId="1840A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B452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7831E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/>
            <w:noWrap w:val="0"/>
            <w:vAlign w:val="center"/>
          </w:tcPr>
          <w:p w14:paraId="6119D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continue"/>
            <w:tcBorders/>
            <w:noWrap w:val="0"/>
            <w:vAlign w:val="center"/>
          </w:tcPr>
          <w:p w14:paraId="51BC6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5" w:type="dxa"/>
            <w:shd w:val="clear" w:color="auto" w:fill="auto"/>
            <w:noWrap w:val="0"/>
            <w:vAlign w:val="center"/>
          </w:tcPr>
          <w:p w14:paraId="354BE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智慧公厕和智慧公交驿站符合合同要求并完成验收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0EC5B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符合合同要求并完成验收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12B65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符合合同要求并完成验收</w:t>
            </w:r>
          </w:p>
        </w:tc>
        <w:tc>
          <w:tcPr>
            <w:tcW w:w="720" w:type="dxa"/>
            <w:noWrap w:val="0"/>
            <w:vAlign w:val="center"/>
          </w:tcPr>
          <w:p w14:paraId="7AFB7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720" w:type="dxa"/>
            <w:noWrap w:val="0"/>
            <w:vAlign w:val="center"/>
          </w:tcPr>
          <w:p w14:paraId="7D80D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085" w:type="dxa"/>
            <w:noWrap w:val="0"/>
            <w:vAlign w:val="center"/>
          </w:tcPr>
          <w:p w14:paraId="720EC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E3ED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1C1B8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/>
            <w:noWrap w:val="0"/>
            <w:vAlign w:val="center"/>
          </w:tcPr>
          <w:p w14:paraId="1CDFB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noWrap w:val="0"/>
            <w:vAlign w:val="center"/>
          </w:tcPr>
          <w:p w14:paraId="7718E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635" w:type="dxa"/>
            <w:noWrap w:val="0"/>
            <w:vAlign w:val="center"/>
          </w:tcPr>
          <w:p w14:paraId="0398D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年度内</w:t>
            </w:r>
          </w:p>
        </w:tc>
        <w:tc>
          <w:tcPr>
            <w:tcW w:w="1350" w:type="dxa"/>
            <w:noWrap w:val="0"/>
            <w:vAlign w:val="center"/>
          </w:tcPr>
          <w:p w14:paraId="2EA4C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1年</w:t>
            </w:r>
          </w:p>
        </w:tc>
        <w:tc>
          <w:tcPr>
            <w:tcW w:w="1290" w:type="dxa"/>
            <w:noWrap w:val="0"/>
            <w:vAlign w:val="center"/>
          </w:tcPr>
          <w:p w14:paraId="7B5B0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1年</w:t>
            </w:r>
          </w:p>
        </w:tc>
        <w:tc>
          <w:tcPr>
            <w:tcW w:w="720" w:type="dxa"/>
            <w:noWrap w:val="0"/>
            <w:vAlign w:val="center"/>
          </w:tcPr>
          <w:p w14:paraId="76CC9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720" w:type="dxa"/>
            <w:noWrap w:val="0"/>
            <w:vAlign w:val="center"/>
          </w:tcPr>
          <w:p w14:paraId="26FBF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085" w:type="dxa"/>
            <w:noWrap w:val="0"/>
            <w:vAlign w:val="center"/>
          </w:tcPr>
          <w:p w14:paraId="61894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2EB0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2B293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/>
            <w:noWrap w:val="0"/>
            <w:vAlign w:val="center"/>
          </w:tcPr>
          <w:p w14:paraId="31DDB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restart"/>
            <w:noWrap w:val="0"/>
            <w:vAlign w:val="center"/>
          </w:tcPr>
          <w:p w14:paraId="18F74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635" w:type="dxa"/>
            <w:noWrap w:val="0"/>
            <w:vAlign w:val="center"/>
          </w:tcPr>
          <w:p w14:paraId="67F12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不超过年度预算</w:t>
            </w:r>
          </w:p>
        </w:tc>
        <w:tc>
          <w:tcPr>
            <w:tcW w:w="1350" w:type="dxa"/>
            <w:noWrap w:val="0"/>
            <w:vAlign w:val="center"/>
          </w:tcPr>
          <w:p w14:paraId="712C5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≤14056.21万元</w:t>
            </w:r>
          </w:p>
        </w:tc>
        <w:tc>
          <w:tcPr>
            <w:tcW w:w="1290" w:type="dxa"/>
            <w:noWrap w:val="0"/>
            <w:vAlign w:val="center"/>
          </w:tcPr>
          <w:p w14:paraId="14DE4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13545.19万元</w:t>
            </w:r>
          </w:p>
        </w:tc>
        <w:tc>
          <w:tcPr>
            <w:tcW w:w="720" w:type="dxa"/>
            <w:noWrap w:val="0"/>
            <w:vAlign w:val="center"/>
          </w:tcPr>
          <w:p w14:paraId="09F13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720" w:type="dxa"/>
            <w:noWrap w:val="0"/>
            <w:vAlign w:val="center"/>
          </w:tcPr>
          <w:p w14:paraId="2708F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1085" w:type="dxa"/>
            <w:noWrap w:val="0"/>
            <w:vAlign w:val="center"/>
          </w:tcPr>
          <w:p w14:paraId="6D7E1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7D12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6C406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/>
            <w:noWrap w:val="0"/>
            <w:vAlign w:val="center"/>
          </w:tcPr>
          <w:p w14:paraId="1475C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continue"/>
            <w:tcBorders/>
            <w:noWrap w:val="0"/>
            <w:vAlign w:val="center"/>
          </w:tcPr>
          <w:p w14:paraId="7FCDA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5FB82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对社会发展可能造成的负面影响</w:t>
            </w:r>
          </w:p>
        </w:tc>
        <w:tc>
          <w:tcPr>
            <w:tcW w:w="1350" w:type="dxa"/>
            <w:noWrap w:val="0"/>
            <w:vAlign w:val="center"/>
          </w:tcPr>
          <w:p w14:paraId="5A208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1290" w:type="dxa"/>
            <w:noWrap w:val="0"/>
            <w:vAlign w:val="center"/>
          </w:tcPr>
          <w:p w14:paraId="08D51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720" w:type="dxa"/>
            <w:noWrap w:val="0"/>
            <w:vAlign w:val="center"/>
          </w:tcPr>
          <w:p w14:paraId="32231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720" w:type="dxa"/>
            <w:noWrap w:val="0"/>
            <w:vAlign w:val="center"/>
          </w:tcPr>
          <w:p w14:paraId="456E9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1085" w:type="dxa"/>
            <w:noWrap w:val="0"/>
            <w:vAlign w:val="center"/>
          </w:tcPr>
          <w:p w14:paraId="30E33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142E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41209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/>
            <w:noWrap w:val="0"/>
            <w:vAlign w:val="center"/>
          </w:tcPr>
          <w:p w14:paraId="1750E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continue"/>
            <w:tcBorders/>
            <w:noWrap w:val="0"/>
            <w:vAlign w:val="center"/>
          </w:tcPr>
          <w:p w14:paraId="61EE0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79BD0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对生态环境可能造成的负面影响</w:t>
            </w:r>
          </w:p>
        </w:tc>
        <w:tc>
          <w:tcPr>
            <w:tcW w:w="1350" w:type="dxa"/>
            <w:noWrap w:val="0"/>
            <w:vAlign w:val="center"/>
          </w:tcPr>
          <w:p w14:paraId="22F74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1290" w:type="dxa"/>
            <w:noWrap w:val="0"/>
            <w:vAlign w:val="center"/>
          </w:tcPr>
          <w:p w14:paraId="2805D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720" w:type="dxa"/>
            <w:noWrap w:val="0"/>
            <w:vAlign w:val="center"/>
          </w:tcPr>
          <w:p w14:paraId="2D46D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720" w:type="dxa"/>
            <w:noWrap w:val="0"/>
            <w:vAlign w:val="center"/>
          </w:tcPr>
          <w:p w14:paraId="60735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1085" w:type="dxa"/>
            <w:noWrap w:val="0"/>
            <w:vAlign w:val="center"/>
          </w:tcPr>
          <w:p w14:paraId="37754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FB33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3132F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restart"/>
            <w:noWrap w:val="0"/>
            <w:vAlign w:val="center"/>
          </w:tcPr>
          <w:p w14:paraId="6380C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55665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3AA83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2FEEB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noWrap w:val="0"/>
            <w:vAlign w:val="center"/>
          </w:tcPr>
          <w:p w14:paraId="61ABF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6526D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635" w:type="dxa"/>
            <w:noWrap w:val="0"/>
            <w:vAlign w:val="center"/>
          </w:tcPr>
          <w:p w14:paraId="3D42B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降本增效，降低运营成本</w:t>
            </w:r>
          </w:p>
        </w:tc>
        <w:tc>
          <w:tcPr>
            <w:tcW w:w="1350" w:type="dxa"/>
            <w:noWrap w:val="0"/>
            <w:vAlign w:val="center"/>
          </w:tcPr>
          <w:p w14:paraId="6CE5B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减少资源消耗和人力成本</w:t>
            </w:r>
          </w:p>
        </w:tc>
        <w:tc>
          <w:tcPr>
            <w:tcW w:w="1290" w:type="dxa"/>
            <w:noWrap w:val="0"/>
            <w:vAlign w:val="center"/>
          </w:tcPr>
          <w:p w14:paraId="760BA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减少资源消耗和人力成本</w:t>
            </w:r>
          </w:p>
        </w:tc>
        <w:tc>
          <w:tcPr>
            <w:tcW w:w="720" w:type="dxa"/>
            <w:noWrap w:val="0"/>
            <w:vAlign w:val="center"/>
          </w:tcPr>
          <w:p w14:paraId="33235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720" w:type="dxa"/>
            <w:noWrap w:val="0"/>
            <w:vAlign w:val="center"/>
          </w:tcPr>
          <w:p w14:paraId="5E43D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085" w:type="dxa"/>
            <w:noWrap w:val="0"/>
            <w:vAlign w:val="center"/>
          </w:tcPr>
          <w:p w14:paraId="244AC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1A6C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64484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noWrap w:val="0"/>
            <w:vAlign w:val="center"/>
          </w:tcPr>
          <w:p w14:paraId="17BE4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restart"/>
            <w:noWrap w:val="0"/>
            <w:vAlign w:val="center"/>
          </w:tcPr>
          <w:p w14:paraId="6E607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69BB0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635" w:type="dxa"/>
            <w:noWrap w:val="0"/>
            <w:vAlign w:val="center"/>
          </w:tcPr>
          <w:p w14:paraId="4D729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为旅发大会提供保障</w:t>
            </w:r>
          </w:p>
        </w:tc>
        <w:tc>
          <w:tcPr>
            <w:tcW w:w="1350" w:type="dxa"/>
            <w:noWrap w:val="0"/>
            <w:vAlign w:val="center"/>
          </w:tcPr>
          <w:p w14:paraId="2974A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有效保障</w:t>
            </w:r>
          </w:p>
        </w:tc>
        <w:tc>
          <w:tcPr>
            <w:tcW w:w="1290" w:type="dxa"/>
            <w:noWrap w:val="0"/>
            <w:vAlign w:val="center"/>
          </w:tcPr>
          <w:p w14:paraId="59C4C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有效保障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37CA7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33ABF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085" w:type="dxa"/>
            <w:noWrap w:val="0"/>
            <w:vAlign w:val="center"/>
          </w:tcPr>
          <w:p w14:paraId="5784F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7FFF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3A2C6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noWrap w:val="0"/>
            <w:vAlign w:val="center"/>
          </w:tcPr>
          <w:p w14:paraId="34CA9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 w14:paraId="789A8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5" w:type="dxa"/>
            <w:shd w:val="clear" w:color="auto" w:fill="auto"/>
            <w:noWrap w:val="0"/>
            <w:vAlign w:val="center"/>
          </w:tcPr>
          <w:p w14:paraId="405FE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提升服务体验和城市形象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3C058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成为展示城市文明与治理水平的窗口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7DE1D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成为展示城市文明与治理水平的窗口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32241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526D4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085" w:type="dxa"/>
            <w:noWrap w:val="0"/>
            <w:vAlign w:val="center"/>
          </w:tcPr>
          <w:p w14:paraId="2B3A5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AABC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0A90C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noWrap w:val="0"/>
            <w:vAlign w:val="center"/>
          </w:tcPr>
          <w:p w14:paraId="73D35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restart"/>
            <w:noWrap w:val="0"/>
            <w:vAlign w:val="center"/>
          </w:tcPr>
          <w:p w14:paraId="721F2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2DB63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635" w:type="dxa"/>
            <w:noWrap w:val="0"/>
            <w:vAlign w:val="center"/>
          </w:tcPr>
          <w:p w14:paraId="7F4C9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对生态环境的影响</w:t>
            </w:r>
          </w:p>
        </w:tc>
        <w:tc>
          <w:tcPr>
            <w:tcW w:w="1350" w:type="dxa"/>
            <w:noWrap w:val="0"/>
            <w:vAlign w:val="center"/>
          </w:tcPr>
          <w:p w14:paraId="7E200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有所改善</w:t>
            </w:r>
          </w:p>
        </w:tc>
        <w:tc>
          <w:tcPr>
            <w:tcW w:w="1290" w:type="dxa"/>
            <w:noWrap w:val="0"/>
            <w:vAlign w:val="center"/>
          </w:tcPr>
          <w:p w14:paraId="3949D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有所改善</w:t>
            </w:r>
          </w:p>
        </w:tc>
        <w:tc>
          <w:tcPr>
            <w:tcW w:w="720" w:type="dxa"/>
            <w:noWrap w:val="0"/>
            <w:vAlign w:val="center"/>
          </w:tcPr>
          <w:p w14:paraId="3E66D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7CABA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085" w:type="dxa"/>
            <w:noWrap w:val="0"/>
            <w:vAlign w:val="center"/>
          </w:tcPr>
          <w:p w14:paraId="24D62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7DA4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60B38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noWrap w:val="0"/>
            <w:vAlign w:val="center"/>
          </w:tcPr>
          <w:p w14:paraId="70646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 w14:paraId="2668A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5" w:type="dxa"/>
            <w:shd w:val="clear" w:color="auto" w:fill="auto"/>
            <w:noWrap w:val="0"/>
            <w:vAlign w:val="center"/>
          </w:tcPr>
          <w:p w14:paraId="2EE3D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绿色低碳和资源循环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109B0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节水节能，减少污染与排放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4223B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节水节能，减少污染与排放</w:t>
            </w:r>
          </w:p>
        </w:tc>
        <w:tc>
          <w:tcPr>
            <w:tcW w:w="720" w:type="dxa"/>
            <w:noWrap w:val="0"/>
            <w:vAlign w:val="center"/>
          </w:tcPr>
          <w:p w14:paraId="210EE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7449A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085" w:type="dxa"/>
            <w:noWrap w:val="0"/>
            <w:vAlign w:val="center"/>
          </w:tcPr>
          <w:p w14:paraId="5F0CB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2DF7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3615E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noWrap w:val="0"/>
            <w:vAlign w:val="center"/>
          </w:tcPr>
          <w:p w14:paraId="101D4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restart"/>
            <w:noWrap w:val="0"/>
            <w:vAlign w:val="center"/>
          </w:tcPr>
          <w:p w14:paraId="12E44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635" w:type="dxa"/>
            <w:noWrap w:val="0"/>
            <w:vAlign w:val="center"/>
          </w:tcPr>
          <w:p w14:paraId="16022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提升城市排水管理，保障人民生命财产安全</w:t>
            </w:r>
          </w:p>
        </w:tc>
        <w:tc>
          <w:tcPr>
            <w:tcW w:w="1350" w:type="dxa"/>
            <w:noWrap w:val="0"/>
            <w:vAlign w:val="center"/>
          </w:tcPr>
          <w:p w14:paraId="7B1A6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可持续影响</w:t>
            </w:r>
          </w:p>
        </w:tc>
        <w:tc>
          <w:tcPr>
            <w:tcW w:w="1290" w:type="dxa"/>
            <w:noWrap w:val="0"/>
            <w:vAlign w:val="center"/>
          </w:tcPr>
          <w:p w14:paraId="4E344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可持续影响</w:t>
            </w:r>
          </w:p>
        </w:tc>
        <w:tc>
          <w:tcPr>
            <w:tcW w:w="720" w:type="dxa"/>
            <w:noWrap w:val="0"/>
            <w:vAlign w:val="center"/>
          </w:tcPr>
          <w:p w14:paraId="0C9E9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4A6D2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085" w:type="dxa"/>
            <w:noWrap w:val="0"/>
            <w:vAlign w:val="center"/>
          </w:tcPr>
          <w:p w14:paraId="0DF8E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1EC4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7D8DC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noWrap w:val="0"/>
            <w:vAlign w:val="center"/>
          </w:tcPr>
          <w:p w14:paraId="63549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 w14:paraId="06DAD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5" w:type="dxa"/>
            <w:shd w:val="clear" w:color="auto" w:fill="auto"/>
            <w:noWrap w:val="0"/>
            <w:vAlign w:val="center"/>
          </w:tcPr>
          <w:p w14:paraId="226E2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城市运行安全水平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5B785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持续提升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5B850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持续提升</w:t>
            </w:r>
          </w:p>
        </w:tc>
        <w:tc>
          <w:tcPr>
            <w:tcW w:w="720" w:type="dxa"/>
            <w:noWrap w:val="0"/>
            <w:vAlign w:val="center"/>
          </w:tcPr>
          <w:p w14:paraId="379D5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22F71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085" w:type="dxa"/>
            <w:noWrap w:val="0"/>
            <w:vAlign w:val="center"/>
          </w:tcPr>
          <w:p w14:paraId="53DDD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30D7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61BBC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noWrap w:val="0"/>
            <w:vAlign w:val="center"/>
          </w:tcPr>
          <w:p w14:paraId="6A46B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 w14:paraId="6B452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5" w:type="dxa"/>
            <w:shd w:val="clear" w:color="auto" w:fill="auto"/>
            <w:noWrap w:val="0"/>
            <w:vAlign w:val="center"/>
          </w:tcPr>
          <w:p w14:paraId="69FE3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绿色低碳可持续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49E7A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可持续影响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15A2C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可持续影响</w:t>
            </w:r>
          </w:p>
        </w:tc>
        <w:tc>
          <w:tcPr>
            <w:tcW w:w="720" w:type="dxa"/>
            <w:noWrap w:val="0"/>
            <w:vAlign w:val="center"/>
          </w:tcPr>
          <w:p w14:paraId="34E59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1DC81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085" w:type="dxa"/>
            <w:noWrap w:val="0"/>
            <w:vAlign w:val="center"/>
          </w:tcPr>
          <w:p w14:paraId="46211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FD22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55948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noWrap w:val="0"/>
            <w:vAlign w:val="center"/>
          </w:tcPr>
          <w:p w14:paraId="6F8B1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 w14:paraId="2046C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5" w:type="dxa"/>
            <w:shd w:val="clear" w:color="auto" w:fill="auto"/>
            <w:noWrap w:val="0"/>
            <w:vAlign w:val="center"/>
          </w:tcPr>
          <w:p w14:paraId="2AFCB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  <w:lang w:val="en-US" w:eastAsia="zh-CN"/>
              </w:rPr>
              <w:t>提升城市整体形象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23216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持续提升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417F1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持续提升</w:t>
            </w:r>
          </w:p>
        </w:tc>
        <w:tc>
          <w:tcPr>
            <w:tcW w:w="720" w:type="dxa"/>
            <w:noWrap w:val="0"/>
            <w:vAlign w:val="center"/>
          </w:tcPr>
          <w:p w14:paraId="2E7DC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3BD59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085" w:type="dxa"/>
            <w:noWrap w:val="0"/>
            <w:vAlign w:val="center"/>
          </w:tcPr>
          <w:p w14:paraId="2080C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FA3F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noWrap w:val="0"/>
            <w:vAlign w:val="center"/>
          </w:tcPr>
          <w:p w14:paraId="71E95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66B6E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47D97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6FD46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929" w:type="dxa"/>
            <w:noWrap w:val="0"/>
            <w:vAlign w:val="center"/>
          </w:tcPr>
          <w:p w14:paraId="27EB4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635" w:type="dxa"/>
            <w:noWrap w:val="0"/>
            <w:vAlign w:val="center"/>
          </w:tcPr>
          <w:p w14:paraId="6CA68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  <w:lang w:val="en-US" w:eastAsia="zh-CN"/>
              </w:rPr>
              <w:t>人民群众满意度</w:t>
            </w:r>
          </w:p>
        </w:tc>
        <w:tc>
          <w:tcPr>
            <w:tcW w:w="1350" w:type="dxa"/>
            <w:noWrap w:val="0"/>
            <w:vAlign w:val="center"/>
          </w:tcPr>
          <w:p w14:paraId="64AB8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≥95%</w:t>
            </w:r>
          </w:p>
        </w:tc>
        <w:tc>
          <w:tcPr>
            <w:tcW w:w="1290" w:type="dxa"/>
            <w:noWrap w:val="0"/>
            <w:vAlign w:val="center"/>
          </w:tcPr>
          <w:p w14:paraId="3A9C1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95%</w:t>
            </w:r>
          </w:p>
        </w:tc>
        <w:tc>
          <w:tcPr>
            <w:tcW w:w="720" w:type="dxa"/>
            <w:noWrap w:val="0"/>
            <w:vAlign w:val="center"/>
          </w:tcPr>
          <w:p w14:paraId="6E40C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720" w:type="dxa"/>
            <w:noWrap w:val="0"/>
            <w:vAlign w:val="center"/>
          </w:tcPr>
          <w:p w14:paraId="570CC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085" w:type="dxa"/>
            <w:noWrap w:val="0"/>
            <w:vAlign w:val="center"/>
          </w:tcPr>
          <w:p w14:paraId="6E51D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6118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26" w:type="dxa"/>
            <w:gridSpan w:val="6"/>
            <w:noWrap w:val="0"/>
            <w:vAlign w:val="center"/>
          </w:tcPr>
          <w:p w14:paraId="71CB9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720" w:type="dxa"/>
            <w:noWrap w:val="0"/>
            <w:vAlign w:val="center"/>
          </w:tcPr>
          <w:p w14:paraId="596D1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720" w:type="dxa"/>
            <w:noWrap w:val="0"/>
            <w:vAlign w:val="center"/>
          </w:tcPr>
          <w:p w14:paraId="5A3ED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99.64</w:t>
            </w:r>
          </w:p>
        </w:tc>
        <w:tc>
          <w:tcPr>
            <w:tcW w:w="1085" w:type="dxa"/>
            <w:noWrap w:val="0"/>
            <w:vAlign w:val="center"/>
          </w:tcPr>
          <w:p w14:paraId="6C907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7AEFA03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18"/>
          <w:szCs w:val="18"/>
          <w:highlight w:val="none"/>
          <w:lang w:eastAsia="zh-CN"/>
        </w:rPr>
      </w:pPr>
    </w:p>
    <w:p w14:paraId="331956F1"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联系电话：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单位负责人签字：</w:t>
      </w:r>
    </w:p>
    <w:p w14:paraId="2C939405">
      <w:pPr>
        <w:rPr>
          <w:rFonts w:hint="default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  <w:br w:type="page"/>
      </w:r>
    </w:p>
    <w:p w14:paraId="2D8A2D8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3-13</w:t>
      </w:r>
    </w:p>
    <w:p w14:paraId="3946B29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9"/>
        <w:tblW w:w="98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1061"/>
        <w:gridCol w:w="1259"/>
        <w:gridCol w:w="1470"/>
        <w:gridCol w:w="1260"/>
        <w:gridCol w:w="1275"/>
        <w:gridCol w:w="630"/>
        <w:gridCol w:w="855"/>
        <w:gridCol w:w="980"/>
      </w:tblGrid>
      <w:tr w14:paraId="4CDAD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C4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0801D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D21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巴陵中路（琵琶王立交桥-德胜路）绿化海绵改造工程</w:t>
            </w:r>
          </w:p>
        </w:tc>
      </w:tr>
      <w:tr w14:paraId="3C652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45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5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E4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D3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2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B5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城市管理和综合执法局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D1B2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73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E3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D7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年初预算数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C0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全年预算数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B6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全年执行数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D8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1B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37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3C411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23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77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A8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300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49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300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88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220.6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C5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4D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B2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547CB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B2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F1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2C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300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F7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300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AD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220.6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59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E8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2D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7BCF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84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DA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B2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E6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FA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4B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B3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8D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A36C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B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71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4C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D6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8C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6E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0F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D5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9164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5B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5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C7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3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78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38374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68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C9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系统化全面推进海绵城市建设理念得到全面系统落实，城市防洪防涝能力、地下空间利用水平显著升高，城市水环境、水安全、水资源明显改善，群众满意度明显提升。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　</w:t>
            </w:r>
          </w:p>
        </w:tc>
        <w:tc>
          <w:tcPr>
            <w:tcW w:w="3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B5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项目已完成98%，待竣工验收完成结算。</w:t>
            </w:r>
          </w:p>
        </w:tc>
      </w:tr>
      <w:tr w14:paraId="13B9A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8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24229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3F6BA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225DD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BC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99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07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98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32683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71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7A799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27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CB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75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46C69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EB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97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3E758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15353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2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BD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21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lang w:val="en-US" w:eastAsia="zh-CN"/>
              </w:rPr>
              <w:t>雨水控制率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BC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50%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E9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50%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F8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D9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D8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3800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69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D2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30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61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雨水污染去除率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A4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40%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62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40%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17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C8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13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771A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37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CD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75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1E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可透水地面面积比例（城市建成区范围和可透水铺装的地面占建成区面积比例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EF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17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34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62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47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DA70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2D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A7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F5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91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lang w:val="en-US" w:eastAsia="zh-CN"/>
              </w:rPr>
              <w:t>内涝防治标准（重现期年）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DD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30年一遇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25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30年一遇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56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BE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0C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9353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BB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08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2C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9E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lang w:val="en-US" w:eastAsia="zh-CN"/>
              </w:rPr>
              <w:t>内涝防治标准（对应降雨量。Mm/24h)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F8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lang w:val="en-US" w:eastAsia="zh-CN"/>
              </w:rPr>
              <w:t>224.3mm/24h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FA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lang w:val="en-US" w:eastAsia="zh-CN"/>
              </w:rPr>
              <w:t>224.3mm/24h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C1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AD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48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24A0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7D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16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9A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F7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三年内完成项目建设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BF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F7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3年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FF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36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D1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9C9D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7A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4E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16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89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不超过全年预算数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2A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≤300万元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80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220.6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64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39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38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9099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38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06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653FE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49554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37D6B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78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7EBBA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7E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完成投资（万元）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73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220.6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16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220.6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F9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01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D1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6821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17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0F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42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7B12C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B7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lang w:val="en-US" w:eastAsia="zh-CN"/>
              </w:rPr>
              <w:t>海绵城市建设理念是否落实在规划建设管理全过程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7E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全面落实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A4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全面落实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89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88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66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0845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09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45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77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CD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示范城市建设以来，新建项目全面落实建设理念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03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是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39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是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76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F0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4C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67DA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3A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86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D5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1B527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56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lang w:val="en-US" w:eastAsia="zh-CN"/>
              </w:rPr>
              <w:t>项目谋划与实施的系统性整体性（防涝与排渍水统筹、地上与地下统筹、排涝和治污统筹等）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EC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强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2D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强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D7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4E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19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D039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BF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8A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4A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05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提升城市排水管理，保障人民生命财产安全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25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AC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53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F1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AA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4260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5C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51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7D81D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2F9DA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76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9E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人民群众满意度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AE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≥95%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B8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≥95%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71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84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63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096B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41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7A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9F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F6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603DC91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 w14:paraId="0C089D6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18"/>
          <w:szCs w:val="18"/>
          <w:highlight w:val="none"/>
          <w:lang w:eastAsia="zh-CN"/>
        </w:rPr>
      </w:pPr>
    </w:p>
    <w:p w14:paraId="6F9D284B"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联系电话：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单位负责人签字：</w:t>
      </w:r>
    </w:p>
    <w:p w14:paraId="090CE9B4">
      <w:pPr>
        <w:rPr>
          <w:rFonts w:hint="default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  <w:br w:type="page"/>
      </w:r>
    </w:p>
    <w:p w14:paraId="0AF7B51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3-14</w:t>
      </w:r>
    </w:p>
    <w:p w14:paraId="0488A56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9"/>
        <w:tblW w:w="98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075"/>
        <w:gridCol w:w="1076"/>
        <w:gridCol w:w="1695"/>
        <w:gridCol w:w="1260"/>
        <w:gridCol w:w="1050"/>
        <w:gridCol w:w="660"/>
        <w:gridCol w:w="709"/>
        <w:gridCol w:w="1456"/>
      </w:tblGrid>
      <w:tr w14:paraId="4B396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6C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3748F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98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E3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花果畈垃圾处理场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封场项目</w:t>
            </w:r>
          </w:p>
        </w:tc>
      </w:tr>
      <w:tr w14:paraId="7F4B2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22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</w:t>
            </w:r>
          </w:p>
          <w:p w14:paraId="5EDE1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部门</w:t>
            </w:r>
          </w:p>
        </w:tc>
        <w:tc>
          <w:tcPr>
            <w:tcW w:w="51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C0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589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28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6B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岳阳市城市管理和综合执法局</w:t>
            </w:r>
          </w:p>
        </w:tc>
      </w:tr>
      <w:tr w14:paraId="27DE1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5D3B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</w:t>
            </w:r>
          </w:p>
          <w:p w14:paraId="6F133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6E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D3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年初预算数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59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全年预算数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78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全年执行数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78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8D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0C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59930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495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A6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95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618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82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618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3E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390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27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71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47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63%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75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6.3</w:t>
            </w:r>
          </w:p>
        </w:tc>
      </w:tr>
      <w:tr w14:paraId="380B2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F7E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83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B0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390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27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E9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390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27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87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390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27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AB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36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94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BF16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F570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6A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A6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36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F7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00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C5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C0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84C8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C3A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27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7F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D8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B1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28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B3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1D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C595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9BC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51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FCD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38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95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</w:t>
            </w:r>
          </w:p>
        </w:tc>
      </w:tr>
      <w:tr w14:paraId="10890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50AF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1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B6E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采用“原位生态封场”治理工艺，就地采取工程措施隔绝污染，，最终达到消除污染、控制隐患及改善环境的目的。</w:t>
            </w:r>
          </w:p>
        </w:tc>
        <w:tc>
          <w:tcPr>
            <w:tcW w:w="38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4C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已完成封场</w:t>
            </w:r>
          </w:p>
        </w:tc>
      </w:tr>
      <w:tr w14:paraId="545F2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9E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3B8DB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5C590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2717C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72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9E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44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B5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0190C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33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77C69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33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53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31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70DBA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29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DF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30AEB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4ADC5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92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A7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填埋场规范性封场和生态治理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BF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完成规范性封场和生态治理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D4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已完成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87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34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D6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23AB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3D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9A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BA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BA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工程质量符合标准率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DF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工程质量符合标准率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F4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符合标准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F8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A3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03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CBBE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7F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B6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37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B2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按时限完成支付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94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年内支付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27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已完成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5C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A4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08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7FE7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DF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B1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7E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04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项目支出金额不超过预算金额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37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未超过预算金额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CC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未超过预算金额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E9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51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B0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46BB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EB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5B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99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4D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对社会造成负面影响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E2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8A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有积极影响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AD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4D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40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33E2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BE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48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CE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09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对生态环境造成负面影响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A2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90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有积极影响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33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7B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83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F3C4B44">
        <w:trPr>
          <w:jc w:val="center"/>
        </w:trPr>
        <w:tc>
          <w:tcPr>
            <w:tcW w:w="8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13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5B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03505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5AB6A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07D74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31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5E314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90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减污降碳、实现污染物达标排放，减少治理成本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40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各项污染物稳定达标排放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C2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各项污染物稳定达标排放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7E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2D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B9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D7C8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E7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88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5C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22AFF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6D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美化城市环境、提升市民幸福指数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A4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从垃圾场变身生态绿地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76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从垃圾场变身生态绿地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89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E6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BD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2CDA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DA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7D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7F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690FE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96899">
            <w:pPr>
              <w:widowControl w:val="0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实现美化环境、生态修复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4F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生态修复良好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DB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生态修复良好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E4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3E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8C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A8AF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C5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D8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20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6E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环境优化可持续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86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具有可持续影响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1D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具有可持续影响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85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89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02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80CB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37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60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2C86E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64F54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B9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04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社会公众或服务对象满意度指标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6C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群众满意度高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D7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群众满意度高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5F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AE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2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306F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D8D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DF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1E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96.3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0F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</w:tbl>
    <w:p w14:paraId="2B047A1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18"/>
          <w:szCs w:val="18"/>
          <w:highlight w:val="none"/>
          <w:lang w:eastAsia="zh-CN"/>
        </w:rPr>
      </w:pPr>
    </w:p>
    <w:p w14:paraId="14A3DD5C"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联系电话：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单位负责人签字：</w:t>
      </w:r>
    </w:p>
    <w:p w14:paraId="7BB235D4">
      <w:pPr>
        <w:rPr>
          <w:rFonts w:hint="default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  <w:br w:type="page"/>
      </w:r>
    </w:p>
    <w:p w14:paraId="4883DFC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3-15</w:t>
      </w:r>
    </w:p>
    <w:p w14:paraId="3FE6303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9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 w14:paraId="15D112D5"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1D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7C56B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07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阳市城陵矶新港区城市基础设施生命线安全工程项目</w:t>
            </w:r>
          </w:p>
        </w:tc>
      </w:tr>
      <w:tr w14:paraId="412AC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EF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A1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岳阳市城市管理和综合执法局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5E2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CC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岳阳市智慧城管指挥中心</w:t>
            </w:r>
          </w:p>
        </w:tc>
      </w:tr>
      <w:tr w14:paraId="23162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0DF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A4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2D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7583C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BD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39579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C1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46D20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61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5A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DB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605F9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F49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83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BA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4C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425.2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5D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30.242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A2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67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7.11%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D0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0.71</w:t>
            </w:r>
          </w:p>
        </w:tc>
      </w:tr>
      <w:tr w14:paraId="36B61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6EB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B6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20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B9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425.2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1A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30.242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C8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03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89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C326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43F7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C7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F3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23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CD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8C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DF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09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31F0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5FE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0D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8F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4F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6A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4C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0C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0E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0B15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4EA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7B9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61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2F796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8B28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F438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阳市城陵矶新港区城市基础设施生命线安全工程项目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包括：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风险评估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、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城市生命线监测感知终端系统、应用系统（包含预警联动处置应用系统、综合安全驾驶舱、燃气安全运行监测系统、排水安全运行监测系统、供水安全运行监测系统）、数据体系建设、接口与基础环境建设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02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通过风险评估精确发现风险区域，采购并安装相应的物联感知设备，搭建供排燃管网监测感知网，建设生命线安全监测平台应用系统，对接物联感知设备实现风险实时报警，及时派单处置，构建生命线各行业行业基础数据体系，开发物联网通用接口，为后续新增设备预留对接空间。</w:t>
            </w:r>
          </w:p>
        </w:tc>
      </w:tr>
      <w:tr w14:paraId="33763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4C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4486B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67C88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4E480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F0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F1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54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5B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4D325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31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6E91B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9B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FC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80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7823A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68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07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24FE2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618D6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6F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14C5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可燃气体智能监测设备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66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186套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3D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186套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4C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65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8E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BD6F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27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8E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88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0C53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排水监测设备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99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88套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F5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88套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AF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70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55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0564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0A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CD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7E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E2F5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供水监测设备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62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41套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32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37套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F1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3E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8C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供水四套设备安装涉及挖管停水且存在相同类型设备，采取对接形式获取数据。</w:t>
            </w:r>
          </w:p>
        </w:tc>
      </w:tr>
      <w:tr w14:paraId="0FDC8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6C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10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D9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D3C21"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物联感知平台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F7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50E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1套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47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90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E7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4198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7F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15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67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5D93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预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警联动处置应用系统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A3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1AE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1套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95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91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23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7957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CB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E9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79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7939A"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综合安全驾驶舱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53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8个专题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F6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8个专题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29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DF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7B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0B2A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D5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FC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62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A2AA4"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燃气安全运行监测系统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10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0DB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1套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28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3E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5E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BACD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ED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D6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07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5F5C0"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供水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安全运行监测系统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FB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135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1套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1F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B8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57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BC3F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68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206D1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AF9B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5B097"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排水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安全运行监测系统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64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8D6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1套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65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75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8D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30C2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A6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6582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63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CD8D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数据体系建设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66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996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1套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FA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FB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B5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9703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0C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68FB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1D077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01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保障通信正常率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23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23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96.85%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F9BDE"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36CBD"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E2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CF01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3A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E53D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F0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D6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派单流程正常运行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26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55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6104E"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8A076"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22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F9C0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13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EFC3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53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35D807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项目完成时间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24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31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日前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1C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2026年1月31日前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6FBF0"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4AADF">
            <w:pPr>
              <w:widowControl/>
              <w:spacing w:line="32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1F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A310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3A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61D9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86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22D3BC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网络正常运行，故障解决及时。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E05AF5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要求时间内完成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6180A0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均在要求时间内完成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AD113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D988A"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73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F61A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6B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20B4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64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6E545B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项目实施成本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75A5EE">
            <w:pPr>
              <w:widowControl/>
              <w:spacing w:line="28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  <w:t>不超过预算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FB5F1F">
            <w:pPr>
              <w:widowControl/>
              <w:spacing w:line="28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  <w:t>未超过预算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9A2EC">
            <w:pPr>
              <w:widowControl/>
              <w:spacing w:line="280" w:lineRule="exact"/>
              <w:ind w:firstLine="200" w:firstLineChars="100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4581B"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03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3906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FE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27CC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A0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A6DAED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对自然生态环境造成的负面影响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DF5CDE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49F27E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95296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C7067"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58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52C8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2B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C6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5C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6589F6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对社会发展可能造成的负面影响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A94CE1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3036FF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5828C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DDF3C"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BA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1ED1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2D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04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2D7BC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07080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3AC7A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CA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40D45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EBFB33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降低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生命线安全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管理成本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65E1F2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降低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生命线安全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管理成本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199526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降低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生命线安全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管理成本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47F64A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C3AC8F"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E03B4C"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13A11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83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DA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64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1DC04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D2ACEE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打造精细化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生命线安全监测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E6E783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打造精细化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生命线安全监测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719A56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打造精细化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生命线安全监测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管理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3DADF8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1DACC4"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BAB46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2A048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E2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96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78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1DAA5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91A98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美化城市形象、改善辖区居住环境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4D35F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改善城区居住环境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A3449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辖区居民舒适感有所改善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E34B1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5CCD3"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EE2E7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4AA1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86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65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41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122C8">
            <w:pPr>
              <w:widowControl/>
              <w:spacing w:line="28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助力提升城市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生命线安全发展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D66FD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助力提升城市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生命线安全发展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872B7">
            <w:pPr>
              <w:widowControl/>
              <w:spacing w:line="28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城市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管理水平不断提高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26DD5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6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67E8E"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A7362"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33A16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CB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F4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E0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F6D40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对城市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安全管理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是否产生可持续影响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63C6F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推进信息化管理，提高城市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管理工作效率。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F8BDE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城市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管理工作效率不断提升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996AB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6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0B8C5"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6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212A1"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33D13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62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E2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0FAB3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58EB6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B4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FF395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群众满意度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F4C0C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98%以上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8C1D8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6F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E2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8E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27E2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6B1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FB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CE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90.71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8D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1B202DB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 w14:paraId="782C5BA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18"/>
          <w:szCs w:val="18"/>
          <w:highlight w:val="none"/>
          <w:lang w:eastAsia="zh-CN"/>
        </w:rPr>
      </w:pPr>
    </w:p>
    <w:p w14:paraId="1AB88F6A"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联系电话：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单位负责人签字：</w:t>
      </w:r>
    </w:p>
    <w:p w14:paraId="497DF689">
      <w:pPr>
        <w:rPr>
          <w:rFonts w:hint="default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</w:pPr>
    </w:p>
    <w:p w14:paraId="5349CF2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3-16</w:t>
      </w:r>
    </w:p>
    <w:p w14:paraId="3806A35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9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1061"/>
        <w:gridCol w:w="1053"/>
        <w:gridCol w:w="1316"/>
        <w:gridCol w:w="1101"/>
        <w:gridCol w:w="1206"/>
        <w:gridCol w:w="815"/>
        <w:gridCol w:w="862"/>
        <w:gridCol w:w="1376"/>
      </w:tblGrid>
      <w:tr w14:paraId="2325F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64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50403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9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31C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双拥示范街区建设项目</w:t>
            </w:r>
          </w:p>
        </w:tc>
      </w:tr>
      <w:tr w14:paraId="1B0C6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07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5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56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3C0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30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0A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城市管理和综合执法局</w:t>
            </w:r>
          </w:p>
        </w:tc>
      </w:tr>
      <w:tr w14:paraId="6E1D2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86F7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29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B0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4E1B6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94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2C7E5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B3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5E4A6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08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1F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34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5D237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25C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47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0A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36.26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AC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36.26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71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36.26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CB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5A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2B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2CD76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0A4E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B7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0D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36.26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BE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36.26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2C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36.26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8B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56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C8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5AE4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A2C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0B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56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0D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F2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02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40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12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9357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4E6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8C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C2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0B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C7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76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8B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F0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63DC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5A4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5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840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2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31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06320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D42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129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建设双拥示范街区，在8个点位制作双拥标识牌、彩绘、宣传广告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　</w:t>
            </w:r>
          </w:p>
        </w:tc>
        <w:tc>
          <w:tcPr>
            <w:tcW w:w="42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F7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在8个点位制作五处双拥标识牌、2处墙体彩绘、一处公交站台宣传广告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C75E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B7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0E66D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38212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0A2C6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C3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35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85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76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63627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4F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47B89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49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13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FE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4C788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F7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20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4834A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23385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33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2D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1，五处标识标牌；2.两处墙体彩绘；3，一处公交站广告。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9D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8处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91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8处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81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11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E1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CE7E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6A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F8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22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23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工程竣工验收合同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B5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合格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E7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合格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B9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65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B3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31B0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E9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22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3C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67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发生安全生产事故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17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6C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A1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50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8A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1A03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93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EC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FF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1A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年度内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D4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1年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55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1年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00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BD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73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9180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C1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10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FD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1E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不超过年度预算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3F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未超过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0A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未超过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10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3B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50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4FE4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54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01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65D0F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2E318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6B8C1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C5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50191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CA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94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8B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B4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B6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A3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3815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0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7C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06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C5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5E4D2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C9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街区居民及军人对双拥工作知晓率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48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有效提高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63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有效提高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70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2B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8D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B8DC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98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02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89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41C6A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81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街区环境整洁美化提升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A4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有所提升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82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有所提升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78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6D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E4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D64C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CE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70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03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3B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街区居民及军人对双拥工作认知度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44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持续提升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0C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持续提升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60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C8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87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577D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EC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BE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241BC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4B94D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B1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2C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军人及街区商户满意度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3C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≥95%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47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≥95%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8B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7E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55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7E91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B71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64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12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ED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6C06693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 w14:paraId="130EBCA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18"/>
          <w:szCs w:val="18"/>
          <w:highlight w:val="none"/>
          <w:lang w:eastAsia="zh-CN"/>
        </w:rPr>
      </w:pPr>
    </w:p>
    <w:p w14:paraId="03041032"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联系电话：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单位负责人签字：</w:t>
      </w:r>
    </w:p>
    <w:p w14:paraId="4FEC9B8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3-17</w:t>
      </w:r>
    </w:p>
    <w:p w14:paraId="344816A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9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1061"/>
        <w:gridCol w:w="1053"/>
        <w:gridCol w:w="1391"/>
        <w:gridCol w:w="1026"/>
        <w:gridCol w:w="1206"/>
        <w:gridCol w:w="815"/>
        <w:gridCol w:w="862"/>
        <w:gridCol w:w="1376"/>
      </w:tblGrid>
      <w:tr w14:paraId="745D2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6F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02A3E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9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27D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市城区桥梁检测服务（9座）</w:t>
            </w:r>
          </w:p>
        </w:tc>
      </w:tr>
      <w:tr w14:paraId="0177D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E1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5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76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096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30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46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城市管理和综合执法局</w:t>
            </w:r>
          </w:p>
        </w:tc>
      </w:tr>
      <w:tr w14:paraId="2C835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BA4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19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4B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1A423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55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05915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3A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6257F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D9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65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CE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529CF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B914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7C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4F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134.68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BF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134.68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E8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134.68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9D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7D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C5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12A26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F483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C4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DC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134.68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3E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134.68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DD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134.68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22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C7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4F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396B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C3C7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2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A9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2E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EF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96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C1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A2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B376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851D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F4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58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0B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C9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F9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9A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DE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D117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5473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5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77D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2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FA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24EA6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A468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4AF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根据2024年市本级政府投资计划安排，对市城区9座桥梁进行检测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　</w:t>
            </w:r>
          </w:p>
        </w:tc>
        <w:tc>
          <w:tcPr>
            <w:tcW w:w="42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CE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已按投资计划要求完成9座桥梁的检测，并出具桥梁检测报告</w:t>
            </w:r>
          </w:p>
        </w:tc>
      </w:tr>
      <w:tr w14:paraId="7C876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09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4305E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2CE10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55681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BB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C1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C6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04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7832D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B4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1B502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2D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F0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39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0540E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02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FE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60186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265F9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BB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63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常规定期检测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D2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9座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2F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9座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AA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82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77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7578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B0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80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F2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AB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混凝土强度、碳化，钢筋锈蚀及保护层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17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9座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0C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9座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A0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FB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9E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65FA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EC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CE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79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26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动静载检测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F7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9座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51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9座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7F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39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3D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40A9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55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4B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EE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1F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年度内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E5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2年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BF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2年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F3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C0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F2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6482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F4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C9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6A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B4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不超过年度预算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C6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≤134.68万元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57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134.68万元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FE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05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2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2B68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AE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BA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650AD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6AE05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57C90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AD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1B731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6C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18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66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7F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CD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8A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F812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0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FF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14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B4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056FC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0B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对社会造成负面影响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60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DD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52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3C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A4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052B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CD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CB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2A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7B1D5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3A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对生态环境造成负面影响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21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42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A5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67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D4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F854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0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54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42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D1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D6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提升城市排水管理，保障人民生命财产安全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03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可持续影响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82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可持续影响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FB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70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95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BF92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F2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8D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39FD2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64290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FA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ED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人民群众满意度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CF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≥95%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90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7"/>
                <w:lang w:val="en-US" w:eastAsia="zh-CN"/>
              </w:rPr>
              <w:t>95%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3D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A1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CB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904F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8F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C2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26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10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</w:tbl>
    <w:p w14:paraId="22C8688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 w14:paraId="12A4914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18"/>
          <w:szCs w:val="18"/>
          <w:highlight w:val="none"/>
          <w:lang w:eastAsia="zh-CN"/>
        </w:rPr>
      </w:pPr>
    </w:p>
    <w:p w14:paraId="45816856"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联系电话：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单位负责人签字：</w:t>
      </w:r>
    </w:p>
    <w:p w14:paraId="10EA18F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</w:pPr>
    </w:p>
    <w:p w14:paraId="64B8709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3-18</w:t>
      </w:r>
    </w:p>
    <w:p w14:paraId="6AE9359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9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253"/>
        <w:gridCol w:w="1027"/>
        <w:gridCol w:w="1423"/>
        <w:gridCol w:w="1380"/>
        <w:gridCol w:w="1260"/>
        <w:gridCol w:w="765"/>
        <w:gridCol w:w="825"/>
        <w:gridCol w:w="1085"/>
      </w:tblGrid>
      <w:tr w14:paraId="51B43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E7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1324D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90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CB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2025年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船舶垃圾收集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经费</w:t>
            </w:r>
          </w:p>
        </w:tc>
      </w:tr>
      <w:tr w14:paraId="35E2B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2A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</w:t>
            </w:r>
          </w:p>
          <w:p w14:paraId="78B13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部门</w:t>
            </w:r>
          </w:p>
        </w:tc>
        <w:tc>
          <w:tcPr>
            <w:tcW w:w="50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D3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52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98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城市管理和综合执法局</w:t>
            </w:r>
          </w:p>
        </w:tc>
      </w:tr>
      <w:tr w14:paraId="7EF72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4E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</w:t>
            </w:r>
          </w:p>
          <w:p w14:paraId="4B868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E7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F9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年初预算数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AF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全年预算数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38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全年执行数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C6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A8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38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1ABFB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0E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D1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D2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133.71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49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133.71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E0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7D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4A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76%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87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7.6</w:t>
            </w:r>
          </w:p>
        </w:tc>
      </w:tr>
      <w:tr w14:paraId="5480B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FD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23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89E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133.71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833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133.71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F63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E1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A4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62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430F75A">
        <w:trPr>
          <w:trHeight w:val="235" w:hRule="atLeast"/>
          <w:jc w:val="center"/>
        </w:trPr>
        <w:tc>
          <w:tcPr>
            <w:tcW w:w="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D7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30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AB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57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75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5E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9D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EC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7A33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56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FB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03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04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3B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A7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9D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D2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D985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08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50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B2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39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97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</w:t>
            </w:r>
          </w:p>
        </w:tc>
      </w:tr>
      <w:tr w14:paraId="4A311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74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0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D9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完成一座洞庭湖环卫趸船码头建设和两个中转站建设</w:t>
            </w:r>
          </w:p>
        </w:tc>
        <w:tc>
          <w:tcPr>
            <w:tcW w:w="39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7D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已经竣工，验收合格，并交付使用</w:t>
            </w:r>
          </w:p>
        </w:tc>
      </w:tr>
      <w:tr w14:paraId="6A4DB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CF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404B0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41D73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5E1F7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A4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12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14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0B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年度指标值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F8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实际完成值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E4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26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DF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1557D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DE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6A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0BDB4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2BB7C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FD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3B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趸船码头建设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FA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1个趸船码头建设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70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完成1个趸船码头建设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F0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20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F5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45AF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68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8B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6B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A4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中转站建设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72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2个中转站建设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07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完成2个中转站建设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50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AD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53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0B12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2A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1F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98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CB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符合建筑行业要求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76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符合建筑行业要求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78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符合建筑行业要求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76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9F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35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FC1A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19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04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9A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60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符合工程设计要求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2F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符合工程设计要求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4E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符合工程设计要求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37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67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34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49CD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0F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D0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98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9F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按合同约定交付使用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B4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按合同约定交付使用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39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按合同约定交付使用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79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E4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F9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6578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73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A1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4D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2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按计划实施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9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按计划实施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35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按计划完成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22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9C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4F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C10C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AE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95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ED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A7C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项目支出金额不超过预算金额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798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不超过预算</w:t>
            </w:r>
          </w:p>
          <w:p w14:paraId="46D4A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金额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41F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未超过预算</w:t>
            </w:r>
          </w:p>
          <w:p w14:paraId="30942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金额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479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480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F5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F0FE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34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4D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FB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933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对社会造成负面影响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832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738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A10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836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62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D660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47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7D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E5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4B6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对生态环境造成负面影响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E1F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AD8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无负面影响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91E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8BF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96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A328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0E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E6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05656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5334E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68EAC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E8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3E62E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22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减少水体环境治理费用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4F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减少水体环境治理费用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9E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减少水体环境治理费用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3F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01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49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9FAA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06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F9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3A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3F66F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81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垃圾资源化利用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8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垃圾资源化利用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77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有效利用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EFC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A6A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AB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5C5D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45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56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4F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FE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改善洞庭湖域居民环境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E5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改善洞庭湖域居民环境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20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82C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F8B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82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ADC6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2B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F3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B9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081A4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09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改善洞庭湖水环境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6F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改善洞庭湖水环境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4B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F6E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EC6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A3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33B8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37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AD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39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CC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提升居民幸福指数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C8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具有可持续影响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E1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具有可持续影响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E0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97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A7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C1A0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20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11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35C14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5AB9F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01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29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群众满意度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31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≥95%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4F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97%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F2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55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6A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FEE7DC9">
        <w:trPr>
          <w:jc w:val="center"/>
        </w:trPr>
        <w:tc>
          <w:tcPr>
            <w:tcW w:w="71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75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93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76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97.6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0F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</w:tbl>
    <w:p w14:paraId="0417284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 w14:paraId="7097EEC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18"/>
          <w:szCs w:val="18"/>
          <w:highlight w:val="none"/>
          <w:lang w:eastAsia="zh-CN"/>
        </w:rPr>
      </w:pPr>
    </w:p>
    <w:p w14:paraId="69517EB3"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联系电话：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单位负责人签字：</w:t>
      </w:r>
    </w:p>
    <w:p w14:paraId="7756F43E">
      <w:pP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br w:type="page"/>
      </w:r>
    </w:p>
    <w:p w14:paraId="772ADA7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3-19</w:t>
      </w:r>
    </w:p>
    <w:p w14:paraId="49E0B92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9"/>
        <w:tblW w:w="98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125"/>
        <w:gridCol w:w="1080"/>
        <w:gridCol w:w="1440"/>
        <w:gridCol w:w="1425"/>
        <w:gridCol w:w="1110"/>
        <w:gridCol w:w="690"/>
        <w:gridCol w:w="780"/>
        <w:gridCol w:w="1125"/>
      </w:tblGrid>
      <w:tr w14:paraId="5FC54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60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项目支出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名称</w:t>
            </w:r>
          </w:p>
        </w:tc>
        <w:tc>
          <w:tcPr>
            <w:tcW w:w="877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A6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青年堤等</w:t>
            </w:r>
            <w:bookmarkStart w:id="3" w:name="OLE_LINK1"/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排水主涵清淤</w:t>
            </w:r>
            <w:bookmarkEnd w:id="3"/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工程</w:t>
            </w:r>
          </w:p>
        </w:tc>
      </w:tr>
      <w:tr w14:paraId="6F4B2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E4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50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6B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岳阳市城市管理和综合执法局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0FB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25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FF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岳阳市市政维护管理中心</w:t>
            </w:r>
          </w:p>
        </w:tc>
      </w:tr>
      <w:tr w14:paraId="65EEA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9D4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项目资金（万元）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E5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4D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年初预算数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EE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全年预算数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B9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全年执行数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BA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9D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F9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</w:tr>
      <w:tr w14:paraId="37A6A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0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47F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FC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97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12.59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97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12.59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A6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12.59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A0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A4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A9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5B6E1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6AA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5F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BE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12.59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AB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12.59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7D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12.59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0A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C1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E0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EAD8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33DB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00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BB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0D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86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78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BE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42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749A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10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74B1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77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9F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A4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A6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94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8A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27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0401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403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50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D56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37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47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</w:t>
            </w:r>
          </w:p>
        </w:tc>
      </w:tr>
      <w:tr w14:paraId="2F1FB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173A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0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EAE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0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金东门、青年堤、市十中、下王组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排水主涵清淤整治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完成机器人清淤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6212m³；淤泥固化处理5901m³；余方弃置、垃圾处理3835m³；箱涵顶板恢复11.34m³，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保障排水管网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正常运行。</w:t>
            </w:r>
          </w:p>
        </w:tc>
        <w:tc>
          <w:tcPr>
            <w:tcW w:w="37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C8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排水管网得到及时清理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保证了城市排水通畅，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中心城区市政设施完好率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不断提升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。</w:t>
            </w:r>
          </w:p>
        </w:tc>
      </w:tr>
      <w:tr w14:paraId="3314E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99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绩效指标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1F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42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6F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5F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年度指标值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81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实际完成值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8D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3C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38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4C576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9F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662244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产出指标(50分)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A7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B3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机器人清淤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77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6212m³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92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6212m³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59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4C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13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C787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16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908B06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8E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E0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淤泥固化处理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CA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5901m³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D5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5901m³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54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42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4A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0FEB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DB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1CBCBF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9D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ADD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符合《城市给水排水技规范GB50788-2012》标准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77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符合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标准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D6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符合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标准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01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11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D4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FAB8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D4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233F5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28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AA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按项目实施进度及时完成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C3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2024年11月13日前完成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BF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如期完成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5B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4F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C5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4FD1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B2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61FBD9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80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4E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控制在财评审定预算金额内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48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不超预算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CA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未超预算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DA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81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D6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6196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70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C1D95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AA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5D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施工期间影响市民出行安全情况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1B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施工期间影响市民出行安全全年≤1起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7B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影响市民出行安全事项0起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67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5D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E9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5C19BC7">
        <w:trPr>
          <w:jc w:val="center"/>
        </w:trPr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CE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D1B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40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7D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施工作业噪音白天＜80分贝、晚上＜65分贝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D3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不超过预定值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A3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未超过预定值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55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55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EE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7820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7B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20744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效益指标（30分）</w:t>
            </w:r>
          </w:p>
          <w:p w14:paraId="26A3A2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A2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5A57E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6B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本项目为公益项目，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无直接经济收益。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6B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及时养护，减少次生维护成本。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B6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维护成本得到有效管控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C2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43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9B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8F91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7B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7800DA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37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38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是否有益于岳阳经济的发展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A9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助力岳阳经济发展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53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" w:eastAsia="zh-CN"/>
              </w:rPr>
              <w:t>有效助力岳阳经济发展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E6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A5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24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1C3F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0B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05A298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47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5DED4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61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确保城市雨污水及时排放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8A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改善市民居住环境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C7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有效改善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F1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57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13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C95F809">
        <w:trPr>
          <w:jc w:val="center"/>
        </w:trPr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17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FFB62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62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BF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改变城市面貌和提升城市形象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FD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提升城市形象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24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城市形象得到不断提升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F7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5C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44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84EB9A5">
        <w:trPr>
          <w:jc w:val="center"/>
        </w:trPr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67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2563A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B9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53BEB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33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改善城市景观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E1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城市景观有所改善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4A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得到有效改善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AF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AE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5A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02AB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AB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1001E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B9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BA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及时维护市政排水管网，保证排水通畅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3B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保证城市排水管道通畅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AD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有效保证城市排水通畅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46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8C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AF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BCE3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34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3ABA2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59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E9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保障市政设施处于良好的使用状态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A1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及时有效维护市政设施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0F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延长了市政设施使用寿命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C1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D8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3B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4FA8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21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90834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D8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3D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改善城市居住环境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31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有效改善城市居住环境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74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增加了市民的幸福感、获得感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E3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16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86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91F9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7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4CE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3C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60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提升城市整体形象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5D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改善城市环境，提升城市形象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D3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城市整体形象得到不断提升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BE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5D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90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D755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5F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3A1CABD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满意度指标（10分）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F0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29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市民满意度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FB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满意率达95%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以上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00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98%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EA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21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9A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9E96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648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A6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3A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46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</w:tbl>
    <w:p w14:paraId="77B54BE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 w14:paraId="34C36F9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18"/>
          <w:szCs w:val="18"/>
          <w:highlight w:val="none"/>
          <w:lang w:eastAsia="zh-CN"/>
        </w:rPr>
      </w:pPr>
    </w:p>
    <w:p w14:paraId="1F88BD54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联系电话：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单位负责人签字：</w:t>
      </w:r>
    </w:p>
    <w:p w14:paraId="6060203E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br w:type="page"/>
      </w:r>
    </w:p>
    <w:p w14:paraId="2F2DD07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3-20</w:t>
      </w:r>
    </w:p>
    <w:p w14:paraId="2E357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0DFE4EE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9"/>
        <w:tblW w:w="93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645"/>
        <w:gridCol w:w="870"/>
        <w:gridCol w:w="1620"/>
        <w:gridCol w:w="1605"/>
        <w:gridCol w:w="1125"/>
        <w:gridCol w:w="795"/>
        <w:gridCol w:w="870"/>
        <w:gridCol w:w="825"/>
      </w:tblGrid>
      <w:tr w14:paraId="3A5A8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33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项目支出名称</w:t>
            </w:r>
          </w:p>
        </w:tc>
        <w:tc>
          <w:tcPr>
            <w:tcW w:w="83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EB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巴陵石化公司（原洞氮）权属泵站维修改造工程</w:t>
            </w:r>
          </w:p>
        </w:tc>
      </w:tr>
      <w:tr w14:paraId="51F9D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CC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7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3E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岳阳市城市管理和综合执法局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D48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24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21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岳阳市市政维护管理中心</w:t>
            </w:r>
          </w:p>
        </w:tc>
      </w:tr>
      <w:tr w14:paraId="3B57F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6C1B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E2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40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年初预算数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ED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全年预算数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D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全年执行数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39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71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执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行率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E3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</w:tr>
      <w:tr w14:paraId="3ACA1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CACD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1B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3E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17.42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DA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17.42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6B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17.41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55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54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99.9%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BA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70A94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2C2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D3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D0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17.42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AB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17.42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CF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17.41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60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22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41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83FB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0C5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39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C2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1B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E1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22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FC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D0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4BAE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8FB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A5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7D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84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F3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42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BE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B9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B289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4B1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7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15F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36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DE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</w:t>
            </w:r>
          </w:p>
        </w:tc>
      </w:tr>
      <w:tr w14:paraId="7D6A1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A7A1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7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790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对吉家湖泵站和延寿村泵站的设备、附属道路、围墙、绿化进行改造，并新建双回路高压电力线路，解决七里山片区和延寿片区排涝排污民生问题。</w:t>
            </w:r>
          </w:p>
        </w:tc>
        <w:tc>
          <w:tcPr>
            <w:tcW w:w="36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D0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吉家湖泵站和延寿村泵站已正常运行，解决了七里山片区和延寿片区生活污水收集处理和泄洪排涝问题。</w:t>
            </w:r>
          </w:p>
        </w:tc>
      </w:tr>
      <w:tr w14:paraId="4CBA7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AA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38FA4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7ACE9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3C0E0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7D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D4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BD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67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年度指标值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1D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实际完成值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48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32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A9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075BA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36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45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45B01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产出指标(50分)</w:t>
            </w:r>
          </w:p>
        </w:tc>
        <w:tc>
          <w:tcPr>
            <w:tcW w:w="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3E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25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吉家湖雨水泵站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维修改造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38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保证泵站正常运转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EA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泵站正常运转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B4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23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C9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86C4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3B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4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D7AD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7D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FB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延寿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泵站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维修改造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A1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保证泵站正常运转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E3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泵站正常运转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A5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8E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C3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FF5F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35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4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571A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FE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649B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符合《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水利泵站施工及验收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规范GB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/T51033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-201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》标准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9E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符合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标准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76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符合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标准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50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A2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A4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1887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A9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4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572B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09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C39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符合《城市给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水排水技规范GB50788-2012》标准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C7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符合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标准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67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符合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标准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78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28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DD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AA16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25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4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D585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06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88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按项目实施进度及时完成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50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2024年11月30日前完成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9F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如期完成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B8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CA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B0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76B2A37">
        <w:trPr>
          <w:trHeight w:val="545" w:hRule="atLeast"/>
          <w:jc w:val="center"/>
        </w:trPr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7C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4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D9C1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6B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B6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控制在财评审定预算金额内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98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不超预算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E3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未超预算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4D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36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50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D3C9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EF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4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FD4A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43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D3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施工期间影响市民出行安全情况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8B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全年不超过1起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5A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影响市民出行安全事项0起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9A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B1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71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0653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91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4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A9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B1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08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施工作业噪音白天＜80分贝、晚上＜65分贝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E9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不超预定值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19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未超过预定值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F8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55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AC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CA70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74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45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6726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664F3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787AD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75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经济效益指标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75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本项目为公益项目，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无直接经济收益。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2B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及时养护，减少次生维护成本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65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维护成本得到有效管控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75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5B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D7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2A46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BA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4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DC86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89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D0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是否有益于岳阳经济的发展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14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助力岳阳经济发展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18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" w:eastAsia="zh-CN"/>
              </w:rPr>
              <w:t>有效助力岳阳经济发展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F8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9B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71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269D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86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4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A734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35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社会效益指标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FD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确保城市低洼地带雨水及时排放，污水及时输送至污水处理厂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0C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改善市民居住环境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8B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有效改善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0A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94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6E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2118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1B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4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3959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A7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28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改变城市面貌和提升城市形象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02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提升城市形象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BB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城市形象得到不断提升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5B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FC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32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EF43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48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4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9946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CA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生态效益指标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5A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改善城市景观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41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城市景观有所改善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B1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得到有效改善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EC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11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DD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7AE3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4E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4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FEFB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A1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30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及时排放城市雨水，污水及时输送到污水处理厂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DF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污水得到有效处理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47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污水得到有效处理，保护水源清洁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0E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78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ED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A08F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45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4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9E5B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D0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71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保障市政设施处于良好的使用状态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42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及时有效维护市政设施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B9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市政设施的及时维护，延长了使用寿命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92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3D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B8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E1BD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AF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4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C498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E0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EA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改善城市居住环境</w:t>
            </w: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FC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有效改善城市居住环境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3A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增加了市民的幸福感、获得感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93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D4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E4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B1522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AD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4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01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A2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D2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提升城市整体形象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1F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改善城市环境，提升城市形象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2C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城市整体形象得到不断提升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4F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A4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61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BD97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E3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991C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满意度指标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51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B5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市民满意度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5F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满意率达95%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以上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BE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97%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5F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67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36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1B9A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7E4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9D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F1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EC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</w:tbl>
    <w:p w14:paraId="6078DDB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 w14:paraId="129D464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18"/>
          <w:szCs w:val="18"/>
          <w:highlight w:val="none"/>
          <w:lang w:eastAsia="zh-CN"/>
        </w:rPr>
      </w:pPr>
    </w:p>
    <w:p w14:paraId="5687F9B7"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联系电话：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单位负责人签字：</w:t>
      </w:r>
    </w:p>
    <w:p w14:paraId="18078974">
      <w:r>
        <w:br w:type="page"/>
      </w:r>
    </w:p>
    <w:p w14:paraId="433FE65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3-21</w:t>
      </w:r>
    </w:p>
    <w:p w14:paraId="3020E21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9"/>
        <w:tblW w:w="98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26"/>
        <w:gridCol w:w="1545"/>
        <w:gridCol w:w="1365"/>
        <w:gridCol w:w="1245"/>
        <w:gridCol w:w="705"/>
        <w:gridCol w:w="870"/>
        <w:gridCol w:w="935"/>
      </w:tblGrid>
      <w:tr w14:paraId="0FD58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0C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2B460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C8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巴陵大桥西蘑菇亭公共绿地综合改造项目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54D9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78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50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FA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岳阳市城市管理和综合执法局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D47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25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7A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岳阳市绿茵园林有限公司</w:t>
            </w:r>
          </w:p>
        </w:tc>
      </w:tr>
      <w:tr w14:paraId="33853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F2A3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1D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28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年初预算数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36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全年预算数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E9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全年执行数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42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DC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0E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03D3E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834F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3D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21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314.46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4D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314.46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59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110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33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E0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34.98%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27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3.5</w:t>
            </w:r>
          </w:p>
        </w:tc>
      </w:tr>
      <w:tr w14:paraId="28A2B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09A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58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38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60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A3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1E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0A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5B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88AB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D91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ED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D3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314.46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70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314.46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1E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110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08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85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CA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CCE5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4332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CC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87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23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27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F7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AE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EE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964B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53C3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50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BB6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37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13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6EF9C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3DE8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0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53F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北侧游园入口改造、中心水池改造、新建北侧挡土墙、东侧一、二、三平台台阶铺砌、人行道透水混凝土铺装、南游园健身器材更换、园内新植乔灌木和地被调整、南湖大道分车带绿化栏杆等。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　</w:t>
            </w:r>
          </w:p>
        </w:tc>
        <w:tc>
          <w:tcPr>
            <w:tcW w:w="37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99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严格按行业规范施工，优质完成了全部施工任务，现场景观效果符合设计要求；工程质量达到《建筑工程施工质量验收统一标准》（CB50300-2013）《园林绿化施工及验收规范》（CJJ82-2012）要求。</w:t>
            </w:r>
          </w:p>
        </w:tc>
      </w:tr>
      <w:tr w14:paraId="1FE64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DD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78B94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7D705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0696A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C4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F8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50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F4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1CE62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79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7ED65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BE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46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E4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162B6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3A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493C2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1E42C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10FE3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26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EC64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3F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北侧游园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79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5210平方米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3D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5210平方米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04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C4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D9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738E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EF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01E4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58B6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02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南侧游园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C3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2330平方米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E7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2330平方米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6D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4A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47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313B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33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3C2C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C3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90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现场公共绿地综合改造区域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93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符合相关要求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C2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符合相关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要求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96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DE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B3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09C3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62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D03A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3C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C9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在规定的时间节点完成项目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A6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2020年4月开工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08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2020年8月全部完工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C8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CF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CA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6B93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C5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4ECC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D1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A1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支出不超过预算金额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5E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支出不超过预算金额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82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110万元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F0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08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9E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F9E3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E4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28F2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2D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34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对社会发展可能造成的负面影响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85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无负面影响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EC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无负面影响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54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54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79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0453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76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18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65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86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对自然生态环境造成负面影响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45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无负面影响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B1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无负面影响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47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BD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39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4E0F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40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47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3B8CF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24BCC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446EA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F7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3B890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AE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无直接经济效益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8B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30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68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7A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54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0569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20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EB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0E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30915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C73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无直接社会效益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67B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ED4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CD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74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9C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6FA1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04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5B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B8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5E544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63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美化城市居民生活环境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24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提升城市居民生活环境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D09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有效提升城市居民生活环境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1D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29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95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7A3D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EA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65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54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4B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具有可持续影响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72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具有可持续影响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73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具有可持续影响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DD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F6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D0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72E21C1">
        <w:trPr>
          <w:trHeight w:val="9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6B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67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16DF6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2BBD6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E1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8D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受益对象满意度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B8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95%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70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96%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50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78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62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3764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B27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1D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4F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93.5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57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057FA167"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联系电话：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单位负责人签字：</w:t>
      </w:r>
    </w:p>
    <w:sectPr>
      <w:footerReference r:id="rId3" w:type="default"/>
      <w:footerReference r:id="rId4" w:type="even"/>
      <w:pgSz w:w="11906" w:h="16838"/>
      <w:pgMar w:top="1587" w:right="1588" w:bottom="1587" w:left="1588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092E0">
    <w:pPr>
      <w:pStyle w:val="7"/>
      <w:framePr w:wrap="around" w:vAnchor="text" w:hAnchor="margin" w:xAlign="outside" w:y="1"/>
      <w:rPr>
        <w:rStyle w:val="11"/>
        <w:sz w:val="24"/>
        <w:szCs w:val="24"/>
      </w:rPr>
    </w:pPr>
    <w:r>
      <w:rPr>
        <w:rStyle w:val="11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11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11"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rStyle w:val="11"/>
        <w:rFonts w:hint="eastAsia"/>
        <w:sz w:val="24"/>
        <w:szCs w:val="24"/>
      </w:rPr>
      <w:t xml:space="preserve"> —</w:t>
    </w:r>
  </w:p>
  <w:p w14:paraId="536C05A2"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B173A5">
    <w:pPr>
      <w:pStyle w:val="7"/>
      <w:framePr w:wrap="around" w:vAnchor="text" w:hAnchor="margin" w:xAlign="outside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5DFB5C73">
    <w:pPr>
      <w:pStyle w:val="7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C3E4C1"/>
    <w:multiLevelType w:val="singleLevel"/>
    <w:tmpl w:val="90C3E4C1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A7E8950E"/>
    <w:multiLevelType w:val="singleLevel"/>
    <w:tmpl w:val="A7E8950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BEFF2178"/>
    <w:multiLevelType w:val="singleLevel"/>
    <w:tmpl w:val="BEFF2178"/>
    <w:lvl w:ilvl="0" w:tentative="0">
      <w:start w:val="2"/>
      <w:numFmt w:val="chineseCounting"/>
      <w:suff w:val="nothing"/>
      <w:lvlText w:val="(%1）"/>
      <w:lvlJc w:val="left"/>
      <w:rPr>
        <w:rFonts w:hint="eastAsia"/>
      </w:rPr>
    </w:lvl>
  </w:abstractNum>
  <w:abstractNum w:abstractNumId="3">
    <w:nsid w:val="CD461859"/>
    <w:multiLevelType w:val="singleLevel"/>
    <w:tmpl w:val="CD46185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D9494BC8"/>
    <w:multiLevelType w:val="singleLevel"/>
    <w:tmpl w:val="D9494BC8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7842CBD3"/>
    <w:multiLevelType w:val="singleLevel"/>
    <w:tmpl w:val="7842CBD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D53116"/>
    <w:rsid w:val="006E05BE"/>
    <w:rsid w:val="01FA65AD"/>
    <w:rsid w:val="0273010D"/>
    <w:rsid w:val="0350044F"/>
    <w:rsid w:val="035B19F4"/>
    <w:rsid w:val="03C960D7"/>
    <w:rsid w:val="03FF60FC"/>
    <w:rsid w:val="04B5126F"/>
    <w:rsid w:val="05AB5E10"/>
    <w:rsid w:val="05B2719F"/>
    <w:rsid w:val="066163F9"/>
    <w:rsid w:val="07971D2A"/>
    <w:rsid w:val="08991AD4"/>
    <w:rsid w:val="0AEA4BAD"/>
    <w:rsid w:val="0B4F695F"/>
    <w:rsid w:val="0C1C1816"/>
    <w:rsid w:val="0E9E4764"/>
    <w:rsid w:val="0F4446C6"/>
    <w:rsid w:val="11F8418B"/>
    <w:rsid w:val="132C233E"/>
    <w:rsid w:val="133438E9"/>
    <w:rsid w:val="14F8278E"/>
    <w:rsid w:val="154A73F4"/>
    <w:rsid w:val="15E92E08"/>
    <w:rsid w:val="180E78A8"/>
    <w:rsid w:val="188D1AD1"/>
    <w:rsid w:val="19043765"/>
    <w:rsid w:val="1A626914"/>
    <w:rsid w:val="1AF57E02"/>
    <w:rsid w:val="1BBB0703"/>
    <w:rsid w:val="1C4366E7"/>
    <w:rsid w:val="1CE35E40"/>
    <w:rsid w:val="1CFC3677"/>
    <w:rsid w:val="1DC064A5"/>
    <w:rsid w:val="1E27575F"/>
    <w:rsid w:val="1ED63AA6"/>
    <w:rsid w:val="1EE44415"/>
    <w:rsid w:val="1FB060A5"/>
    <w:rsid w:val="207F1E07"/>
    <w:rsid w:val="23072480"/>
    <w:rsid w:val="23BF0FAD"/>
    <w:rsid w:val="24F353B2"/>
    <w:rsid w:val="251E60B7"/>
    <w:rsid w:val="2527505B"/>
    <w:rsid w:val="255D4ACB"/>
    <w:rsid w:val="2579610E"/>
    <w:rsid w:val="26586904"/>
    <w:rsid w:val="28610884"/>
    <w:rsid w:val="289160F1"/>
    <w:rsid w:val="28CA01D8"/>
    <w:rsid w:val="2A4144C9"/>
    <w:rsid w:val="2AA52955"/>
    <w:rsid w:val="2AB949A8"/>
    <w:rsid w:val="2B51698E"/>
    <w:rsid w:val="2CB61724"/>
    <w:rsid w:val="2D6F134E"/>
    <w:rsid w:val="315F16D9"/>
    <w:rsid w:val="31AD298A"/>
    <w:rsid w:val="3271320C"/>
    <w:rsid w:val="32CC0FF0"/>
    <w:rsid w:val="33080494"/>
    <w:rsid w:val="33136C1F"/>
    <w:rsid w:val="33680D19"/>
    <w:rsid w:val="34F82570"/>
    <w:rsid w:val="35523A2F"/>
    <w:rsid w:val="35D10DE4"/>
    <w:rsid w:val="378454BB"/>
    <w:rsid w:val="383E64EC"/>
    <w:rsid w:val="3848736B"/>
    <w:rsid w:val="38A1220E"/>
    <w:rsid w:val="39167469"/>
    <w:rsid w:val="392C6D82"/>
    <w:rsid w:val="3DDA0A65"/>
    <w:rsid w:val="41322966"/>
    <w:rsid w:val="41325F50"/>
    <w:rsid w:val="43394480"/>
    <w:rsid w:val="43994F1E"/>
    <w:rsid w:val="43A0005B"/>
    <w:rsid w:val="44FE772F"/>
    <w:rsid w:val="45F96148"/>
    <w:rsid w:val="46535859"/>
    <w:rsid w:val="476D19DC"/>
    <w:rsid w:val="48174664"/>
    <w:rsid w:val="48847F4B"/>
    <w:rsid w:val="493078C5"/>
    <w:rsid w:val="49A05D40"/>
    <w:rsid w:val="4A2C089A"/>
    <w:rsid w:val="4AC97E97"/>
    <w:rsid w:val="4AF40C8C"/>
    <w:rsid w:val="4BDE4FE9"/>
    <w:rsid w:val="4C7724CE"/>
    <w:rsid w:val="4C8F6EBF"/>
    <w:rsid w:val="4CE511D4"/>
    <w:rsid w:val="4D4B557E"/>
    <w:rsid w:val="4F027D72"/>
    <w:rsid w:val="4F5D5052"/>
    <w:rsid w:val="516528E4"/>
    <w:rsid w:val="536B1A18"/>
    <w:rsid w:val="564E08D4"/>
    <w:rsid w:val="56D163C8"/>
    <w:rsid w:val="5A3317D1"/>
    <w:rsid w:val="5A427419"/>
    <w:rsid w:val="5A690D4F"/>
    <w:rsid w:val="5BE663CF"/>
    <w:rsid w:val="5CCB1593"/>
    <w:rsid w:val="5CE15514"/>
    <w:rsid w:val="5FCD7FD2"/>
    <w:rsid w:val="607105DC"/>
    <w:rsid w:val="60DA0BF8"/>
    <w:rsid w:val="611D1C60"/>
    <w:rsid w:val="61DF4125"/>
    <w:rsid w:val="62515B87"/>
    <w:rsid w:val="62D53116"/>
    <w:rsid w:val="63304B00"/>
    <w:rsid w:val="6346457F"/>
    <w:rsid w:val="63A850AF"/>
    <w:rsid w:val="63D3125A"/>
    <w:rsid w:val="646A2293"/>
    <w:rsid w:val="65907AD8"/>
    <w:rsid w:val="65D969F1"/>
    <w:rsid w:val="677B7778"/>
    <w:rsid w:val="67E52EE1"/>
    <w:rsid w:val="68684D3C"/>
    <w:rsid w:val="68B166E3"/>
    <w:rsid w:val="68C748AC"/>
    <w:rsid w:val="68D91796"/>
    <w:rsid w:val="691D5B26"/>
    <w:rsid w:val="693764BC"/>
    <w:rsid w:val="6951448C"/>
    <w:rsid w:val="69B8584F"/>
    <w:rsid w:val="6A7318D2"/>
    <w:rsid w:val="6D262AD0"/>
    <w:rsid w:val="6D3C22F3"/>
    <w:rsid w:val="6D8C5028"/>
    <w:rsid w:val="6DC72505"/>
    <w:rsid w:val="6F491A22"/>
    <w:rsid w:val="701337DF"/>
    <w:rsid w:val="70D11B64"/>
    <w:rsid w:val="713954C7"/>
    <w:rsid w:val="71495199"/>
    <w:rsid w:val="722C2936"/>
    <w:rsid w:val="726C367A"/>
    <w:rsid w:val="72BF41FF"/>
    <w:rsid w:val="72E32DBD"/>
    <w:rsid w:val="73770529"/>
    <w:rsid w:val="737A5923"/>
    <w:rsid w:val="75EA6D90"/>
    <w:rsid w:val="77021803"/>
    <w:rsid w:val="77127A91"/>
    <w:rsid w:val="777234E1"/>
    <w:rsid w:val="77B8724A"/>
    <w:rsid w:val="788C05D2"/>
    <w:rsid w:val="7CCD74EF"/>
    <w:rsid w:val="7E7F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basedOn w:val="1"/>
    <w:next w:val="1"/>
    <w:qFormat/>
    <w:uiPriority w:val="9"/>
    <w:pPr>
      <w:keepLines/>
      <w:widowControl/>
      <w:spacing w:before="100" w:beforeLines="0" w:after="100" w:afterLines="0" w:line="408" w:lineRule="auto"/>
      <w:jc w:val="center"/>
      <w:outlineLvl w:val="1"/>
    </w:pPr>
    <w:rPr>
      <w:rFonts w:ascii="仿宋_GB2312" w:eastAsia="仿宋_GB2312"/>
      <w:b/>
      <w:color w:val="000000"/>
      <w:sz w:val="32"/>
      <w:szCs w:val="20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6">
    <w:name w:val="toc 5"/>
    <w:basedOn w:val="1"/>
    <w:next w:val="1"/>
    <w:qFormat/>
    <w:uiPriority w:val="0"/>
    <w:pPr>
      <w:ind w:left="1680" w:leftChars="800"/>
    </w:p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page number"/>
    <w:qFormat/>
    <w:uiPriority w:val="0"/>
  </w:style>
  <w:style w:type="paragraph" w:styleId="12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3">
    <w:name w:val="Table Text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54</Pages>
  <Words>8262</Words>
  <Characters>9096</Characters>
  <Lines>0</Lines>
  <Paragraphs>0</Paragraphs>
  <TotalTime>29</TotalTime>
  <ScaleCrop>false</ScaleCrop>
  <LinksUpToDate>false</LinksUpToDate>
  <CharactersWithSpaces>9187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2026-06-17T02:11:00Z</dcterms:created>
  <dc:creator>王木木</dc:creator>
  <cp:lastModifiedBy>王木木</cp:lastModifiedBy>
  <cp:lastPrinted>2026-06-23T07:12:20Z</cp:lastPrinted>
  <dcterms:modified xsi:type="dcterms:W3CDTF">2026-06-23T07:14:33Z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8B9E0FE01A8E44C4BFDEEFB28E1BF367_11</vt:lpwstr>
  </property>
  <property fmtid="{D5CDD505-2E9C-101B-9397-08002B2CF9AE}" pid="4" name="KSOTemplateDocerSaveRecord">
    <vt:lpwstr>eyJoZGlkIjoiZTIwYjE2NzhkNDM2Y2Y5NzI2YzFkODFmZGY5MzM4MWUiLCJ1c2VySWQiOiIyMDc1NzM5OTgifQ==</vt:lpwstr>
  </property>
</Properties>
</file>