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030B9">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bookmarkStart w:id="0" w:name="_GoBack"/>
      <w:bookmarkEnd w:id="0"/>
    </w:p>
    <w:p w14:paraId="0B6103A3">
      <w:pPr>
        <w:pStyle w:val="2"/>
        <w:ind w:left="0" w:leftChars="0" w:firstLine="0" w:firstLineChars="0"/>
        <w:rPr>
          <w:rFonts w:hint="default"/>
          <w:color w:val="000000" w:themeColor="text1"/>
          <w14:textFill>
            <w14:solidFill>
              <w14:schemeClr w14:val="tx1"/>
            </w14:solidFill>
          </w14:textFill>
        </w:rPr>
      </w:pPr>
    </w:p>
    <w:p w14:paraId="2790F8FB">
      <w:pPr>
        <w:pStyle w:val="2"/>
        <w:ind w:left="0" w:leftChars="0" w:firstLine="0" w:firstLineChars="0"/>
        <w:rPr>
          <w:rFonts w:hint="default"/>
          <w:color w:val="000000" w:themeColor="text1"/>
          <w14:textFill>
            <w14:solidFill>
              <w14:schemeClr w14:val="tx1"/>
            </w14:solidFill>
          </w14:textFill>
        </w:rPr>
      </w:pPr>
    </w:p>
    <w:p w14:paraId="2880F1DD">
      <w:pPr>
        <w:pStyle w:val="2"/>
        <w:ind w:left="0" w:leftChars="0" w:firstLine="0" w:firstLineChars="0"/>
        <w:rPr>
          <w:rFonts w:hint="default"/>
          <w:color w:val="000000" w:themeColor="text1"/>
          <w14:textFill>
            <w14:solidFill>
              <w14:schemeClr w14:val="tx1"/>
            </w14:solidFill>
          </w14:textFill>
        </w:rPr>
      </w:pPr>
    </w:p>
    <w:p w14:paraId="53F29034">
      <w:pPr>
        <w:keepNext w:val="0"/>
        <w:keepLines w:val="0"/>
        <w:pageBreakBefore w:val="0"/>
        <w:widowControl w:val="0"/>
        <w:kinsoku/>
        <w:wordWrap/>
        <w:overflowPunct/>
        <w:topLinePunct w:val="0"/>
        <w:autoSpaceDE/>
        <w:autoSpaceDN/>
        <w:bidi w:val="0"/>
        <w:adjustRightInd/>
        <w:snapToGrid/>
        <w:spacing w:line="900" w:lineRule="exact"/>
        <w:ind w:left="-280" w:leftChars="-100" w:right="-92" w:rightChars="-33" w:firstLine="0" w:firstLineChars="0"/>
        <w:jc w:val="center"/>
        <w:textAlignment w:val="auto"/>
        <w:rPr>
          <w:rFonts w:hint="default" w:ascii="Times New Roman" w:hAnsi="Times New Roman" w:eastAsia="方正小标宋简体" w:cs="Times New Roman"/>
          <w:b/>
          <w:bCs/>
          <w:color w:val="000000" w:themeColor="text1"/>
          <w:sz w:val="44"/>
          <w:szCs w:val="44"/>
          <w:highlight w:val="none"/>
          <w14:textFill>
            <w14:solidFill>
              <w14:schemeClr w14:val="tx1"/>
            </w14:solidFill>
          </w14:textFill>
        </w:rPr>
      </w:pPr>
      <w:r>
        <w:rPr>
          <w:rFonts w:hint="default" w:ascii="Times New Roman" w:hAnsi="Times New Roman" w:eastAsia="方正小标宋简体" w:cs="Times New Roman"/>
          <w:b/>
          <w:bCs/>
          <w:color w:val="000000" w:themeColor="text1"/>
          <w:sz w:val="44"/>
          <w:szCs w:val="44"/>
          <w:highlight w:val="none"/>
          <w14:textFill>
            <w14:solidFill>
              <w14:schemeClr w14:val="tx1"/>
            </w14:solidFill>
          </w14:textFill>
        </w:rPr>
        <w:t>202</w:t>
      </w:r>
      <w:r>
        <w:rPr>
          <w:rFonts w:hint="eastAsia" w:ascii="Times New Roman" w:hAnsi="Times New Roman" w:eastAsia="方正小标宋简体" w:cs="Times New Roman"/>
          <w:b/>
          <w:bCs/>
          <w:color w:val="000000" w:themeColor="text1"/>
          <w:sz w:val="44"/>
          <w:szCs w:val="44"/>
          <w:highlight w:val="none"/>
          <w:lang w:val="en-US" w:eastAsia="zh-CN"/>
          <w14:textFill>
            <w14:solidFill>
              <w14:schemeClr w14:val="tx1"/>
            </w14:solidFill>
          </w14:textFill>
        </w:rPr>
        <w:t>5</w:t>
      </w:r>
      <w:r>
        <w:rPr>
          <w:rFonts w:hint="default" w:ascii="Times New Roman" w:hAnsi="Times New Roman" w:eastAsia="方正小标宋简体" w:cs="Times New Roman"/>
          <w:b/>
          <w:bCs/>
          <w:color w:val="000000" w:themeColor="text1"/>
          <w:sz w:val="44"/>
          <w:szCs w:val="44"/>
          <w:highlight w:val="none"/>
          <w14:textFill>
            <w14:solidFill>
              <w14:schemeClr w14:val="tx1"/>
            </w14:solidFill>
          </w14:textFill>
        </w:rPr>
        <w:t>年度岳阳市住房保障服务中心整体支出绩效自评报告</w:t>
      </w:r>
    </w:p>
    <w:p w14:paraId="3F6983A3">
      <w:pPr>
        <w:jc w:val="center"/>
        <w:rPr>
          <w:rFonts w:hint="default" w:ascii="Times New Roman" w:hAnsi="Times New Roman" w:eastAsia="楷体_GB2312" w:cs="Times New Roman"/>
          <w:b/>
          <w:color w:val="000000" w:themeColor="text1"/>
          <w:sz w:val="32"/>
          <w:szCs w:val="32"/>
          <w:highlight w:val="none"/>
          <w14:textFill>
            <w14:solidFill>
              <w14:schemeClr w14:val="tx1"/>
            </w14:solidFill>
          </w14:textFill>
        </w:rPr>
      </w:pPr>
    </w:p>
    <w:p w14:paraId="3A61F87C">
      <w:pPr>
        <w:jc w:val="both"/>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4694F7BD">
      <w:pPr>
        <w:pStyle w:val="2"/>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4B8639B7">
      <w:pPr>
        <w:pStyle w:val="2"/>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0F892107">
      <w:pPr>
        <w:pStyle w:val="2"/>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7CC631D2">
      <w:pPr>
        <w:jc w:val="center"/>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769DB297">
      <w:pPr>
        <w:jc w:val="both"/>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0CCD7443">
      <w:pPr>
        <w:jc w:val="center"/>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55785A1B">
      <w:pPr>
        <w:pStyle w:val="2"/>
        <w:rPr>
          <w:rFonts w:hint="default"/>
          <w:color w:val="000000" w:themeColor="text1"/>
          <w14:textFill>
            <w14:solidFill>
              <w14:schemeClr w14:val="tx1"/>
            </w14:solidFill>
          </w14:textFill>
        </w:rPr>
      </w:pPr>
    </w:p>
    <w:p w14:paraId="78D53828">
      <w:pPr>
        <w:keepNext w:val="0"/>
        <w:keepLines w:val="0"/>
        <w:pageBreakBefore w:val="0"/>
        <w:widowControl w:val="0"/>
        <w:kinsoku/>
        <w:wordWrap/>
        <w:overflowPunct/>
        <w:topLinePunct w:val="0"/>
        <w:autoSpaceDE/>
        <w:autoSpaceDN/>
        <w:bidi w:val="0"/>
        <w:adjustRightInd/>
        <w:snapToGrid/>
        <w:spacing w:line="900" w:lineRule="exact"/>
        <w:ind w:left="-280" w:leftChars="-100" w:right="-92" w:rightChars="-33" w:firstLine="0" w:firstLineChars="0"/>
        <w:jc w:val="center"/>
        <w:textAlignment w:val="auto"/>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pPr>
    </w:p>
    <w:p w14:paraId="262F1AD0">
      <w:pPr>
        <w:keepNext w:val="0"/>
        <w:keepLines w:val="0"/>
        <w:pageBreakBefore w:val="0"/>
        <w:widowControl w:val="0"/>
        <w:kinsoku/>
        <w:wordWrap/>
        <w:overflowPunct/>
        <w:topLinePunct w:val="0"/>
        <w:autoSpaceDE/>
        <w:autoSpaceDN/>
        <w:bidi w:val="0"/>
        <w:adjustRightInd/>
        <w:snapToGrid/>
        <w:spacing w:line="900" w:lineRule="exact"/>
        <w:ind w:left="-280" w:leftChars="-100" w:right="-92" w:rightChars="-33" w:firstLine="0" w:firstLineChars="0"/>
        <w:jc w:val="center"/>
        <w:textAlignment w:val="auto"/>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pPr>
      <w:r>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t>单位名称：</w:t>
      </w:r>
      <w:r>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t>岳阳市住房保障服务中心</w:t>
      </w:r>
    </w:p>
    <w:p w14:paraId="25579C1E">
      <w:pPr>
        <w:keepNext w:val="0"/>
        <w:keepLines w:val="0"/>
        <w:pageBreakBefore w:val="0"/>
        <w:widowControl w:val="0"/>
        <w:kinsoku/>
        <w:wordWrap/>
        <w:overflowPunct/>
        <w:topLinePunct w:val="0"/>
        <w:autoSpaceDE/>
        <w:autoSpaceDN/>
        <w:bidi w:val="0"/>
        <w:adjustRightInd/>
        <w:snapToGrid/>
        <w:spacing w:line="900" w:lineRule="exact"/>
        <w:ind w:left="-280" w:leftChars="-100" w:right="-92" w:rightChars="-33" w:firstLine="0" w:firstLineChars="0"/>
        <w:jc w:val="center"/>
        <w:textAlignment w:val="auto"/>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pPr>
      <w:r>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t>2026</w:t>
      </w:r>
      <w:r>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t>年</w:t>
      </w:r>
      <w:r>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t xml:space="preserve"> 4</w:t>
      </w:r>
      <w:r>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t>月</w:t>
      </w:r>
      <w:r>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t>2</w:t>
      </w:r>
      <w:r>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t>日</w:t>
      </w:r>
    </w:p>
    <w:p w14:paraId="7FCC56AF">
      <w:pPr>
        <w:spacing w:line="360" w:lineRule="auto"/>
        <w:ind w:left="-280" w:leftChars="-100" w:right="-92" w:rightChars="-33" w:firstLine="0" w:firstLineChars="0"/>
        <w:jc w:val="cente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sectPr>
          <w:pgSz w:w="11906" w:h="16838"/>
          <w:pgMar w:top="1440" w:right="1800" w:bottom="1383"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0889B7E">
      <w:pPr>
        <w:ind w:left="-280" w:leftChars="-100" w:right="-92" w:rightChars="-33" w:firstLine="0" w:firstLineChars="0"/>
        <w:jc w:val="cente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pP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202</w:t>
      </w:r>
      <w:r>
        <w:rPr>
          <w:rFonts w:hint="eastAsia"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5</w:t>
      </w: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年度</w:t>
      </w:r>
      <w:r>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岳阳市住房保障服务中心</w:t>
      </w: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整体支出</w:t>
      </w:r>
    </w:p>
    <w:p w14:paraId="023347E3">
      <w:pPr>
        <w:jc w:val="center"/>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绩效自评报告</w:t>
      </w:r>
    </w:p>
    <w:p w14:paraId="4C2A05F7">
      <w:pPr>
        <w:keepNext w:val="0"/>
        <w:keepLines w:val="0"/>
        <w:pageBreakBefore w:val="0"/>
        <w:numPr>
          <w:ilvl w:val="0"/>
          <w:numId w:val="1"/>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基本情况</w:t>
      </w:r>
    </w:p>
    <w:p w14:paraId="11C5F96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kern w:val="0"/>
          <w:sz w:val="32"/>
          <w:szCs w:val="32"/>
          <w:u w:val="none"/>
          <w:lang w:val="en-US" w:eastAsia="zh-CN"/>
          <w14:textFill>
            <w14:solidFill>
              <w14:schemeClr w14:val="tx1"/>
            </w14:solidFill>
          </w14:textFill>
        </w:rPr>
      </w:pPr>
      <w:r>
        <w:rPr>
          <w:rFonts w:hint="eastAsia" w:ascii="仿宋" w:hAnsi="仿宋" w:eastAsia="仿宋" w:cs="仿宋"/>
          <w:color w:val="000000" w:themeColor="text1"/>
          <w:kern w:val="0"/>
          <w:sz w:val="32"/>
          <w:szCs w:val="32"/>
          <w:u w:val="none"/>
          <w14:textFill>
            <w14:solidFill>
              <w14:schemeClr w14:val="tx1"/>
            </w14:solidFill>
          </w14:textFill>
        </w:rPr>
        <w:t>（一）</w:t>
      </w:r>
      <w:r>
        <w:rPr>
          <w:rFonts w:hint="eastAsia" w:ascii="仿宋" w:hAnsi="仿宋" w:eastAsia="仿宋" w:cs="仿宋"/>
          <w:color w:val="000000" w:themeColor="text1"/>
          <w:kern w:val="0"/>
          <w:sz w:val="32"/>
          <w:szCs w:val="32"/>
          <w:u w:val="none"/>
          <w:lang w:val="en-US" w:eastAsia="zh-CN"/>
          <w14:textFill>
            <w14:solidFill>
              <w14:schemeClr w14:val="tx1"/>
            </w14:solidFill>
          </w14:textFill>
        </w:rPr>
        <w:t>部门职能概述</w:t>
      </w:r>
    </w:p>
    <w:p w14:paraId="382E957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kern w:val="0"/>
          <w:sz w:val="32"/>
          <w:szCs w:val="32"/>
          <w:u w:val="none"/>
          <w:lang w:val="en-US" w:eastAsia="zh-CN"/>
          <w14:textFill>
            <w14:solidFill>
              <w14:schemeClr w14:val="tx1"/>
            </w14:solidFill>
          </w14:textFill>
        </w:rPr>
      </w:pPr>
      <w:r>
        <w:rPr>
          <w:rFonts w:hint="eastAsia" w:ascii="仿宋" w:hAnsi="仿宋" w:eastAsia="仿宋" w:cs="仿宋"/>
          <w:color w:val="000000" w:themeColor="text1"/>
          <w:kern w:val="0"/>
          <w:sz w:val="32"/>
          <w:szCs w:val="32"/>
          <w:u w:val="none"/>
          <w:lang w:val="en-US" w:eastAsia="zh-CN"/>
          <w14:textFill>
            <w14:solidFill>
              <w14:schemeClr w14:val="tx1"/>
            </w14:solidFill>
          </w14:textFill>
        </w:rPr>
        <w:t>岳阳市住房保障服务中心为市住房和城乡建设局所属副处级公益一类事业单位。主要职能职责有：</w:t>
      </w:r>
    </w:p>
    <w:p w14:paraId="23AEBF6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kern w:val="0"/>
          <w:sz w:val="32"/>
          <w:szCs w:val="32"/>
          <w:u w:val="none"/>
          <w:lang w:val="en-US" w:eastAsia="zh-CN"/>
          <w14:textFill>
            <w14:solidFill>
              <w14:schemeClr w14:val="tx1"/>
            </w14:solidFill>
          </w14:textFill>
        </w:rPr>
      </w:pPr>
      <w:r>
        <w:rPr>
          <w:rFonts w:hint="eastAsia" w:ascii="仿宋" w:hAnsi="仿宋" w:eastAsia="仿宋" w:cs="仿宋"/>
          <w:color w:val="000000" w:themeColor="text1"/>
          <w:kern w:val="0"/>
          <w:sz w:val="32"/>
          <w:szCs w:val="32"/>
          <w:u w:val="none"/>
          <w:lang w:val="en-US" w:eastAsia="zh-CN"/>
          <w14:textFill>
            <w14:solidFill>
              <w14:schemeClr w14:val="tx1"/>
            </w14:solidFill>
          </w14:textFill>
        </w:rPr>
        <w:t>一、为机关提供支持保障职能</w:t>
      </w:r>
    </w:p>
    <w:p w14:paraId="4F6B128F">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参与拟定住房保障的地方性法规、规章、政策以及住房保障、物业管理、白蚁防治、房屋租赁、提质改造、城市人居环境更新、专项维修资金管理的发展规划、年度计划的事务性工作。</w:t>
      </w:r>
    </w:p>
    <w:p w14:paraId="7818B089">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负责全市住房保障、物业管理、白蚁防治、房屋租赁、提质改造等行业管理、业务指导、监督考核的行政辅助工作。</w:t>
      </w:r>
    </w:p>
    <w:p w14:paraId="2F627C69">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负责市本级保障性住房建设项目计划、资金计划、资金筹集以及项目建设管理的事务性工作。</w:t>
      </w:r>
    </w:p>
    <w:p w14:paraId="6F03D420">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负责市中心城区（包括岳阳楼区、岳阳经济技术开发区、南湖新区、城陵矶新港区，下同）经济适用房上市交易、不完全产权存量公有住房出售和政策性购房补贴、租赁补贴发放的行政辅助工作。</w:t>
      </w:r>
    </w:p>
    <w:p w14:paraId="4143DF86">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负责房屋租赁登记备案、房屋租赁合同网签、房屋指导价格发布、房屋租赁价格监测的行政辅助工作。</w:t>
      </w:r>
    </w:p>
    <w:p w14:paraId="0E03DED5">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负责市本级和城陵矶新港区老旧小区、棚户区、旧城区改造等城市人居环境更新的事务性工作。</w:t>
      </w:r>
    </w:p>
    <w:p w14:paraId="6EB70BE2">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负责全市物业服务、房屋租赁服务质量考评体系和物业、中介服务企业信用信息评价等诚信体系建设的行政辅助工作。</w:t>
      </w:r>
    </w:p>
    <w:p w14:paraId="7236F384">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负责住房保障、物业管理、白蚁防治领域行政检查和违法案件线索移送的行政辅助工作。</w:t>
      </w:r>
    </w:p>
    <w:p w14:paraId="26766FCF">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负责市中心城区物业专项维修基金的归集、管理、使用监督以及物业管理招投标合同备案的行政辅助工作。</w:t>
      </w:r>
    </w:p>
    <w:p w14:paraId="5035B40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二、面向社会提供公益服务职能</w:t>
      </w:r>
    </w:p>
    <w:p w14:paraId="4398E90F">
      <w:pPr>
        <w:pStyle w:val="7"/>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负责市本级和城陵矶新港区公共租赁住房、保障性租赁住房、共有产权房等保障性住房运营管理和维修改造的事务性工作。</w:t>
      </w:r>
    </w:p>
    <w:p w14:paraId="3E42AD90">
      <w:pPr>
        <w:pStyle w:val="7"/>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负责市本级政府投资建设的各类保障性住房和市政府移交授权管理的存量公房资产运营管理的事务性工作。</w:t>
      </w:r>
    </w:p>
    <w:p w14:paraId="38F8D8E7">
      <w:pPr>
        <w:pStyle w:val="7"/>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负责住房保障、房屋租赁、城市人居环境更新、城市提质改造、物业维修资金等信息平台建设、数据统计分析、信息发布等事务性工作；负责市本级住房保障档案管理和信息查询事务性工作。</w:t>
      </w:r>
    </w:p>
    <w:p w14:paraId="4FD72CF7">
      <w:pPr>
        <w:pStyle w:val="7"/>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承担市中心城区房屋白蚁防治、白蚁防治技术推广、白蚁防治科研、发布蚁害监测的事务性工作。</w:t>
      </w:r>
    </w:p>
    <w:p w14:paraId="2FC0456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5、完成市住房和城乡建设局交办的其它任务。</w:t>
      </w:r>
    </w:p>
    <w:p w14:paraId="1458F44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kern w:val="0"/>
          <w:sz w:val="32"/>
          <w:szCs w:val="32"/>
          <w:u w:val="none"/>
          <w14:textFill>
            <w14:solidFill>
              <w14:schemeClr w14:val="tx1"/>
            </w14:solidFill>
          </w14:textFill>
        </w:rPr>
      </w:pPr>
      <w:r>
        <w:rPr>
          <w:rFonts w:hint="eastAsia" w:ascii="仿宋" w:hAnsi="仿宋" w:eastAsia="仿宋" w:cs="仿宋"/>
          <w:color w:val="000000" w:themeColor="text1"/>
          <w:kern w:val="0"/>
          <w:sz w:val="32"/>
          <w:szCs w:val="32"/>
          <w:u w:val="none"/>
          <w14:textFill>
            <w14:solidFill>
              <w14:schemeClr w14:val="tx1"/>
            </w14:solidFill>
          </w14:textFill>
        </w:rPr>
        <w:t>（二）机构设置</w:t>
      </w:r>
    </w:p>
    <w:p w14:paraId="68A5B86C">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14:textFill>
            <w14:solidFill>
              <w14:schemeClr w14:val="tx1"/>
            </w14:solidFill>
          </w14:textFill>
        </w:rPr>
        <w:t>根据中共岳阳市委机构编制委员会</w:t>
      </w:r>
      <w:r>
        <w:rPr>
          <w:rFonts w:hint="eastAsia" w:ascii="仿宋" w:hAnsi="仿宋" w:eastAsia="仿宋" w:cs="仿宋"/>
          <w:color w:val="000000" w:themeColor="text1"/>
          <w:sz w:val="32"/>
          <w:szCs w:val="32"/>
          <w:u w:val="none"/>
          <w:lang w:val="en-US" w:eastAsia="zh-CN"/>
          <w14:textFill>
            <w14:solidFill>
              <w14:schemeClr w14:val="tx1"/>
            </w14:solidFill>
          </w14:textFill>
        </w:rPr>
        <w:t>下发的《</w:t>
      </w:r>
      <w:r>
        <w:rPr>
          <w:rFonts w:hint="eastAsia" w:ascii="仿宋" w:hAnsi="仿宋" w:eastAsia="仿宋" w:cs="仿宋"/>
          <w:color w:val="000000" w:themeColor="text1"/>
          <w:sz w:val="32"/>
          <w:szCs w:val="32"/>
          <w:u w:val="none"/>
          <w14:textFill>
            <w14:solidFill>
              <w14:schemeClr w14:val="tx1"/>
            </w14:solidFill>
          </w14:textFill>
        </w:rPr>
        <w:t>关于印发</w:t>
      </w:r>
      <w:r>
        <w:rPr>
          <w:rFonts w:hint="eastAsia" w:ascii="仿宋" w:hAnsi="仿宋" w:eastAsia="仿宋" w:cs="仿宋"/>
          <w:color w:val="000000" w:themeColor="text1"/>
          <w:sz w:val="32"/>
          <w:szCs w:val="32"/>
          <w:u w:val="none"/>
          <w:lang w:val="en-US" w:eastAsia="zh-CN"/>
          <w14:textFill>
            <w14:solidFill>
              <w14:schemeClr w14:val="tx1"/>
            </w14:solidFill>
          </w14:textFill>
        </w:rPr>
        <w:t>&lt;</w:t>
      </w:r>
      <w:r>
        <w:rPr>
          <w:rFonts w:hint="eastAsia" w:ascii="仿宋" w:hAnsi="仿宋" w:eastAsia="仿宋" w:cs="仿宋"/>
          <w:color w:val="000000" w:themeColor="text1"/>
          <w:sz w:val="32"/>
          <w:szCs w:val="32"/>
          <w:u w:val="none"/>
          <w14:textFill>
            <w14:solidFill>
              <w14:schemeClr w14:val="tx1"/>
            </w14:solidFill>
          </w14:textFill>
        </w:rPr>
        <w:t>岳阳市住房保障服务中心职能配置、内设机构和人员编制规定</w:t>
      </w:r>
      <w:r>
        <w:rPr>
          <w:rFonts w:hint="eastAsia" w:ascii="仿宋" w:hAnsi="仿宋" w:eastAsia="仿宋" w:cs="仿宋"/>
          <w:color w:val="000000" w:themeColor="text1"/>
          <w:sz w:val="32"/>
          <w:szCs w:val="32"/>
          <w:u w:val="none"/>
          <w:lang w:val="en-US" w:eastAsia="zh-CN"/>
          <w14:textFill>
            <w14:solidFill>
              <w14:schemeClr w14:val="tx1"/>
            </w14:solidFill>
          </w14:textFill>
        </w:rPr>
        <w:t>&gt;</w:t>
      </w:r>
      <w:r>
        <w:rPr>
          <w:rFonts w:hint="eastAsia" w:ascii="仿宋" w:hAnsi="仿宋" w:eastAsia="仿宋" w:cs="仿宋"/>
          <w:color w:val="000000" w:themeColor="text1"/>
          <w:sz w:val="32"/>
          <w:szCs w:val="32"/>
          <w:u w:val="none"/>
          <w14:textFill>
            <w14:solidFill>
              <w14:schemeClr w14:val="tx1"/>
            </w14:solidFill>
          </w14:textFill>
        </w:rPr>
        <w:t>的通知</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u w:val="none"/>
          <w14:textFill>
            <w14:solidFill>
              <w14:schemeClr w14:val="tx1"/>
            </w14:solidFill>
          </w14:textFill>
        </w:rPr>
        <w:t>（岳编办发〔2021〕25号）</w:t>
      </w:r>
      <w:r>
        <w:rPr>
          <w:rFonts w:hint="eastAsia" w:ascii="仿宋" w:hAnsi="仿宋" w:eastAsia="仿宋" w:cs="仿宋"/>
          <w:color w:val="000000" w:themeColor="text1"/>
          <w:sz w:val="32"/>
          <w:szCs w:val="32"/>
          <w:u w:val="none"/>
          <w:lang w:val="en-US" w:eastAsia="zh-CN"/>
          <w14:textFill>
            <w14:solidFill>
              <w14:schemeClr w14:val="tx1"/>
            </w14:solidFill>
          </w14:textFill>
        </w:rPr>
        <w:t>文件</w:t>
      </w:r>
      <w:r>
        <w:rPr>
          <w:rFonts w:hint="eastAsia" w:ascii="仿宋" w:hAnsi="仿宋" w:eastAsia="仿宋" w:cs="仿宋"/>
          <w:color w:val="000000" w:themeColor="text1"/>
          <w:sz w:val="32"/>
          <w:szCs w:val="32"/>
          <w:u w:val="none"/>
          <w:lang w:eastAsia="zh-CN"/>
          <w14:textFill>
            <w14:solidFill>
              <w14:schemeClr w14:val="tx1"/>
            </w14:solidFill>
          </w14:textFill>
        </w:rPr>
        <w:t>，</w:t>
      </w:r>
      <w:r>
        <w:rPr>
          <w:rFonts w:hint="eastAsia" w:ascii="仿宋" w:hAnsi="仿宋" w:eastAsia="仿宋" w:cs="仿宋"/>
          <w:color w:val="000000" w:themeColor="text1"/>
          <w:sz w:val="32"/>
          <w:szCs w:val="32"/>
          <w:u w:val="none"/>
          <w14:textFill>
            <w14:solidFill>
              <w14:schemeClr w14:val="tx1"/>
            </w14:solidFill>
          </w14:textFill>
        </w:rPr>
        <w:t>我中心全额事业编制7</w:t>
      </w:r>
      <w:r>
        <w:rPr>
          <w:rFonts w:hint="eastAsia" w:eastAsia="仿宋" w:cs="仿宋"/>
          <w:color w:val="000000" w:themeColor="text1"/>
          <w:sz w:val="32"/>
          <w:szCs w:val="32"/>
          <w:u w:val="none"/>
          <w:lang w:val="en-US" w:eastAsia="zh-CN"/>
          <w14:textFill>
            <w14:solidFill>
              <w14:schemeClr w14:val="tx1"/>
            </w14:solidFill>
          </w14:textFill>
        </w:rPr>
        <w:t>6</w:t>
      </w:r>
      <w:r>
        <w:rPr>
          <w:rFonts w:hint="eastAsia" w:ascii="仿宋" w:hAnsi="仿宋" w:eastAsia="仿宋" w:cs="仿宋"/>
          <w:color w:val="000000" w:themeColor="text1"/>
          <w:sz w:val="32"/>
          <w:szCs w:val="32"/>
          <w:u w:val="none"/>
          <w14:textFill>
            <w14:solidFill>
              <w14:schemeClr w14:val="tx1"/>
            </w14:solidFill>
          </w14:textFill>
        </w:rPr>
        <w:t>人，</w:t>
      </w:r>
      <w:r>
        <w:rPr>
          <w:rFonts w:hint="eastAsia" w:ascii="仿宋" w:hAnsi="仿宋" w:eastAsia="仿宋" w:cs="仿宋"/>
          <w:color w:val="000000" w:themeColor="text1"/>
          <w:sz w:val="32"/>
          <w:szCs w:val="32"/>
          <w:u w:val="none"/>
          <w:lang w:val="en-US" w:eastAsia="zh-CN"/>
          <w14:textFill>
            <w14:solidFill>
              <w14:schemeClr w14:val="tx1"/>
            </w14:solidFill>
          </w14:textFill>
        </w:rPr>
        <w:t>在职人员75人，</w:t>
      </w:r>
      <w:r>
        <w:rPr>
          <w:rFonts w:hint="eastAsia" w:ascii="仿宋" w:hAnsi="仿宋" w:eastAsia="仿宋" w:cs="仿宋"/>
          <w:color w:val="000000" w:themeColor="text1"/>
          <w:sz w:val="32"/>
          <w:szCs w:val="32"/>
          <w:u w:val="none"/>
          <w14:textFill>
            <w14:solidFill>
              <w14:schemeClr w14:val="tx1"/>
            </w14:solidFill>
          </w14:textFill>
        </w:rPr>
        <w:t>退休人员</w:t>
      </w:r>
      <w:r>
        <w:rPr>
          <w:rFonts w:hint="eastAsia" w:ascii="仿宋" w:hAnsi="仿宋" w:eastAsia="仿宋" w:cs="仿宋"/>
          <w:color w:val="000000" w:themeColor="text1"/>
          <w:sz w:val="32"/>
          <w:szCs w:val="32"/>
          <w:u w:val="none"/>
          <w:lang w:val="en-US" w:eastAsia="zh-CN"/>
          <w14:textFill>
            <w14:solidFill>
              <w14:schemeClr w14:val="tx1"/>
            </w14:solidFill>
          </w14:textFill>
        </w:rPr>
        <w:t>21</w:t>
      </w:r>
      <w:r>
        <w:rPr>
          <w:rFonts w:hint="eastAsia" w:ascii="仿宋" w:hAnsi="仿宋" w:eastAsia="仿宋" w:cs="仿宋"/>
          <w:color w:val="000000" w:themeColor="text1"/>
          <w:sz w:val="32"/>
          <w:szCs w:val="32"/>
          <w:u w:val="none"/>
          <w14:textFill>
            <w14:solidFill>
              <w14:schemeClr w14:val="tx1"/>
            </w14:solidFill>
          </w14:textFill>
        </w:rPr>
        <w:t>人。</w:t>
      </w:r>
      <w:r>
        <w:rPr>
          <w:rFonts w:hint="eastAsia" w:ascii="仿宋" w:hAnsi="仿宋" w:eastAsia="仿宋" w:cs="仿宋"/>
          <w:color w:val="000000" w:themeColor="text1"/>
          <w:sz w:val="32"/>
          <w:szCs w:val="32"/>
          <w:u w:val="none"/>
          <w:lang w:val="en-US" w:eastAsia="zh-CN"/>
          <w14:textFill>
            <w14:solidFill>
              <w14:schemeClr w14:val="tx1"/>
            </w14:solidFill>
          </w14:textFill>
        </w:rPr>
        <w:t>中心</w:t>
      </w:r>
      <w:r>
        <w:rPr>
          <w:rFonts w:hint="eastAsia" w:ascii="仿宋" w:hAnsi="仿宋" w:eastAsia="仿宋" w:cs="仿宋"/>
          <w:color w:val="000000" w:themeColor="text1"/>
          <w:sz w:val="32"/>
          <w:szCs w:val="32"/>
          <w:u w:val="none"/>
          <w14:textFill>
            <w14:solidFill>
              <w14:schemeClr w14:val="tx1"/>
            </w14:solidFill>
          </w14:textFill>
        </w:rPr>
        <w:t>设</w:t>
      </w:r>
      <w:r>
        <w:rPr>
          <w:rFonts w:hint="eastAsia" w:ascii="仿宋" w:hAnsi="仿宋" w:eastAsia="仿宋" w:cs="仿宋"/>
          <w:color w:val="000000" w:themeColor="text1"/>
          <w:sz w:val="32"/>
          <w:szCs w:val="32"/>
          <w:u w:val="none"/>
          <w:lang w:val="en-US" w:eastAsia="zh-CN"/>
          <w14:textFill>
            <w14:solidFill>
              <w14:schemeClr w14:val="tx1"/>
            </w14:solidFill>
          </w14:textFill>
        </w:rPr>
        <w:t>8个内设机构和3</w:t>
      </w:r>
      <w:r>
        <w:rPr>
          <w:rFonts w:hint="eastAsia" w:ascii="仿宋" w:hAnsi="仿宋" w:eastAsia="仿宋" w:cs="仿宋"/>
          <w:color w:val="000000" w:themeColor="text1"/>
          <w:sz w:val="32"/>
          <w:szCs w:val="32"/>
          <w:u w:val="none"/>
          <w14:textFill>
            <w14:solidFill>
              <w14:schemeClr w14:val="tx1"/>
            </w14:solidFill>
          </w14:textFill>
        </w:rPr>
        <w:t>个</w:t>
      </w:r>
      <w:r>
        <w:rPr>
          <w:rFonts w:hint="eastAsia" w:ascii="仿宋" w:hAnsi="仿宋" w:eastAsia="仿宋" w:cs="仿宋"/>
          <w:color w:val="000000" w:themeColor="text1"/>
          <w:sz w:val="32"/>
          <w:szCs w:val="32"/>
          <w:u w:val="none"/>
          <w:lang w:val="en-US" w:eastAsia="zh-CN"/>
          <w14:textFill>
            <w14:solidFill>
              <w14:schemeClr w14:val="tx1"/>
            </w14:solidFill>
          </w14:textFill>
        </w:rPr>
        <w:t>分支机构</w:t>
      </w:r>
      <w:r>
        <w:rPr>
          <w:rFonts w:hint="eastAsia" w:ascii="仿宋" w:hAnsi="仿宋" w:eastAsia="仿宋" w:cs="仿宋"/>
          <w:color w:val="000000" w:themeColor="text1"/>
          <w:sz w:val="32"/>
          <w:szCs w:val="32"/>
          <w:u w:val="none"/>
          <w14:textFill>
            <w14:solidFill>
              <w14:schemeClr w14:val="tx1"/>
            </w14:solidFill>
          </w14:textFill>
        </w:rPr>
        <w:t>。内设</w:t>
      </w:r>
      <w:r>
        <w:rPr>
          <w:rFonts w:hint="eastAsia" w:ascii="仿宋" w:hAnsi="仿宋" w:eastAsia="仿宋" w:cs="仿宋"/>
          <w:color w:val="000000" w:themeColor="text1"/>
          <w:sz w:val="32"/>
          <w:szCs w:val="32"/>
          <w:u w:val="none"/>
          <w:lang w:val="en-US" w:eastAsia="zh-CN"/>
          <w14:textFill>
            <w14:solidFill>
              <w14:schemeClr w14:val="tx1"/>
            </w14:solidFill>
          </w14:textFill>
        </w:rPr>
        <w:t>机构为：综合部</w:t>
      </w:r>
      <w:r>
        <w:rPr>
          <w:rFonts w:hint="eastAsia" w:ascii="仿宋" w:hAnsi="仿宋" w:eastAsia="仿宋" w:cs="仿宋"/>
          <w:color w:val="000000" w:themeColor="text1"/>
          <w:sz w:val="32"/>
          <w:szCs w:val="32"/>
          <w:u w:val="none"/>
          <w14:textFill>
            <w14:solidFill>
              <w14:schemeClr w14:val="tx1"/>
            </w14:solidFill>
          </w14:textFill>
        </w:rPr>
        <w:t>、</w:t>
      </w:r>
      <w:r>
        <w:rPr>
          <w:rFonts w:hint="eastAsia" w:ascii="仿宋" w:hAnsi="仿宋" w:eastAsia="仿宋" w:cs="仿宋"/>
          <w:color w:val="000000" w:themeColor="text1"/>
          <w:sz w:val="32"/>
          <w:szCs w:val="32"/>
          <w:u w:val="none"/>
          <w:lang w:val="en-US" w:eastAsia="zh-CN"/>
          <w14:textFill>
            <w14:solidFill>
              <w14:schemeClr w14:val="tx1"/>
            </w14:solidFill>
          </w14:textFill>
        </w:rPr>
        <w:t>房屋租赁服务部、财务部、信息档案服务部、白蚁防治服务部、工程建设服务部、党办、离退休人员服务部。分支机构为：市城市人居环境更新管理所、市物业和维修资金管理所和市保障性住房管理所。</w:t>
      </w:r>
    </w:p>
    <w:p w14:paraId="321514A6">
      <w:pPr>
        <w:pStyle w:val="11"/>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二、一般公共预算支出情况</w:t>
      </w:r>
    </w:p>
    <w:p w14:paraId="1EBFE87C">
      <w:pPr>
        <w:pStyle w:val="11"/>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color w:val="000000" w:themeColor="text1"/>
          <w:sz w:val="32"/>
          <w:szCs w:val="32"/>
          <w:highlight w:val="none"/>
          <w14:textFill>
            <w14:solidFill>
              <w14:schemeClr w14:val="tx1"/>
            </w14:solidFill>
          </w14:textFill>
        </w:rPr>
      </w:pPr>
      <w:r>
        <w:rPr>
          <w:rFonts w:hint="eastAsia" w:ascii="仿宋" w:hAnsi="仿宋" w:eastAsia="仿宋" w:cs="仿宋"/>
          <w:b w:val="0"/>
          <w:bCs/>
          <w:color w:val="000000" w:themeColor="text1"/>
          <w:sz w:val="32"/>
          <w:szCs w:val="32"/>
          <w:highlight w:val="none"/>
          <w14:textFill>
            <w14:solidFill>
              <w14:schemeClr w14:val="tx1"/>
            </w14:solidFill>
          </w14:textFill>
        </w:rPr>
        <w:t>（一）基本支出情况</w:t>
      </w:r>
    </w:p>
    <w:p w14:paraId="4491A548">
      <w:pPr>
        <w:pStyle w:val="11"/>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color w:val="000000" w:themeColor="text1"/>
          <w:sz w:val="32"/>
          <w:szCs w:val="32"/>
          <w:highlight w:val="none"/>
          <w:lang w:val="en-US" w:eastAsia="zh-CN"/>
          <w14:textFill>
            <w14:solidFill>
              <w14:schemeClr w14:val="tx1"/>
            </w14:solidFill>
          </w14:textFill>
        </w:rPr>
        <w:t>2025年度，本单位一般公共预算基本支出总额为1567.20万元，其中人员经费支出1387.33万元，</w:t>
      </w:r>
      <w:r>
        <w:rPr>
          <w:rFonts w:hint="eastAsia" w:ascii="仿宋" w:hAnsi="仿宋" w:eastAsia="仿宋" w:cs="仿宋"/>
          <w:bCs/>
          <w:sz w:val="32"/>
          <w:szCs w:val="32"/>
          <w:lang w:val="en-US" w:eastAsia="zh-CN"/>
        </w:rPr>
        <w:t>主要用于</w:t>
      </w:r>
      <w:r>
        <w:rPr>
          <w:rFonts w:hint="eastAsia" w:ascii="仿宋" w:hAnsi="仿宋" w:eastAsia="仿宋" w:cs="仿宋"/>
          <w:bCs/>
          <w:sz w:val="32"/>
          <w:szCs w:val="32"/>
          <w:highlight w:val="none"/>
          <w:lang w:val="en-US" w:eastAsia="zh-CN"/>
        </w:rPr>
        <w:t>职工基本工资、津补贴、奖金、伙食补助、绩效工资及社会保障缴费等支出；</w:t>
      </w:r>
      <w:r>
        <w:rPr>
          <w:rFonts w:hint="eastAsia" w:ascii="仿宋" w:hAnsi="仿宋" w:eastAsia="仿宋" w:cs="仿宋"/>
          <w:bCs/>
          <w:sz w:val="32"/>
          <w:szCs w:val="32"/>
        </w:rPr>
        <w:t>公用</w:t>
      </w:r>
      <w:r>
        <w:rPr>
          <w:rFonts w:hint="eastAsia" w:ascii="仿宋" w:hAnsi="仿宋" w:eastAsia="仿宋" w:cs="仿宋"/>
          <w:bCs/>
          <w:sz w:val="32"/>
          <w:szCs w:val="32"/>
          <w:lang w:val="en-US" w:eastAsia="zh-CN"/>
        </w:rPr>
        <w:t>经费</w:t>
      </w:r>
      <w:r>
        <w:rPr>
          <w:rFonts w:hint="eastAsia" w:ascii="仿宋" w:hAnsi="仿宋" w:eastAsia="仿宋" w:cs="仿宋"/>
          <w:bCs/>
          <w:sz w:val="32"/>
          <w:szCs w:val="32"/>
        </w:rPr>
        <w:t>支出</w:t>
      </w:r>
      <w:r>
        <w:rPr>
          <w:rFonts w:hint="eastAsia" w:ascii="仿宋" w:hAnsi="仿宋" w:eastAsia="仿宋" w:cs="仿宋"/>
          <w:bCs/>
          <w:sz w:val="32"/>
          <w:szCs w:val="32"/>
          <w:lang w:val="en-US" w:eastAsia="zh-CN"/>
        </w:rPr>
        <w:t>179.87</w:t>
      </w:r>
      <w:r>
        <w:rPr>
          <w:rFonts w:hint="eastAsia" w:ascii="仿宋" w:hAnsi="仿宋" w:eastAsia="仿宋" w:cs="仿宋"/>
          <w:bCs/>
          <w:sz w:val="32"/>
          <w:szCs w:val="32"/>
        </w:rPr>
        <w:t>万元</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主要用于办公费、印刷费、水电费、邮电费、物业管理费、差旅费、维修（护）费、劳务费、工会经费、福利费、公务用车运行费、其他交通费用、其他商品和服务支出等保障单位运转费用。</w:t>
      </w:r>
    </w:p>
    <w:p w14:paraId="1B5C0930">
      <w:pPr>
        <w:pStyle w:val="11"/>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2025年度“三公”经费支出情况：“三公”经费年初预算为3.00万元，其中</w:t>
      </w:r>
      <w:r>
        <w:rPr>
          <w:rFonts w:hint="eastAsia" w:ascii="仿宋" w:hAnsi="仿宋" w:eastAsia="仿宋" w:cs="仿宋"/>
          <w:bCs/>
          <w:sz w:val="32"/>
          <w:szCs w:val="32"/>
          <w:lang w:val="en-US" w:eastAsia="zh-CN"/>
        </w:rPr>
        <w:t>公务用车购置及运行维护</w:t>
      </w:r>
      <w:r>
        <w:rPr>
          <w:rFonts w:hint="eastAsia" w:ascii="仿宋" w:hAnsi="仿宋" w:eastAsia="仿宋" w:cs="仿宋"/>
          <w:bCs/>
          <w:sz w:val="32"/>
          <w:szCs w:val="32"/>
        </w:rPr>
        <w:t>费</w:t>
      </w:r>
      <w:r>
        <w:rPr>
          <w:rFonts w:hint="eastAsia" w:ascii="仿宋" w:hAnsi="仿宋" w:eastAsia="仿宋" w:cs="仿宋"/>
          <w:bCs/>
          <w:sz w:val="32"/>
          <w:szCs w:val="32"/>
          <w:lang w:eastAsia="zh-CN"/>
        </w:rPr>
        <w:t>预算</w:t>
      </w:r>
      <w:r>
        <w:rPr>
          <w:rFonts w:hint="eastAsia" w:ascii="仿宋" w:hAnsi="仿宋" w:eastAsia="仿宋" w:cs="仿宋"/>
          <w:bCs/>
          <w:sz w:val="32"/>
          <w:szCs w:val="32"/>
          <w:lang w:val="en-US" w:eastAsia="zh-CN"/>
        </w:rPr>
        <w:t>金额为3.00万元（公务用车购置费预算0万元）、公务接待费及</w:t>
      </w:r>
      <w:r>
        <w:rPr>
          <w:rFonts w:hint="eastAsia" w:ascii="仿宋" w:hAnsi="仿宋" w:eastAsia="仿宋" w:cs="仿宋"/>
          <w:bCs/>
          <w:sz w:val="32"/>
          <w:szCs w:val="32"/>
          <w:lang w:eastAsia="zh-CN"/>
        </w:rPr>
        <w:t>因</w:t>
      </w:r>
      <w:r>
        <w:rPr>
          <w:rFonts w:hint="eastAsia" w:ascii="仿宋" w:hAnsi="仿宋" w:eastAsia="仿宋" w:cs="仿宋"/>
          <w:bCs/>
          <w:sz w:val="32"/>
          <w:szCs w:val="32"/>
        </w:rPr>
        <w:t>公出国</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境</w:t>
      </w:r>
      <w:r>
        <w:rPr>
          <w:rFonts w:hint="eastAsia" w:ascii="仿宋" w:hAnsi="仿宋" w:eastAsia="仿宋" w:cs="仿宋"/>
          <w:bCs/>
          <w:sz w:val="32"/>
          <w:szCs w:val="32"/>
          <w:lang w:eastAsia="zh-CN"/>
        </w:rPr>
        <w:t>）费</w:t>
      </w:r>
      <w:r>
        <w:rPr>
          <w:rFonts w:hint="eastAsia" w:ascii="仿宋" w:hAnsi="仿宋" w:eastAsia="仿宋" w:cs="仿宋"/>
          <w:bCs/>
          <w:sz w:val="32"/>
          <w:szCs w:val="32"/>
          <w:lang w:val="en-US" w:eastAsia="zh-CN"/>
        </w:rPr>
        <w:t>预算均为0万元。“</w:t>
      </w:r>
      <w:r>
        <w:rPr>
          <w:rFonts w:hint="eastAsia" w:ascii="仿宋" w:hAnsi="仿宋" w:eastAsia="仿宋" w:cs="仿宋"/>
          <w:bCs/>
          <w:sz w:val="32"/>
          <w:szCs w:val="32"/>
          <w:lang w:eastAsia="zh-CN"/>
        </w:rPr>
        <w:t>三公”经费支出</w:t>
      </w:r>
      <w:r>
        <w:rPr>
          <w:rFonts w:hint="eastAsia" w:ascii="仿宋" w:hAnsi="仿宋" w:eastAsia="仿宋" w:cs="仿宋"/>
          <w:bCs/>
          <w:sz w:val="32"/>
          <w:szCs w:val="32"/>
          <w:lang w:val="en-US" w:eastAsia="zh-CN"/>
        </w:rPr>
        <w:t>总金额为3.00万元，其中公务用车购置及运行维护</w:t>
      </w:r>
      <w:r>
        <w:rPr>
          <w:rFonts w:hint="eastAsia" w:ascii="仿宋" w:hAnsi="仿宋" w:eastAsia="仿宋" w:cs="仿宋"/>
          <w:bCs/>
          <w:sz w:val="32"/>
          <w:szCs w:val="32"/>
        </w:rPr>
        <w:t>费</w:t>
      </w:r>
      <w:r>
        <w:rPr>
          <w:rFonts w:hint="eastAsia" w:ascii="仿宋" w:hAnsi="仿宋" w:eastAsia="仿宋" w:cs="仿宋"/>
          <w:bCs/>
          <w:sz w:val="32"/>
          <w:szCs w:val="32"/>
          <w:lang w:val="en-US" w:eastAsia="zh-CN"/>
        </w:rPr>
        <w:t>支出金额为3.00万元（公务用车购置费支出0万元）、公务接待费及</w:t>
      </w:r>
      <w:r>
        <w:rPr>
          <w:rFonts w:hint="eastAsia" w:ascii="仿宋" w:hAnsi="仿宋" w:eastAsia="仿宋" w:cs="仿宋"/>
          <w:bCs/>
          <w:sz w:val="32"/>
          <w:szCs w:val="32"/>
          <w:lang w:eastAsia="zh-CN"/>
        </w:rPr>
        <w:t>因</w:t>
      </w:r>
      <w:r>
        <w:rPr>
          <w:rFonts w:hint="eastAsia" w:ascii="仿宋" w:hAnsi="仿宋" w:eastAsia="仿宋" w:cs="仿宋"/>
          <w:bCs/>
          <w:sz w:val="32"/>
          <w:szCs w:val="32"/>
        </w:rPr>
        <w:t>公出国</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境</w:t>
      </w:r>
      <w:r>
        <w:rPr>
          <w:rFonts w:hint="eastAsia" w:ascii="仿宋" w:hAnsi="仿宋" w:eastAsia="仿宋" w:cs="仿宋"/>
          <w:bCs/>
          <w:sz w:val="32"/>
          <w:szCs w:val="32"/>
          <w:lang w:eastAsia="zh-CN"/>
        </w:rPr>
        <w:t>）费</w:t>
      </w:r>
      <w:r>
        <w:rPr>
          <w:rFonts w:hint="eastAsia" w:ascii="仿宋" w:hAnsi="仿宋" w:eastAsia="仿宋" w:cs="仿宋"/>
          <w:bCs/>
          <w:sz w:val="32"/>
          <w:szCs w:val="32"/>
        </w:rPr>
        <w:t>支出</w:t>
      </w:r>
      <w:r>
        <w:rPr>
          <w:rFonts w:hint="eastAsia" w:ascii="仿宋" w:hAnsi="仿宋" w:eastAsia="仿宋" w:cs="仿宋"/>
          <w:bCs/>
          <w:sz w:val="32"/>
          <w:szCs w:val="32"/>
          <w:lang w:val="en-US" w:eastAsia="zh-CN"/>
        </w:rPr>
        <w:t>均为</w:t>
      </w:r>
      <w:r>
        <w:rPr>
          <w:rFonts w:hint="eastAsia" w:ascii="仿宋" w:hAnsi="仿宋" w:eastAsia="仿宋" w:cs="仿宋"/>
          <w:bCs/>
          <w:sz w:val="32"/>
          <w:szCs w:val="32"/>
        </w:rPr>
        <w:t>0万元</w:t>
      </w:r>
      <w:r>
        <w:rPr>
          <w:rFonts w:hint="eastAsia" w:ascii="仿宋" w:hAnsi="仿宋" w:eastAsia="仿宋" w:cs="仿宋"/>
          <w:bCs/>
          <w:sz w:val="32"/>
          <w:szCs w:val="32"/>
          <w:lang w:eastAsia="zh-CN"/>
        </w:rPr>
        <w:t>，控制在年初预算</w:t>
      </w:r>
      <w:r>
        <w:rPr>
          <w:rFonts w:hint="eastAsia" w:ascii="仿宋" w:hAnsi="仿宋" w:eastAsia="仿宋" w:cs="仿宋"/>
          <w:bCs/>
          <w:sz w:val="32"/>
          <w:szCs w:val="32"/>
          <w:lang w:val="en-US" w:eastAsia="zh-CN"/>
        </w:rPr>
        <w:t>内。</w:t>
      </w:r>
    </w:p>
    <w:p w14:paraId="5DDE0550">
      <w:pPr>
        <w:pStyle w:val="11"/>
        <w:keepNext w:val="0"/>
        <w:keepLines w:val="0"/>
        <w:pageBreakBefore w:val="0"/>
        <w:widowControl/>
        <w:numPr>
          <w:ilvl w:val="0"/>
          <w:numId w:val="4"/>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color w:val="000000" w:themeColor="text1"/>
          <w:sz w:val="32"/>
          <w:szCs w:val="32"/>
          <w:highlight w:val="none"/>
          <w14:textFill>
            <w14:solidFill>
              <w14:schemeClr w14:val="tx1"/>
            </w14:solidFill>
          </w14:textFill>
        </w:rPr>
      </w:pPr>
      <w:r>
        <w:rPr>
          <w:rFonts w:hint="eastAsia" w:ascii="仿宋" w:hAnsi="仿宋" w:eastAsia="仿宋" w:cs="仿宋"/>
          <w:b w:val="0"/>
          <w:bCs/>
          <w:color w:val="000000" w:themeColor="text1"/>
          <w:sz w:val="32"/>
          <w:szCs w:val="32"/>
          <w:highlight w:val="none"/>
          <w14:textFill>
            <w14:solidFill>
              <w14:schemeClr w14:val="tx1"/>
            </w14:solidFill>
          </w14:textFill>
        </w:rPr>
        <w:t>项目支出情况</w:t>
      </w:r>
    </w:p>
    <w:p w14:paraId="0FE46139">
      <w:pPr>
        <w:pStyle w:val="11"/>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2025年度，本单位</w:t>
      </w:r>
      <w:r>
        <w:rPr>
          <w:rFonts w:hint="eastAsia" w:ascii="仿宋" w:hAnsi="仿宋" w:eastAsia="仿宋" w:cs="仿宋"/>
          <w:bCs/>
          <w:sz w:val="32"/>
          <w:szCs w:val="32"/>
          <w:lang w:val="en-US" w:eastAsia="zh-CN"/>
        </w:rPr>
        <w:t>一般公共预算</w:t>
      </w:r>
      <w:r>
        <w:rPr>
          <w:rFonts w:hint="eastAsia" w:ascii="仿宋" w:hAnsi="仿宋" w:eastAsia="仿宋" w:cs="仿宋"/>
          <w:bCs/>
          <w:sz w:val="32"/>
          <w:szCs w:val="32"/>
        </w:rPr>
        <w:t>项目</w:t>
      </w:r>
      <w:r>
        <w:rPr>
          <w:rFonts w:hint="eastAsia" w:ascii="仿宋" w:hAnsi="仿宋" w:eastAsia="仿宋" w:cs="仿宋"/>
          <w:bCs/>
          <w:sz w:val="32"/>
          <w:szCs w:val="32"/>
          <w:lang w:val="en-US" w:eastAsia="zh-CN"/>
        </w:rPr>
        <w:t>支出年初预算数为163.38万元，年中追加了210.62万元，全年项目支出预算数调整为374.00万元。全年项目支出</w:t>
      </w:r>
      <w:r>
        <w:rPr>
          <w:rFonts w:hint="eastAsia" w:ascii="仿宋" w:hAnsi="仿宋" w:eastAsia="仿宋" w:cs="仿宋"/>
          <w:bCs/>
          <w:color w:val="auto"/>
          <w:sz w:val="32"/>
          <w:szCs w:val="32"/>
          <w:lang w:val="en-US" w:eastAsia="zh-CN"/>
        </w:rPr>
        <w:t>总额为312.62</w:t>
      </w:r>
      <w:r>
        <w:rPr>
          <w:rFonts w:hint="eastAsia" w:ascii="仿宋" w:hAnsi="仿宋" w:eastAsia="仿宋" w:cs="仿宋"/>
          <w:bCs/>
          <w:color w:val="auto"/>
          <w:sz w:val="32"/>
          <w:szCs w:val="32"/>
        </w:rPr>
        <w:t>万元，</w:t>
      </w:r>
      <w:r>
        <w:rPr>
          <w:rFonts w:hint="eastAsia" w:ascii="仿宋" w:hAnsi="仿宋" w:eastAsia="仿宋" w:cs="仿宋"/>
          <w:color w:val="000000" w:themeColor="text1"/>
          <w:sz w:val="32"/>
          <w:szCs w:val="32"/>
          <w:u w:val="none"/>
          <w:lang w:val="en-US" w:eastAsia="zh-CN"/>
          <w14:textFill>
            <w14:solidFill>
              <w14:schemeClr w14:val="tx1"/>
            </w14:solidFill>
          </w14:textFill>
        </w:rPr>
        <w:t>其中业务工作经费113.95万元，运行维护经费38.59万元，枫桥湖廉租房小区经济适用房办证费13.18万元，2024年单位指标结余结转146.90万元。项目支出主要用于中心城区房屋、园林单位绿化树木及城区主干道树木的白蚁防治；公租房小区的配租、清查和退出管理以及档案信息更新；</w:t>
      </w:r>
      <w:r>
        <w:rPr>
          <w:rFonts w:hint="eastAsia" w:ascii="仿宋" w:hAnsi="仿宋" w:eastAsia="仿宋" w:cs="仿宋"/>
          <w:sz w:val="32"/>
          <w:szCs w:val="32"/>
        </w:rPr>
        <w:t>市本级公租房小区东井嘉园</w:t>
      </w:r>
      <w:r>
        <w:rPr>
          <w:rFonts w:hint="eastAsia" w:ascii="仿宋" w:hAnsi="仿宋" w:eastAsia="仿宋" w:cs="仿宋"/>
          <w:color w:val="000000" w:themeColor="text1"/>
          <w:sz w:val="32"/>
          <w:szCs w:val="32"/>
          <w:u w:val="none"/>
          <w:lang w:val="en-US" w:eastAsia="zh-CN"/>
          <w14:textFill>
            <w14:solidFill>
              <w14:schemeClr w14:val="tx1"/>
            </w14:solidFill>
          </w14:textFill>
        </w:rPr>
        <w:t>租金收缴、物业管理、维护修缮、枫桥湖廉租房小区15套经济适用房办理不动产产权证；代管保障房的物业费和维修费等。</w:t>
      </w:r>
    </w:p>
    <w:p w14:paraId="592F8ABE">
      <w:pPr>
        <w:pStyle w:val="11"/>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三、政府性基金预算支出情况</w:t>
      </w:r>
    </w:p>
    <w:p w14:paraId="167D890E">
      <w:pPr>
        <w:pStyle w:val="11"/>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本单位无政府性基金预算支出情况</w:t>
      </w:r>
    </w:p>
    <w:p w14:paraId="4EA3702E">
      <w:pPr>
        <w:pStyle w:val="11"/>
        <w:keepNext w:val="0"/>
        <w:keepLines w:val="0"/>
        <w:pageBreakBefore w:val="0"/>
        <w:widowControl/>
        <w:numPr>
          <w:ilvl w:val="0"/>
          <w:numId w:val="5"/>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国有资本经营预算支出情况</w:t>
      </w:r>
    </w:p>
    <w:p w14:paraId="2773DE11">
      <w:pPr>
        <w:pStyle w:val="11"/>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本单位无国有资本经营预算支出情况</w:t>
      </w:r>
    </w:p>
    <w:p w14:paraId="5786402E">
      <w:pPr>
        <w:pStyle w:val="11"/>
        <w:keepNext w:val="0"/>
        <w:keepLines w:val="0"/>
        <w:pageBreakBefore w:val="0"/>
        <w:widowControl/>
        <w:numPr>
          <w:ilvl w:val="0"/>
          <w:numId w:val="5"/>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社会保险基金预算支出情况</w:t>
      </w:r>
    </w:p>
    <w:p w14:paraId="276FDC78">
      <w:pPr>
        <w:pStyle w:val="11"/>
        <w:keepNext w:val="0"/>
        <w:keepLines w:val="0"/>
        <w:pageBreakBefore w:val="0"/>
        <w:widowControl/>
        <w:numPr>
          <w:ilvl w:val="0"/>
          <w:numId w:val="0"/>
        </w:numPr>
        <w:kinsoku/>
        <w:wordWrap/>
        <w:overflowPunct/>
        <w:topLinePunct w:val="0"/>
        <w:autoSpaceDE/>
        <w:autoSpaceDN/>
        <w:bidi w:val="0"/>
        <w:adjustRightInd/>
        <w:snapToGrid/>
        <w:spacing w:line="600" w:lineRule="exact"/>
        <w:ind w:left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本单位无社会保险基金预算支出情况</w:t>
      </w:r>
    </w:p>
    <w:p w14:paraId="2644B14D">
      <w:pPr>
        <w:keepNext w:val="0"/>
        <w:keepLines w:val="0"/>
        <w:pageBreakBefore w:val="0"/>
        <w:widowControl/>
        <w:numPr>
          <w:ilvl w:val="0"/>
          <w:numId w:val="5"/>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部门整体支出绩效情况</w:t>
      </w:r>
    </w:p>
    <w:p w14:paraId="52ACFF98">
      <w:pPr>
        <w:pStyle w:val="2"/>
        <w:numPr>
          <w:ilvl w:val="0"/>
          <w:numId w:val="6"/>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部门整体支出情况</w:t>
      </w:r>
    </w:p>
    <w:p w14:paraId="5D71C2C2">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2025年度，本</w:t>
      </w:r>
      <w:r>
        <w:rPr>
          <w:rFonts w:hint="eastAsia" w:eastAsia="仿宋" w:cs="仿宋"/>
          <w:color w:val="000000" w:themeColor="text1"/>
          <w:sz w:val="32"/>
          <w:szCs w:val="32"/>
          <w:highlight w:val="none"/>
          <w:lang w:val="en-US" w:eastAsia="zh-CN"/>
          <w14:textFill>
            <w14:solidFill>
              <w14:schemeClr w14:val="tx1"/>
            </w14:solidFill>
          </w14:textFill>
        </w:rPr>
        <w:t>单位</w:t>
      </w:r>
      <w:r>
        <w:rPr>
          <w:rFonts w:hint="eastAsia" w:ascii="仿宋" w:hAnsi="仿宋" w:eastAsia="仿宋" w:cs="仿宋"/>
          <w:sz w:val="32"/>
          <w:szCs w:val="32"/>
          <w:lang w:val="en-US" w:eastAsia="zh-CN"/>
        </w:rPr>
        <w:t>整体支出全年预算数6489.39</w:t>
      </w:r>
      <w:r>
        <w:rPr>
          <w:rFonts w:hint="eastAsia" w:ascii="仿宋" w:hAnsi="仿宋" w:eastAsia="仿宋" w:cs="仿宋"/>
          <w:color w:val="000000" w:themeColor="text1"/>
          <w:sz w:val="32"/>
          <w:szCs w:val="32"/>
          <w:highlight w:val="none"/>
          <w:lang w:val="en-US" w:eastAsia="zh-CN"/>
          <w14:textFill>
            <w14:solidFill>
              <w14:schemeClr w14:val="tx1"/>
            </w14:solidFill>
          </w14:textFill>
        </w:rPr>
        <w:t>万元，实际支出总额6019.29万元，其中基本支出1590.09万元，项目支出4600.20万元。</w:t>
      </w:r>
    </w:p>
    <w:p w14:paraId="68FDE249">
      <w:pPr>
        <w:pStyle w:val="2"/>
        <w:numPr>
          <w:ilvl w:val="0"/>
          <w:numId w:val="6"/>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年度总体目标</w:t>
      </w:r>
    </w:p>
    <w:p w14:paraId="3DA381D0">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eastAsia="仿宋" w:cs="仿宋"/>
          <w:b w:val="0"/>
          <w:bCs/>
          <w:sz w:val="32"/>
          <w:szCs w:val="32"/>
          <w:lang w:val="en-US" w:eastAsia="zh-CN"/>
        </w:rPr>
        <w:t>1、</w:t>
      </w:r>
      <w:r>
        <w:rPr>
          <w:rFonts w:hint="eastAsia" w:ascii="仿宋" w:hAnsi="仿宋" w:eastAsia="仿宋" w:cs="仿宋"/>
          <w:b w:val="0"/>
          <w:bCs/>
          <w:sz w:val="32"/>
          <w:szCs w:val="32"/>
          <w:lang w:val="en-US" w:eastAsia="zh-CN"/>
        </w:rPr>
        <w:t>着力完善住房保障体系，加强保障性住房监管，开展房地产开发服务；</w:t>
      </w:r>
    </w:p>
    <w:p w14:paraId="2E44E90A">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eastAsia="仿宋" w:cs="仿宋"/>
          <w:b w:val="0"/>
          <w:bCs w:val="0"/>
          <w:sz w:val="32"/>
          <w:szCs w:val="32"/>
          <w:lang w:val="en-US" w:eastAsia="zh-CN" w:bidi="ar-SA"/>
        </w:rPr>
        <w:t>2、</w:t>
      </w:r>
      <w:r>
        <w:rPr>
          <w:rFonts w:hint="eastAsia" w:ascii="仿宋" w:hAnsi="仿宋" w:eastAsia="仿宋" w:cs="仿宋"/>
          <w:b w:val="0"/>
          <w:bCs w:val="0"/>
          <w:sz w:val="32"/>
          <w:szCs w:val="32"/>
          <w:lang w:val="en-US" w:eastAsia="zh-CN" w:bidi="ar-SA"/>
        </w:rPr>
        <w:t>有序推进城市更新，以城镇老旧小区改造为重点，持续推动城市内涵式发展；</w:t>
      </w:r>
    </w:p>
    <w:p w14:paraId="62A071C4">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eastAsia="仿宋" w:cs="仿宋"/>
          <w:b w:val="0"/>
          <w:bCs w:val="0"/>
          <w:sz w:val="32"/>
          <w:szCs w:val="32"/>
          <w:lang w:val="en-US" w:eastAsia="zh-CN"/>
        </w:rPr>
        <w:t>3、</w:t>
      </w:r>
      <w:r>
        <w:rPr>
          <w:rFonts w:hint="eastAsia" w:ascii="仿宋" w:hAnsi="仿宋" w:eastAsia="仿宋" w:cs="仿宋"/>
          <w:b w:val="0"/>
          <w:bCs w:val="0"/>
          <w:sz w:val="32"/>
          <w:szCs w:val="32"/>
          <w:lang w:val="en-US" w:eastAsia="zh-CN"/>
        </w:rPr>
        <w:t>健全物业管理制度体系，净化行业生态，促进物业维修资金缴存更便捷、管理更精细。</w:t>
      </w:r>
    </w:p>
    <w:p w14:paraId="3E99C57A">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eastAsia="仿宋" w:cs="仿宋"/>
          <w:b w:val="0"/>
          <w:bCs w:val="0"/>
          <w:sz w:val="32"/>
          <w:szCs w:val="32"/>
          <w:lang w:val="en-US" w:eastAsia="zh-CN"/>
        </w:rPr>
        <w:t>4、</w:t>
      </w:r>
      <w:r>
        <w:rPr>
          <w:rFonts w:hint="eastAsia" w:ascii="仿宋" w:hAnsi="仿宋" w:eastAsia="仿宋" w:cs="仿宋"/>
          <w:b w:val="0"/>
          <w:bCs w:val="0"/>
          <w:sz w:val="32"/>
          <w:szCs w:val="32"/>
          <w:lang w:val="en-US" w:eastAsia="zh-CN"/>
        </w:rPr>
        <w:t>继续推动白蚁防治全覆盖；</w:t>
      </w:r>
    </w:p>
    <w:p w14:paraId="3EDB7A0F">
      <w:pPr>
        <w:keepNext w:val="0"/>
        <w:keepLines w:val="0"/>
        <w:pageBreakBefore w:val="0"/>
        <w:widowControl/>
        <w:numPr>
          <w:ilvl w:val="0"/>
          <w:numId w:val="6"/>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000000" w:themeColor="text1"/>
          <w:kern w:val="0"/>
          <w:sz w:val="32"/>
          <w:szCs w:val="32"/>
          <w:lang w:val="en-US" w:eastAsia="zh-CN" w:bidi="ar"/>
          <w14:textFill>
            <w14:solidFill>
              <w14:schemeClr w14:val="tx1"/>
            </w14:solidFill>
          </w14:textFill>
        </w:rPr>
      </w:pPr>
      <w:r>
        <w:rPr>
          <w:rFonts w:hint="eastAsia" w:ascii="仿宋" w:hAnsi="仿宋" w:eastAsia="仿宋" w:cs="仿宋"/>
          <w:color w:val="000000" w:themeColor="text1"/>
          <w:kern w:val="0"/>
          <w:sz w:val="32"/>
          <w:szCs w:val="32"/>
          <w:lang w:val="en-US" w:eastAsia="zh-CN" w:bidi="ar"/>
          <w14:textFill>
            <w14:solidFill>
              <w14:schemeClr w14:val="tx1"/>
            </w14:solidFill>
          </w14:textFill>
        </w:rPr>
        <w:t>、目标完成情况</w:t>
      </w:r>
    </w:p>
    <w:p w14:paraId="33D9E5A7">
      <w:pPr>
        <w:keepNext w:val="0"/>
        <w:keepLines w:val="0"/>
        <w:pageBreakBefore w:val="0"/>
        <w:wordWrap/>
        <w:overflowPunct/>
        <w:topLinePunct w:val="0"/>
        <w:bidi w:val="0"/>
        <w:spacing w:line="576"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color w:val="000000" w:themeColor="text1"/>
          <w:sz w:val="32"/>
          <w:szCs w:val="32"/>
          <w:highlight w:val="none"/>
          <w14:textFill>
            <w14:solidFill>
              <w14:schemeClr w14:val="tx1"/>
            </w14:solidFill>
          </w14:textFill>
        </w:rPr>
        <w:t>202</w:t>
      </w:r>
      <w:r>
        <w:rPr>
          <w:rFonts w:hint="eastAsia" w:ascii="仿宋" w:hAnsi="仿宋" w:eastAsia="仿宋" w:cs="仿宋"/>
          <w:color w:val="000000" w:themeColor="text1"/>
          <w:sz w:val="32"/>
          <w:szCs w:val="32"/>
          <w:highlight w:val="none"/>
          <w:lang w:val="en-US" w:eastAsia="zh-CN"/>
          <w14:textFill>
            <w14:solidFill>
              <w14:schemeClr w14:val="tx1"/>
            </w14:solidFill>
          </w14:textFill>
        </w:rPr>
        <w:t>5</w:t>
      </w:r>
      <w:r>
        <w:rPr>
          <w:rFonts w:hint="eastAsia" w:ascii="仿宋" w:hAnsi="仿宋" w:eastAsia="仿宋" w:cs="仿宋"/>
          <w:color w:val="000000" w:themeColor="text1"/>
          <w:sz w:val="32"/>
          <w:szCs w:val="32"/>
          <w:highlight w:val="none"/>
          <w14:textFill>
            <w14:solidFill>
              <w14:schemeClr w14:val="tx1"/>
            </w14:solidFill>
          </w14:textFill>
        </w:rPr>
        <w:t>年，</w:t>
      </w:r>
      <w:r>
        <w:rPr>
          <w:rFonts w:hint="eastAsia" w:ascii="仿宋" w:hAnsi="仿宋" w:eastAsia="仿宋" w:cs="仿宋"/>
          <w:color w:val="000000" w:themeColor="text1"/>
          <w:sz w:val="32"/>
          <w:szCs w:val="32"/>
          <w:highlight w:val="none"/>
          <w:lang w:val="en-US" w:eastAsia="zh-CN"/>
          <w14:textFill>
            <w14:solidFill>
              <w14:schemeClr w14:val="tx1"/>
            </w14:solidFill>
          </w14:textFill>
        </w:rPr>
        <w:t>住保</w:t>
      </w:r>
      <w:r>
        <w:rPr>
          <w:rFonts w:hint="eastAsia" w:ascii="仿宋" w:hAnsi="仿宋" w:eastAsia="仿宋" w:cs="仿宋"/>
          <w:sz w:val="32"/>
          <w:szCs w:val="32"/>
        </w:rPr>
        <w:t>中心</w:t>
      </w:r>
      <w:r>
        <w:rPr>
          <w:rFonts w:hint="eastAsia" w:ascii="仿宋" w:hAnsi="仿宋" w:eastAsia="仿宋" w:cs="仿宋"/>
          <w:sz w:val="32"/>
          <w:szCs w:val="32"/>
          <w:lang w:val="en-US" w:eastAsia="zh-CN"/>
        </w:rPr>
        <w:t>紧紧围绕市住建局中心工作</w:t>
      </w:r>
      <w:r>
        <w:rPr>
          <w:rFonts w:hint="eastAsia" w:ascii="仿宋" w:hAnsi="仿宋" w:eastAsia="仿宋" w:cs="仿宋"/>
          <w:sz w:val="32"/>
          <w:szCs w:val="32"/>
        </w:rPr>
        <w:t>，</w:t>
      </w:r>
      <w:r>
        <w:rPr>
          <w:rFonts w:hint="eastAsia" w:ascii="仿宋" w:hAnsi="仿宋" w:eastAsia="仿宋" w:cs="仿宋"/>
          <w:sz w:val="32"/>
          <w:szCs w:val="32"/>
          <w:lang w:val="en-US" w:eastAsia="zh-CN"/>
        </w:rPr>
        <w:t>紧扣住房保障系统工作主线，</w:t>
      </w:r>
      <w:r>
        <w:rPr>
          <w:rFonts w:hint="eastAsia" w:ascii="仿宋" w:hAnsi="仿宋" w:eastAsia="仿宋" w:cs="仿宋"/>
          <w:sz w:val="32"/>
          <w:szCs w:val="32"/>
        </w:rPr>
        <w:t>在保障</w:t>
      </w:r>
      <w:r>
        <w:rPr>
          <w:rFonts w:hint="eastAsia" w:ascii="仿宋" w:hAnsi="仿宋" w:eastAsia="仿宋" w:cs="仿宋"/>
          <w:sz w:val="32"/>
          <w:szCs w:val="32"/>
          <w:lang w:val="en-US" w:eastAsia="zh-CN"/>
        </w:rPr>
        <w:t>性住房</w:t>
      </w:r>
      <w:r>
        <w:rPr>
          <w:rFonts w:hint="eastAsia" w:ascii="仿宋" w:hAnsi="仿宋" w:eastAsia="仿宋" w:cs="仿宋"/>
          <w:sz w:val="32"/>
          <w:szCs w:val="32"/>
        </w:rPr>
        <w:t>建设及</w:t>
      </w:r>
      <w:r>
        <w:rPr>
          <w:rFonts w:hint="eastAsia" w:ascii="仿宋" w:hAnsi="仿宋" w:eastAsia="仿宋" w:cs="仿宋"/>
          <w:sz w:val="32"/>
          <w:szCs w:val="32"/>
          <w:lang w:val="en-US" w:eastAsia="zh-CN"/>
        </w:rPr>
        <w:t>管理</w:t>
      </w:r>
      <w:r>
        <w:rPr>
          <w:rFonts w:hint="eastAsia" w:ascii="仿宋" w:hAnsi="仿宋" w:eastAsia="仿宋" w:cs="仿宋"/>
          <w:sz w:val="32"/>
          <w:szCs w:val="32"/>
        </w:rPr>
        <w:t>、</w:t>
      </w:r>
      <w:r>
        <w:rPr>
          <w:rFonts w:hint="eastAsia" w:ascii="仿宋" w:hAnsi="仿宋" w:eastAsia="仿宋" w:cs="仿宋"/>
          <w:sz w:val="32"/>
          <w:szCs w:val="32"/>
          <w:lang w:val="en-US" w:eastAsia="zh-CN"/>
        </w:rPr>
        <w:t>城镇</w:t>
      </w:r>
      <w:r>
        <w:rPr>
          <w:rFonts w:hint="eastAsia" w:ascii="仿宋" w:hAnsi="仿宋" w:eastAsia="仿宋" w:cs="仿宋"/>
          <w:sz w:val="32"/>
          <w:szCs w:val="32"/>
        </w:rPr>
        <w:t>老旧小区改造、城市更新</w:t>
      </w:r>
      <w:r>
        <w:rPr>
          <w:rFonts w:hint="eastAsia" w:ascii="仿宋" w:hAnsi="仿宋" w:eastAsia="仿宋" w:cs="仿宋"/>
          <w:sz w:val="32"/>
          <w:szCs w:val="32"/>
          <w:lang w:val="en-US" w:eastAsia="zh-CN"/>
        </w:rPr>
        <w:t>发展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物业管理与维修资金监管、白蚁防治</w:t>
      </w:r>
      <w:r>
        <w:rPr>
          <w:rFonts w:hint="eastAsia" w:ascii="仿宋" w:hAnsi="仿宋" w:eastAsia="仿宋" w:cs="仿宋"/>
          <w:sz w:val="32"/>
          <w:szCs w:val="32"/>
        </w:rPr>
        <w:t>等重点</w:t>
      </w:r>
      <w:r>
        <w:rPr>
          <w:rFonts w:hint="eastAsia" w:ascii="仿宋" w:hAnsi="仿宋" w:eastAsia="仿宋" w:cs="仿宋"/>
          <w:sz w:val="32"/>
          <w:szCs w:val="32"/>
          <w:lang w:val="en-US" w:eastAsia="zh-CN"/>
        </w:rPr>
        <w:t>工作</w:t>
      </w:r>
      <w:r>
        <w:rPr>
          <w:rFonts w:hint="eastAsia" w:ascii="仿宋" w:hAnsi="仿宋" w:eastAsia="仿宋" w:cs="仿宋"/>
          <w:sz w:val="32"/>
          <w:szCs w:val="32"/>
        </w:rPr>
        <w:t>上</w:t>
      </w:r>
      <w:r>
        <w:rPr>
          <w:rFonts w:hint="eastAsia" w:ascii="仿宋" w:hAnsi="仿宋" w:eastAsia="仿宋" w:cs="仿宋"/>
          <w:sz w:val="32"/>
          <w:szCs w:val="32"/>
          <w:lang w:val="en-US" w:eastAsia="zh-CN"/>
        </w:rPr>
        <w:t>团结一心，忠诚履职</w:t>
      </w:r>
      <w:r>
        <w:rPr>
          <w:rFonts w:hint="eastAsia" w:ascii="仿宋" w:hAnsi="仿宋" w:eastAsia="仿宋" w:cs="仿宋"/>
          <w:sz w:val="32"/>
          <w:szCs w:val="32"/>
        </w:rPr>
        <w:t>，</w:t>
      </w:r>
      <w:r>
        <w:rPr>
          <w:rFonts w:hint="eastAsia" w:ascii="仿宋" w:hAnsi="仿宋" w:eastAsia="仿宋" w:cs="仿宋"/>
          <w:sz w:val="32"/>
          <w:szCs w:val="32"/>
          <w:lang w:val="en-US" w:eastAsia="zh-CN"/>
        </w:rPr>
        <w:t>圆满完成了全年目标。</w:t>
      </w:r>
    </w:p>
    <w:p w14:paraId="1713C6EC">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420" w:firstLineChars="0"/>
        <w:jc w:val="both"/>
        <w:textAlignment w:val="auto"/>
        <w:rPr>
          <w:rFonts w:hint="eastAsia" w:ascii="仿宋" w:hAnsi="仿宋" w:eastAsia="仿宋" w:cs="仿宋"/>
          <w:sz w:val="32"/>
          <w:szCs w:val="32"/>
          <w:lang w:bidi="zh-TW"/>
        </w:rPr>
      </w:pPr>
      <w:r>
        <w:rPr>
          <w:rFonts w:hint="eastAsia" w:ascii="仿宋" w:hAnsi="仿宋" w:eastAsia="仿宋" w:cs="仿宋"/>
          <w:b w:val="0"/>
          <w:bCs/>
          <w:sz w:val="32"/>
          <w:szCs w:val="32"/>
          <w:lang w:val="en-US" w:eastAsia="zh-CN"/>
        </w:rPr>
        <w:t>着力完善住房保障体系，加强保障性住房监管，开展房地产开发服务。</w:t>
      </w:r>
      <w:r>
        <w:rPr>
          <w:rFonts w:hint="eastAsia" w:ascii="仿宋" w:hAnsi="仿宋" w:eastAsia="仿宋" w:cs="仿宋"/>
          <w:sz w:val="32"/>
          <w:szCs w:val="32"/>
          <w:lang w:val="en-US" w:eastAsia="zh-CN"/>
        </w:rPr>
        <w:t>出台了《岳阳市收购存量商品房用作保障性住房工作方案》，推进收购存量房去库存化；启动了配售型保障对象轮候库建设，向社会发布了需求征集公告，完成配售型保障性住房申报资格审核51户；收购恒大保交房养生谷等旗下商品房129套用作保障性住房</w:t>
      </w:r>
      <w:r>
        <w:rPr>
          <w:rFonts w:hint="eastAsia" w:eastAsia="仿宋" w:cs="仿宋"/>
          <w:sz w:val="32"/>
          <w:szCs w:val="32"/>
          <w:lang w:val="en-US" w:eastAsia="zh-CN"/>
        </w:rPr>
        <w:t>，已签订收购框架协议并支付绝大部分房款，待专业机构评审确定最终收购价后支付尾款</w:t>
      </w:r>
      <w:r>
        <w:rPr>
          <w:rFonts w:hint="eastAsia" w:ascii="仿宋" w:hAnsi="仿宋" w:eastAsia="仿宋" w:cs="仿宋"/>
          <w:sz w:val="32"/>
          <w:szCs w:val="32"/>
          <w:lang w:val="en-US" w:eastAsia="zh-CN"/>
        </w:rPr>
        <w:t>。督导湖南华琨公司2024年申报的600套保障性租赁住房项目建设，</w:t>
      </w:r>
      <w:r>
        <w:rPr>
          <w:rFonts w:hint="eastAsia" w:eastAsia="仿宋" w:cs="仿宋"/>
          <w:sz w:val="32"/>
          <w:szCs w:val="32"/>
          <w:lang w:val="en-US" w:eastAsia="zh-CN"/>
        </w:rPr>
        <w:t>续建317套；完成新港区历年建设的12686套公租房、1475套保障性租赁房信息贯标。</w:t>
      </w:r>
      <w:r>
        <w:rPr>
          <w:rFonts w:hint="eastAsia" w:ascii="仿宋" w:hAnsi="仿宋" w:eastAsia="仿宋" w:cs="仿宋"/>
          <w:sz w:val="32"/>
          <w:szCs w:val="32"/>
          <w:lang w:val="en-US" w:eastAsia="zh-CN"/>
        </w:rPr>
        <w:t>认真开展“三湘安居”专项整治行动，出台了《城陵矶新港区“三湘安居”专项行动方案》</w:t>
      </w:r>
      <w:r>
        <w:rPr>
          <w:rFonts w:hint="eastAsia" w:eastAsia="仿宋" w:cs="仿宋"/>
          <w:sz w:val="32"/>
          <w:szCs w:val="32"/>
          <w:lang w:val="en-US" w:eastAsia="zh-CN"/>
        </w:rPr>
        <w:t>，查出2个棚改问题并完成整改</w:t>
      </w:r>
      <w:r>
        <w:rPr>
          <w:rFonts w:hint="eastAsia" w:ascii="仿宋" w:hAnsi="仿宋" w:eastAsia="仿宋" w:cs="仿宋"/>
          <w:sz w:val="32"/>
          <w:szCs w:val="32"/>
          <w:lang w:val="en-US" w:eastAsia="zh-CN"/>
        </w:rPr>
        <w:t>。</w:t>
      </w:r>
      <w:r>
        <w:rPr>
          <w:rFonts w:hint="eastAsia" w:ascii="仿宋" w:hAnsi="仿宋" w:eastAsia="仿宋" w:cs="仿宋"/>
          <w:b w:val="0"/>
          <w:bCs w:val="0"/>
          <w:sz w:val="32"/>
          <w:szCs w:val="32"/>
          <w:lang w:val="en-US" w:eastAsia="zh-CN"/>
        </w:rPr>
        <w:t>加强房地产预售监管，</w:t>
      </w:r>
      <w:r>
        <w:rPr>
          <w:rFonts w:hint="eastAsia" w:ascii="仿宋" w:hAnsi="仿宋" w:eastAsia="仿宋" w:cs="仿宋"/>
          <w:sz w:val="32"/>
          <w:szCs w:val="32"/>
          <w:lang w:val="en-US" w:eastAsia="zh-CN"/>
        </w:rPr>
        <w:t>协征房地产行业税收</w:t>
      </w:r>
      <w:r>
        <w:rPr>
          <w:rFonts w:hint="eastAsia" w:eastAsia="仿宋" w:cs="仿宋"/>
          <w:sz w:val="32"/>
          <w:szCs w:val="32"/>
          <w:lang w:val="en-US" w:eastAsia="zh-CN"/>
        </w:rPr>
        <w:t>6000</w:t>
      </w:r>
      <w:r>
        <w:rPr>
          <w:rFonts w:hint="eastAsia" w:ascii="仿宋" w:hAnsi="仿宋" w:eastAsia="仿宋" w:cs="仿宋"/>
          <w:sz w:val="32"/>
          <w:szCs w:val="32"/>
          <w:lang w:val="en-US" w:eastAsia="zh-CN"/>
        </w:rPr>
        <w:t>万元。</w:t>
      </w:r>
      <w:r>
        <w:rPr>
          <w:rFonts w:hint="eastAsia" w:eastAsia="仿宋" w:cs="仿宋"/>
          <w:sz w:val="32"/>
          <w:szCs w:val="32"/>
          <w:lang w:val="en-US" w:eastAsia="zh-CN"/>
        </w:rPr>
        <w:t>扎实做好</w:t>
      </w:r>
      <w:r>
        <w:rPr>
          <w:rFonts w:hint="eastAsia" w:ascii="仿宋" w:hAnsi="仿宋" w:eastAsia="仿宋" w:cs="仿宋"/>
          <w:sz w:val="32"/>
          <w:szCs w:val="32"/>
          <w:lang w:val="en-US" w:eastAsia="zh-CN"/>
        </w:rPr>
        <w:t>市本级公租房</w:t>
      </w:r>
      <w:r>
        <w:rPr>
          <w:rFonts w:hint="eastAsia" w:ascii="仿宋" w:hAnsi="仿宋" w:eastAsia="仿宋" w:cs="仿宋"/>
          <w:sz w:val="32"/>
          <w:szCs w:val="32"/>
        </w:rPr>
        <w:t>小区</w:t>
      </w:r>
      <w:r>
        <w:rPr>
          <w:rFonts w:hint="eastAsia" w:eastAsia="仿宋" w:cs="仿宋"/>
          <w:sz w:val="32"/>
          <w:szCs w:val="32"/>
          <w:lang w:val="en-US" w:eastAsia="zh-CN"/>
        </w:rPr>
        <w:t>东井嘉园的运营管理，</w:t>
      </w:r>
      <w:r>
        <w:rPr>
          <w:rFonts w:hint="eastAsia" w:ascii="仿宋" w:hAnsi="仿宋" w:eastAsia="仿宋" w:cs="仿宋"/>
          <w:sz w:val="32"/>
          <w:szCs w:val="32"/>
        </w:rPr>
        <w:t>收缴</w:t>
      </w:r>
      <w:r>
        <w:rPr>
          <w:rFonts w:hint="eastAsia" w:eastAsia="仿宋" w:cs="仿宋"/>
          <w:sz w:val="32"/>
          <w:szCs w:val="32"/>
          <w:lang w:val="en-US" w:eastAsia="zh-CN"/>
        </w:rPr>
        <w:t>租金</w:t>
      </w:r>
      <w:r>
        <w:rPr>
          <w:rFonts w:hint="eastAsia" w:ascii="仿宋" w:hAnsi="仿宋" w:eastAsia="仿宋" w:cs="仿宋"/>
          <w:sz w:val="32"/>
          <w:szCs w:val="32"/>
          <w:lang w:val="en-US" w:eastAsia="zh-CN"/>
        </w:rPr>
        <w:t>1</w:t>
      </w:r>
      <w:r>
        <w:rPr>
          <w:rFonts w:hint="eastAsia" w:eastAsia="仿宋" w:cs="仿宋"/>
          <w:sz w:val="32"/>
          <w:szCs w:val="32"/>
          <w:lang w:val="en-US" w:eastAsia="zh-CN"/>
        </w:rPr>
        <w:t>02.73</w:t>
      </w:r>
      <w:r>
        <w:rPr>
          <w:rFonts w:hint="eastAsia" w:ascii="仿宋" w:hAnsi="仿宋" w:eastAsia="仿宋" w:cs="仿宋"/>
          <w:sz w:val="32"/>
          <w:szCs w:val="32"/>
        </w:rPr>
        <w:t>万元，</w:t>
      </w:r>
      <w:r>
        <w:rPr>
          <w:rFonts w:hint="eastAsia" w:eastAsia="仿宋" w:cs="仿宋"/>
          <w:sz w:val="32"/>
          <w:szCs w:val="32"/>
          <w:lang w:val="en-US" w:eastAsia="zh-CN"/>
        </w:rPr>
        <w:t>开展城市爱卫行动，处理维修65起，处理信访投诉8件，完成住户资格年审，</w:t>
      </w:r>
      <w:r>
        <w:rPr>
          <w:rFonts w:hint="eastAsia" w:ascii="仿宋" w:hAnsi="仿宋" w:eastAsia="仿宋" w:cs="仿宋"/>
          <w:sz w:val="32"/>
          <w:szCs w:val="32"/>
          <w:lang w:val="en-US" w:eastAsia="zh-CN"/>
        </w:rPr>
        <w:t>清退不符合条件的承租户9户</w:t>
      </w:r>
      <w:r>
        <w:rPr>
          <w:rFonts w:hint="eastAsia" w:eastAsia="仿宋" w:cs="仿宋"/>
          <w:sz w:val="32"/>
          <w:szCs w:val="32"/>
          <w:lang w:val="en-US" w:eastAsia="zh-CN"/>
        </w:rPr>
        <w:t>。</w:t>
      </w:r>
      <w:r>
        <w:rPr>
          <w:rFonts w:hint="eastAsia" w:ascii="仿宋" w:hAnsi="仿宋" w:eastAsia="仿宋" w:cs="仿宋"/>
          <w:sz w:val="32"/>
          <w:szCs w:val="32"/>
          <w:lang w:val="en-US" w:eastAsia="zh-CN"/>
        </w:rPr>
        <w:t>办理经济适用房上市交易72户，补缴土地收益金256.9万；发放职工个人住房补贴654万</w:t>
      </w:r>
      <w:r>
        <w:rPr>
          <w:rFonts w:hint="eastAsia" w:eastAsia="仿宋" w:cs="仿宋"/>
          <w:sz w:val="32"/>
          <w:szCs w:val="32"/>
          <w:lang w:val="en-US" w:eastAsia="zh-CN"/>
        </w:rPr>
        <w:t>，受托管理的</w:t>
      </w:r>
      <w:r>
        <w:rPr>
          <w:rFonts w:hint="eastAsia" w:ascii="仿宋" w:hAnsi="仿宋" w:eastAsia="仿宋" w:cs="仿宋"/>
          <w:sz w:val="32"/>
          <w:szCs w:val="32"/>
          <w:lang w:val="en-US" w:eastAsia="zh-CN"/>
        </w:rPr>
        <w:t>人才公寓有序移交原产权单位</w:t>
      </w:r>
      <w:r>
        <w:rPr>
          <w:rFonts w:hint="eastAsia" w:eastAsia="仿宋" w:cs="仿宋"/>
          <w:sz w:val="32"/>
          <w:szCs w:val="32"/>
          <w:lang w:val="en-US" w:eastAsia="zh-CN"/>
        </w:rPr>
        <w:t>。</w:t>
      </w:r>
    </w:p>
    <w:p w14:paraId="1ABD4D8D">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420" w:firstLineChars="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bidi="zh-TW"/>
        </w:rPr>
        <w:t>以城镇老旧小区改造为重点，有序推进城市更新。</w:t>
      </w:r>
      <w:r>
        <w:rPr>
          <w:rFonts w:hint="eastAsia" w:ascii="仿宋" w:hAnsi="仿宋" w:eastAsia="仿宋" w:cs="仿宋"/>
          <w:color w:val="auto"/>
          <w:sz w:val="32"/>
          <w:szCs w:val="32"/>
        </w:rPr>
        <w:t>全市城镇老旧小区项目改造</w:t>
      </w:r>
      <w:r>
        <w:rPr>
          <w:rFonts w:hint="eastAsia" w:ascii="仿宋" w:hAnsi="仿宋" w:eastAsia="仿宋" w:cs="仿宋"/>
          <w:color w:val="auto"/>
          <w:sz w:val="32"/>
          <w:szCs w:val="32"/>
          <w:lang w:val="en-US" w:eastAsia="zh-CN"/>
        </w:rPr>
        <w:t>计划</w:t>
      </w:r>
      <w:r>
        <w:rPr>
          <w:rFonts w:hint="eastAsia" w:ascii="仿宋" w:hAnsi="仿宋" w:eastAsia="仿宋" w:cs="仿宋"/>
          <w:color w:val="auto"/>
          <w:sz w:val="32"/>
          <w:szCs w:val="32"/>
        </w:rPr>
        <w:t>211个小区</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已开工建设</w:t>
      </w:r>
      <w:r>
        <w:rPr>
          <w:rFonts w:hint="eastAsia" w:ascii="仿宋" w:hAnsi="仿宋" w:eastAsia="仿宋" w:cs="仿宋"/>
          <w:color w:val="auto"/>
          <w:sz w:val="32"/>
          <w:szCs w:val="32"/>
          <w:lang w:val="en-US" w:eastAsia="zh-CN"/>
        </w:rPr>
        <w:t>211</w:t>
      </w:r>
      <w:r>
        <w:rPr>
          <w:rFonts w:hint="eastAsia" w:ascii="仿宋" w:hAnsi="仿宋" w:eastAsia="仿宋" w:cs="仿宋"/>
          <w:color w:val="auto"/>
          <w:sz w:val="32"/>
          <w:szCs w:val="32"/>
        </w:rPr>
        <w:t>个，</w:t>
      </w:r>
      <w:r>
        <w:rPr>
          <w:rFonts w:hint="eastAsia" w:ascii="仿宋" w:hAnsi="仿宋" w:eastAsia="仿宋" w:cs="仿宋"/>
          <w:color w:val="auto"/>
          <w:sz w:val="32"/>
          <w:szCs w:val="32"/>
          <w:lang w:val="en-US" w:eastAsia="zh-CN"/>
        </w:rPr>
        <w:t>开工率100%，</w:t>
      </w:r>
      <w:r>
        <w:rPr>
          <w:rFonts w:hint="eastAsia" w:ascii="仿宋" w:hAnsi="仿宋" w:eastAsia="仿宋" w:cs="仿宋"/>
          <w:color w:val="auto"/>
          <w:sz w:val="32"/>
          <w:szCs w:val="32"/>
        </w:rPr>
        <w:t>累计完成投资额</w:t>
      </w:r>
      <w:r>
        <w:rPr>
          <w:rFonts w:hint="eastAsia" w:ascii="仿宋" w:hAnsi="仿宋" w:eastAsia="仿宋" w:cs="仿宋"/>
          <w:color w:val="auto"/>
          <w:sz w:val="32"/>
          <w:szCs w:val="32"/>
          <w:lang w:val="en-US" w:eastAsia="zh-CN"/>
        </w:rPr>
        <w:t>14847.31</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全市城镇老旧小区民生实事项目改造</w:t>
      </w:r>
      <w:r>
        <w:rPr>
          <w:rFonts w:hint="eastAsia" w:ascii="仿宋" w:hAnsi="仿宋" w:eastAsia="仿宋" w:cs="仿宋"/>
          <w:color w:val="auto"/>
          <w:sz w:val="32"/>
          <w:szCs w:val="32"/>
          <w:lang w:val="en-US" w:eastAsia="zh-CN"/>
        </w:rPr>
        <w:t>计划</w:t>
      </w:r>
      <w:r>
        <w:rPr>
          <w:rFonts w:hint="eastAsia" w:ascii="仿宋" w:hAnsi="仿宋" w:eastAsia="仿宋" w:cs="仿宋"/>
          <w:color w:val="auto"/>
          <w:sz w:val="32"/>
          <w:szCs w:val="32"/>
        </w:rPr>
        <w:t>217个小区</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已</w:t>
      </w:r>
      <w:r>
        <w:rPr>
          <w:rFonts w:hint="eastAsia" w:ascii="仿宋" w:hAnsi="仿宋" w:eastAsia="仿宋" w:cs="仿宋"/>
          <w:color w:val="auto"/>
          <w:sz w:val="32"/>
          <w:szCs w:val="32"/>
        </w:rPr>
        <w:t>开工建设</w:t>
      </w:r>
      <w:r>
        <w:rPr>
          <w:rFonts w:hint="eastAsia" w:ascii="仿宋" w:hAnsi="仿宋" w:eastAsia="仿宋" w:cs="仿宋"/>
          <w:color w:val="auto"/>
          <w:sz w:val="32"/>
          <w:szCs w:val="32"/>
          <w:lang w:val="en-US" w:eastAsia="zh-CN"/>
        </w:rPr>
        <w:t>217</w:t>
      </w:r>
      <w:r>
        <w:rPr>
          <w:rFonts w:hint="eastAsia" w:ascii="仿宋" w:hAnsi="仿宋" w:eastAsia="仿宋" w:cs="仿宋"/>
          <w:color w:val="auto"/>
          <w:sz w:val="32"/>
          <w:szCs w:val="32"/>
        </w:rPr>
        <w:t>个，</w:t>
      </w:r>
      <w:r>
        <w:rPr>
          <w:rFonts w:hint="eastAsia" w:ascii="仿宋" w:hAnsi="仿宋" w:eastAsia="仿宋" w:cs="仿宋"/>
          <w:color w:val="auto"/>
          <w:sz w:val="32"/>
          <w:szCs w:val="32"/>
          <w:lang w:val="en-US" w:eastAsia="zh-CN"/>
        </w:rPr>
        <w:t>开工率100%，完工158个小区，完工率达72.81%，</w:t>
      </w:r>
      <w:r>
        <w:rPr>
          <w:rFonts w:hint="eastAsia" w:ascii="仿宋" w:hAnsi="仿宋" w:eastAsia="仿宋" w:cs="仿宋"/>
          <w:color w:val="auto"/>
          <w:sz w:val="32"/>
          <w:szCs w:val="32"/>
        </w:rPr>
        <w:t>累计完成投资额</w:t>
      </w:r>
      <w:r>
        <w:rPr>
          <w:rFonts w:hint="eastAsia" w:ascii="仿宋" w:hAnsi="仿宋" w:eastAsia="仿宋" w:cs="仿宋"/>
          <w:color w:val="auto"/>
          <w:sz w:val="32"/>
          <w:szCs w:val="32"/>
          <w:lang w:val="en-US" w:eastAsia="zh-CN"/>
        </w:rPr>
        <w:t>40827.94</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同时，结合全市城镇老旧小区改造</w:t>
      </w:r>
      <w:r>
        <w:rPr>
          <w:rFonts w:hint="eastAsia" w:ascii="仿宋" w:hAnsi="仿宋" w:eastAsia="仿宋" w:cs="仿宋"/>
          <w:color w:val="auto"/>
          <w:sz w:val="32"/>
          <w:szCs w:val="32"/>
          <w:lang w:eastAsia="zh-CN"/>
        </w:rPr>
        <w:t>，</w:t>
      </w:r>
      <w:r>
        <w:rPr>
          <w:rFonts w:hint="eastAsia" w:eastAsia="仿宋" w:cs="仿宋"/>
          <w:color w:val="auto"/>
          <w:sz w:val="32"/>
          <w:szCs w:val="32"/>
          <w:lang w:val="en-US" w:eastAsia="zh-CN"/>
        </w:rPr>
        <w:t>计划</w:t>
      </w:r>
      <w:r>
        <w:rPr>
          <w:rFonts w:hint="eastAsia" w:ascii="仿宋" w:hAnsi="仿宋" w:eastAsia="仿宋" w:cs="仿宋"/>
          <w:color w:val="auto"/>
          <w:sz w:val="32"/>
          <w:szCs w:val="32"/>
        </w:rPr>
        <w:t>建设电动自行车、电动摩托车充电端口2500个</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实际</w:t>
      </w:r>
      <w:r>
        <w:rPr>
          <w:rFonts w:hint="eastAsia" w:ascii="仿宋" w:hAnsi="仿宋" w:eastAsia="仿宋" w:cs="仿宋"/>
          <w:color w:val="auto"/>
          <w:sz w:val="32"/>
          <w:szCs w:val="32"/>
        </w:rPr>
        <w:t>已建</w:t>
      </w:r>
      <w:r>
        <w:rPr>
          <w:rFonts w:hint="eastAsia" w:ascii="仿宋" w:hAnsi="仿宋" w:eastAsia="仿宋" w:cs="仿宋"/>
          <w:color w:val="auto"/>
          <w:sz w:val="32"/>
          <w:szCs w:val="32"/>
          <w:lang w:val="en-US" w:eastAsia="zh-CN"/>
        </w:rPr>
        <w:t>成2801</w:t>
      </w:r>
      <w:r>
        <w:rPr>
          <w:rFonts w:hint="eastAsia" w:ascii="仿宋" w:hAnsi="仿宋" w:eastAsia="仿宋" w:cs="仿宋"/>
          <w:color w:val="auto"/>
          <w:sz w:val="32"/>
          <w:szCs w:val="32"/>
        </w:rPr>
        <w:t>个</w:t>
      </w:r>
      <w:r>
        <w:rPr>
          <w:rFonts w:hint="eastAsia" w:ascii="仿宋" w:hAnsi="仿宋" w:eastAsia="仿宋" w:cs="仿宋"/>
          <w:color w:val="auto"/>
          <w:sz w:val="32"/>
          <w:szCs w:val="32"/>
          <w:lang w:eastAsia="zh-CN"/>
        </w:rPr>
        <w:t>。</w:t>
      </w:r>
      <w:r>
        <w:rPr>
          <w:rFonts w:hint="eastAsia" w:ascii="仿宋" w:hAnsi="仿宋" w:eastAsia="仿宋" w:cs="仿宋"/>
          <w:sz w:val="32"/>
          <w:szCs w:val="32"/>
          <w:highlight w:val="none"/>
          <w:lang w:val="en-US" w:eastAsia="zh-CN"/>
        </w:rPr>
        <w:t>城市更新工作取得</w:t>
      </w:r>
      <w:r>
        <w:rPr>
          <w:rFonts w:hint="eastAsia" w:eastAsia="仿宋" w:cs="仿宋"/>
          <w:sz w:val="32"/>
          <w:szCs w:val="32"/>
          <w:highlight w:val="none"/>
          <w:lang w:val="en-US" w:eastAsia="zh-CN"/>
        </w:rPr>
        <w:t>很大</w:t>
      </w:r>
      <w:r>
        <w:rPr>
          <w:rFonts w:hint="eastAsia" w:ascii="仿宋" w:hAnsi="仿宋" w:eastAsia="仿宋" w:cs="仿宋"/>
          <w:sz w:val="32"/>
          <w:szCs w:val="32"/>
          <w:highlight w:val="none"/>
          <w:lang w:val="en-US" w:eastAsia="zh-CN"/>
        </w:rPr>
        <w:t>进展</w:t>
      </w:r>
      <w:r>
        <w:rPr>
          <w:rFonts w:hint="eastAsia" w:eastAsia="仿宋" w:cs="仿宋"/>
          <w:sz w:val="32"/>
          <w:szCs w:val="32"/>
          <w:highlight w:val="none"/>
          <w:lang w:val="en-US" w:eastAsia="zh-CN"/>
        </w:rPr>
        <w:t>，</w:t>
      </w:r>
      <w:r>
        <w:rPr>
          <w:rFonts w:hint="eastAsia" w:ascii="仿宋" w:hAnsi="仿宋" w:eastAsia="仿宋" w:cs="仿宋"/>
          <w:sz w:val="32"/>
          <w:szCs w:val="32"/>
          <w:highlight w:val="none"/>
          <w:lang w:val="en-US" w:eastAsia="zh-CN"/>
        </w:rPr>
        <w:t>一是推动城市体检与《城市更新专项规划》编制工作进入政府采购招标阶段。二是协助市住建局完成城中村摸底调查，确定启动试点洛王路西北侧城中村改造项目，在城市更新带动下加速城中村改造工作。三是配合完成了83个城市更新中央预算内有关老旧小区、城市危旧房、城中村、老旧街区（厂区）等配套设施建设项目的申报工作，争取落地资金4.9亿元。</w:t>
      </w:r>
    </w:p>
    <w:p w14:paraId="6A635966">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420" w:firstLineChars="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bidi="zh-TW"/>
        </w:rPr>
        <w:t>健全物业管理制度体系，净化行业生态，促进物业维修资金缴存更便捷、管理更精细。</w:t>
      </w:r>
      <w:r>
        <w:rPr>
          <w:rFonts w:hint="eastAsia" w:ascii="仿宋" w:hAnsi="仿宋" w:eastAsia="仿宋" w:cs="仿宋"/>
          <w:sz w:val="32"/>
          <w:szCs w:val="32"/>
          <w:lang w:val="en-US" w:eastAsia="zh-CN"/>
        </w:rPr>
        <w:t>2025年，我市物业管理法规体系建设取得突破性进展。7月1日，《岳阳市住宅物业管理若干规定》正式施行。以此为核心，配套出台了《岳阳市物业管理委员会组建运行实施办法（试行）》、《岳阳市物业服务信用评价实施细则（试行）》、《关于岳阳市物业服务人应急储备库组建管理的通知》、《关于进一步规范物业服务合同备案管理的通知》、《岳阳市物业专项维修资金使用操作规程》等一系列文件，标志着我市“1+N”物业管理法规制度体系基本形成，为行业规范发展提供了有力法治保障。扎实开展物业服务履约不到位、公共收益管理不规范及居民小区二次供水等民生实事整治工作，推动整改问题361个，追回违规资金253万元，4万余名业主的切身利益得到有效维护</w:t>
      </w:r>
      <w:r>
        <w:rPr>
          <w:rFonts w:hint="eastAsia" w:eastAsia="仿宋" w:cs="仿宋"/>
          <w:sz w:val="32"/>
          <w:szCs w:val="32"/>
          <w:lang w:val="en-US" w:eastAsia="zh-CN"/>
        </w:rPr>
        <w:t>，</w:t>
      </w:r>
      <w:r>
        <w:rPr>
          <w:rFonts w:hint="eastAsia" w:ascii="仿宋" w:hAnsi="仿宋" w:eastAsia="仿宋" w:cs="仿宋"/>
          <w:sz w:val="32"/>
          <w:szCs w:val="32"/>
          <w:lang w:val="en-US" w:eastAsia="zh-CN"/>
        </w:rPr>
        <w:t>有效净化了行业生态。已在中国银行、交通银行开通维修资金二维码，足不出户即可缴存，高效便捷；全年归集物业维修资金6139万元，市本级新增4727户。</w:t>
      </w:r>
    </w:p>
    <w:p w14:paraId="5A9AB9FA">
      <w:pPr>
        <w:pStyle w:val="4"/>
        <w:keepNext w:val="0"/>
        <w:keepLines w:val="0"/>
        <w:pageBreakBefore w:val="0"/>
        <w:widowControl/>
        <w:numPr>
          <w:ilvl w:val="0"/>
          <w:numId w:val="7"/>
        </w:numPr>
        <w:kinsoku w:val="0"/>
        <w:wordWrap/>
        <w:overflowPunct/>
        <w:topLinePunct w:val="0"/>
        <w:autoSpaceDE w:val="0"/>
        <w:autoSpaceDN w:val="0"/>
        <w:bidi w:val="0"/>
        <w:adjustRightInd w:val="0"/>
        <w:snapToGrid w:val="0"/>
        <w:spacing w:line="576" w:lineRule="exact"/>
        <w:ind w:left="0" w:leftChars="0" w:right="90" w:firstLine="420" w:firstLineChars="0"/>
        <w:textAlignment w:val="baseline"/>
        <w:rPr>
          <w:rFonts w:hint="eastAsia" w:ascii="仿宋" w:hAnsi="仿宋" w:eastAsia="仿宋" w:cs="仿宋"/>
          <w:sz w:val="32"/>
          <w:szCs w:val="32"/>
          <w:lang w:bidi="zh-TW"/>
        </w:rPr>
      </w:pPr>
      <w:r>
        <w:rPr>
          <w:rFonts w:hint="eastAsia" w:ascii="仿宋" w:hAnsi="仿宋" w:eastAsia="仿宋" w:cs="仿宋"/>
          <w:sz w:val="32"/>
          <w:szCs w:val="32"/>
          <w:lang w:val="en-US" w:eastAsia="zh-CN" w:bidi="zh-TW"/>
        </w:rPr>
        <w:t>继续推动白蚁防治全覆盖。全年共完成新建房屋白蚁预防公共服务建筑面积共185万平方米，回访面积593万平方米，对南湖公园、金鹗公园、南湖广场、王家河公园以及城区主干道行道树木的白蚁危害进行了防治，对塑料一厂经济适用房等保障性住房项目开展无偿灭治服务十多起，得到了居民赞誉。</w:t>
      </w:r>
    </w:p>
    <w:p w14:paraId="6F946BF4">
      <w:pPr>
        <w:pStyle w:val="2"/>
        <w:keepNext w:val="0"/>
        <w:keepLines w:val="0"/>
        <w:pageBreakBefore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年度绩效指标完成情况</w:t>
      </w:r>
    </w:p>
    <w:p w14:paraId="2BD2EF85">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202</w:t>
      </w:r>
      <w:r>
        <w:rPr>
          <w:rFonts w:hint="eastAsia" w:eastAsia="仿宋" w:cs="仿宋"/>
          <w:color w:val="000000" w:themeColor="text1"/>
          <w:sz w:val="32"/>
          <w:szCs w:val="32"/>
          <w:highlight w:val="none"/>
          <w:lang w:val="en-US" w:eastAsia="zh-CN"/>
          <w14:textFill>
            <w14:solidFill>
              <w14:schemeClr w14:val="tx1"/>
            </w14:solidFill>
          </w14:textFill>
        </w:rPr>
        <w:t>5</w:t>
      </w:r>
      <w:r>
        <w:rPr>
          <w:rFonts w:hint="eastAsia" w:ascii="仿宋" w:hAnsi="仿宋" w:eastAsia="仿宋" w:cs="仿宋"/>
          <w:color w:val="000000" w:themeColor="text1"/>
          <w:sz w:val="32"/>
          <w:szCs w:val="32"/>
          <w:highlight w:val="none"/>
          <w:lang w:val="en-US" w:eastAsia="zh-CN"/>
          <w14:textFill>
            <w14:solidFill>
              <w14:schemeClr w14:val="tx1"/>
            </w14:solidFill>
          </w14:textFill>
        </w:rPr>
        <w:t>年度绩效指标全面完成，并取得了良好的经济效益、社会效益和生态效益。</w:t>
      </w:r>
    </w:p>
    <w:p w14:paraId="343D1886">
      <w:pPr>
        <w:pStyle w:val="2"/>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预算执行指标完成情况</w:t>
      </w:r>
    </w:p>
    <w:p w14:paraId="42A25C7E">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202</w:t>
      </w:r>
      <w:r>
        <w:rPr>
          <w:rFonts w:hint="eastAsia" w:eastAsia="仿宋" w:cs="仿宋"/>
          <w:color w:val="000000" w:themeColor="text1"/>
          <w:sz w:val="32"/>
          <w:szCs w:val="32"/>
          <w:highlight w:val="none"/>
          <w:lang w:val="en-US" w:eastAsia="zh-CN"/>
          <w14:textFill>
            <w14:solidFill>
              <w14:schemeClr w14:val="tx1"/>
            </w14:solidFill>
          </w14:textFill>
        </w:rPr>
        <w:t>5</w:t>
      </w:r>
      <w:r>
        <w:rPr>
          <w:rFonts w:hint="eastAsia" w:ascii="仿宋" w:hAnsi="仿宋" w:eastAsia="仿宋" w:cs="仿宋"/>
          <w:color w:val="000000" w:themeColor="text1"/>
          <w:sz w:val="32"/>
          <w:szCs w:val="32"/>
          <w:highlight w:val="none"/>
          <w:lang w:val="en-US" w:eastAsia="zh-CN"/>
          <w14:textFill>
            <w14:solidFill>
              <w14:schemeClr w14:val="tx1"/>
            </w14:solidFill>
          </w14:textFill>
        </w:rPr>
        <w:t>年度，本</w:t>
      </w:r>
      <w:r>
        <w:rPr>
          <w:rFonts w:hint="eastAsia" w:eastAsia="仿宋" w:cs="仿宋"/>
          <w:color w:val="000000" w:themeColor="text1"/>
          <w:sz w:val="32"/>
          <w:szCs w:val="32"/>
          <w:highlight w:val="none"/>
          <w:lang w:val="en-US" w:eastAsia="zh-CN"/>
          <w14:textFill>
            <w14:solidFill>
              <w14:schemeClr w14:val="tx1"/>
            </w14:solidFill>
          </w14:textFill>
        </w:rPr>
        <w:t>单位</w:t>
      </w:r>
      <w:r>
        <w:rPr>
          <w:rFonts w:hint="eastAsia" w:ascii="仿宋" w:hAnsi="仿宋" w:eastAsia="仿宋" w:cs="仿宋"/>
          <w:sz w:val="32"/>
          <w:szCs w:val="32"/>
          <w:lang w:val="en-US" w:eastAsia="zh-CN"/>
        </w:rPr>
        <w:t>整体支出全年预算数</w:t>
      </w:r>
      <w:r>
        <w:rPr>
          <w:rFonts w:hint="eastAsia" w:eastAsia="仿宋" w:cs="仿宋"/>
          <w:sz w:val="32"/>
          <w:szCs w:val="32"/>
          <w:lang w:val="en-US" w:eastAsia="zh-CN"/>
        </w:rPr>
        <w:t>6489.39</w:t>
      </w:r>
      <w:r>
        <w:rPr>
          <w:rFonts w:hint="eastAsia" w:ascii="仿宋" w:hAnsi="仿宋" w:eastAsia="仿宋" w:cs="仿宋"/>
          <w:color w:val="000000" w:themeColor="text1"/>
          <w:sz w:val="32"/>
          <w:szCs w:val="32"/>
          <w:highlight w:val="none"/>
          <w:lang w:val="en-US" w:eastAsia="zh-CN"/>
          <w14:textFill>
            <w14:solidFill>
              <w14:schemeClr w14:val="tx1"/>
            </w14:solidFill>
          </w14:textFill>
        </w:rPr>
        <w:t>万元，实际支出总额</w:t>
      </w:r>
      <w:r>
        <w:rPr>
          <w:rFonts w:hint="eastAsia" w:eastAsia="仿宋" w:cs="仿宋"/>
          <w:color w:val="000000" w:themeColor="text1"/>
          <w:sz w:val="32"/>
          <w:szCs w:val="32"/>
          <w:highlight w:val="none"/>
          <w:lang w:val="en-US" w:eastAsia="zh-CN"/>
          <w14:textFill>
            <w14:solidFill>
              <w14:schemeClr w14:val="tx1"/>
            </w14:solidFill>
          </w14:textFill>
        </w:rPr>
        <w:t>6190.29</w:t>
      </w:r>
      <w:r>
        <w:rPr>
          <w:rFonts w:hint="eastAsia" w:ascii="仿宋" w:hAnsi="仿宋" w:eastAsia="仿宋" w:cs="仿宋"/>
          <w:color w:val="000000" w:themeColor="text1"/>
          <w:sz w:val="32"/>
          <w:szCs w:val="32"/>
          <w:highlight w:val="none"/>
          <w:lang w:val="en-US" w:eastAsia="zh-CN"/>
          <w14:textFill>
            <w14:solidFill>
              <w14:schemeClr w14:val="tx1"/>
            </w14:solidFill>
          </w14:textFill>
        </w:rPr>
        <w:t>万元，预算执行率</w:t>
      </w:r>
      <w:r>
        <w:rPr>
          <w:rFonts w:hint="eastAsia" w:eastAsia="仿宋" w:cs="仿宋"/>
          <w:color w:val="000000" w:themeColor="text1"/>
          <w:sz w:val="32"/>
          <w:szCs w:val="32"/>
          <w:highlight w:val="none"/>
          <w:lang w:val="en-US" w:eastAsia="zh-CN"/>
          <w14:textFill>
            <w14:solidFill>
              <w14:schemeClr w14:val="tx1"/>
            </w14:solidFill>
          </w14:textFill>
        </w:rPr>
        <w:t>95.39</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14:paraId="241A5F25">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sz w:val="32"/>
          <w:szCs w:val="32"/>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w:t>
      </w:r>
      <w:r>
        <w:rPr>
          <w:rFonts w:hint="eastAsia" w:ascii="仿宋" w:hAnsi="仿宋" w:eastAsia="仿宋" w:cs="仿宋"/>
          <w:sz w:val="32"/>
          <w:szCs w:val="32"/>
          <w:lang w:val="en-US" w:eastAsia="zh-CN"/>
        </w:rPr>
        <w:t>产出指标完成情况</w:t>
      </w:r>
    </w:p>
    <w:p w14:paraId="73721601">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数量指标方面，</w:t>
      </w:r>
      <w:r>
        <w:rPr>
          <w:rFonts w:hint="eastAsia" w:eastAsia="仿宋" w:cs="仿宋"/>
          <w:sz w:val="32"/>
          <w:szCs w:val="32"/>
          <w:lang w:val="en-US" w:eastAsia="zh-CN"/>
        </w:rPr>
        <w:t>管理市本级保障性住房套数496套，目标已完成；</w:t>
      </w:r>
      <w:r>
        <w:rPr>
          <w:rFonts w:hint="eastAsia" w:ascii="仿宋" w:hAnsi="仿宋" w:eastAsia="仿宋" w:cs="仿宋"/>
          <w:sz w:val="32"/>
          <w:szCs w:val="32"/>
          <w:lang w:val="en-US" w:eastAsia="zh-CN"/>
        </w:rPr>
        <w:t>物业维修资金归集</w:t>
      </w:r>
      <w:r>
        <w:rPr>
          <w:rFonts w:hint="eastAsia" w:eastAsia="仿宋" w:cs="仿宋"/>
          <w:sz w:val="32"/>
          <w:szCs w:val="32"/>
          <w:lang w:val="en-US" w:eastAsia="zh-CN"/>
        </w:rPr>
        <w:t>6139万</w:t>
      </w:r>
      <w:r>
        <w:rPr>
          <w:rFonts w:hint="eastAsia" w:ascii="仿宋" w:hAnsi="仿宋" w:eastAsia="仿宋" w:cs="仿宋"/>
          <w:sz w:val="32"/>
          <w:szCs w:val="32"/>
          <w:lang w:val="en-US" w:eastAsia="zh-CN"/>
        </w:rPr>
        <w:t>元</w:t>
      </w:r>
      <w:r>
        <w:rPr>
          <w:rFonts w:hint="eastAsia" w:eastAsia="仿宋" w:cs="仿宋"/>
          <w:sz w:val="32"/>
          <w:szCs w:val="32"/>
          <w:lang w:val="en-US" w:eastAsia="zh-CN"/>
        </w:rPr>
        <w:t>，目标完成率76.82%；</w:t>
      </w:r>
      <w:r>
        <w:rPr>
          <w:rFonts w:hint="eastAsia" w:ascii="仿宋" w:hAnsi="仿宋" w:eastAsia="仿宋" w:cs="仿宋"/>
          <w:sz w:val="32"/>
          <w:szCs w:val="32"/>
          <w:lang w:val="en-US" w:eastAsia="zh-CN"/>
        </w:rPr>
        <w:t>老旧小区改造项目已开工建设</w:t>
      </w:r>
      <w:r>
        <w:rPr>
          <w:rFonts w:hint="eastAsia" w:eastAsia="仿宋" w:cs="仿宋"/>
          <w:sz w:val="32"/>
          <w:szCs w:val="32"/>
          <w:lang w:val="en-US" w:eastAsia="zh-CN"/>
        </w:rPr>
        <w:t>211</w:t>
      </w:r>
      <w:r>
        <w:rPr>
          <w:rFonts w:hint="eastAsia" w:ascii="仿宋" w:hAnsi="仿宋" w:eastAsia="仿宋" w:cs="仿宋"/>
          <w:sz w:val="32"/>
          <w:szCs w:val="32"/>
          <w:lang w:val="en-US" w:eastAsia="zh-CN"/>
        </w:rPr>
        <w:t>个</w:t>
      </w:r>
      <w:r>
        <w:rPr>
          <w:rFonts w:hint="eastAsia" w:eastAsia="仿宋" w:cs="仿宋"/>
          <w:sz w:val="32"/>
          <w:szCs w:val="32"/>
          <w:lang w:val="en-US" w:eastAsia="zh-CN"/>
        </w:rPr>
        <w:t>，目标已完成；中心城区新建房屋白蚁防治覆盖面积185万平方米，目标完成率61.67%；收购存量商品房作为保障性住房129套，目标已完成。</w:t>
      </w:r>
    </w:p>
    <w:p w14:paraId="67EC693A">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sz w:val="32"/>
          <w:szCs w:val="32"/>
          <w:lang w:val="en-US" w:eastAsia="zh-CN"/>
        </w:rPr>
        <w:t>质量指标方面，</w:t>
      </w:r>
      <w:r>
        <w:rPr>
          <w:rFonts w:hint="eastAsia" w:ascii="仿宋" w:hAnsi="仿宋" w:eastAsia="仿宋" w:cs="仿宋"/>
          <w:color w:val="000000" w:themeColor="text1"/>
          <w:sz w:val="32"/>
          <w:szCs w:val="32"/>
          <w:highlight w:val="none"/>
          <w:lang w:val="en-US" w:eastAsia="zh-CN"/>
          <w14:textFill>
            <w14:solidFill>
              <w14:schemeClr w14:val="tx1"/>
            </w14:solidFill>
          </w14:textFill>
        </w:rPr>
        <w:t>确保保障性住房资源公平使用，</w:t>
      </w:r>
      <w:r>
        <w:rPr>
          <w:rFonts w:hint="eastAsia" w:eastAsia="仿宋" w:cs="仿宋"/>
          <w:color w:val="000000" w:themeColor="text1"/>
          <w:sz w:val="32"/>
          <w:szCs w:val="32"/>
          <w:highlight w:val="none"/>
          <w:lang w:val="en-US" w:eastAsia="zh-CN"/>
          <w14:textFill>
            <w14:solidFill>
              <w14:schemeClr w14:val="tx1"/>
            </w14:solidFill>
          </w14:textFill>
        </w:rPr>
        <w:t>已清退不符合条件的承租户9户，</w:t>
      </w:r>
      <w:r>
        <w:rPr>
          <w:rFonts w:hint="eastAsia" w:ascii="仿宋" w:hAnsi="仿宋" w:eastAsia="仿宋" w:cs="仿宋"/>
          <w:color w:val="000000" w:themeColor="text1"/>
          <w:sz w:val="32"/>
          <w:szCs w:val="32"/>
          <w:highlight w:val="none"/>
          <w:lang w:val="en-US" w:eastAsia="zh-CN"/>
          <w14:textFill>
            <w14:solidFill>
              <w14:schemeClr w14:val="tx1"/>
            </w14:solidFill>
          </w14:textFill>
        </w:rPr>
        <w:t>无违规违法使用保障性住房现象</w:t>
      </w:r>
      <w:r>
        <w:rPr>
          <w:rFonts w:hint="eastAsia" w:eastAsia="仿宋" w:cs="仿宋"/>
          <w:color w:val="000000" w:themeColor="text1"/>
          <w:sz w:val="32"/>
          <w:szCs w:val="32"/>
          <w:highlight w:val="none"/>
          <w:lang w:val="en-US" w:eastAsia="zh-CN"/>
          <w14:textFill>
            <w14:solidFill>
              <w14:schemeClr w14:val="tx1"/>
            </w14:solidFill>
          </w14:textFill>
        </w:rPr>
        <w:t>，目标已完成</w:t>
      </w:r>
      <w:r>
        <w:rPr>
          <w:rFonts w:hint="eastAsia" w:ascii="仿宋" w:hAnsi="仿宋" w:eastAsia="仿宋" w:cs="仿宋"/>
          <w:color w:val="000000" w:themeColor="text1"/>
          <w:sz w:val="32"/>
          <w:szCs w:val="32"/>
          <w:highlight w:val="none"/>
          <w:lang w:val="en-US" w:eastAsia="zh-CN"/>
          <w14:textFill>
            <w14:solidFill>
              <w14:schemeClr w14:val="tx1"/>
            </w14:solidFill>
          </w14:textFill>
        </w:rPr>
        <w:t>；及时办结受理的职能范围内信访件，办结率100%</w:t>
      </w:r>
      <w:r>
        <w:rPr>
          <w:rFonts w:hint="eastAsia" w:eastAsia="仿宋" w:cs="仿宋"/>
          <w:color w:val="000000" w:themeColor="text1"/>
          <w:sz w:val="32"/>
          <w:szCs w:val="32"/>
          <w:highlight w:val="none"/>
          <w:lang w:val="en-US" w:eastAsia="zh-CN"/>
          <w14:textFill>
            <w14:solidFill>
              <w14:schemeClr w14:val="tx1"/>
            </w14:solidFill>
          </w14:textFill>
        </w:rPr>
        <w:t>，目标已完成；</w:t>
      </w:r>
      <w:r>
        <w:rPr>
          <w:rFonts w:hint="eastAsia" w:ascii="仿宋" w:hAnsi="仿宋" w:eastAsia="仿宋" w:cs="仿宋"/>
          <w:color w:val="000000" w:themeColor="text1"/>
          <w:sz w:val="32"/>
          <w:szCs w:val="32"/>
          <w:highlight w:val="none"/>
          <w:lang w:val="en-US" w:eastAsia="zh-CN"/>
          <w14:textFill>
            <w14:solidFill>
              <w14:schemeClr w14:val="tx1"/>
            </w14:solidFill>
          </w14:textFill>
        </w:rPr>
        <w:t>确保城区多个园林单位绿化以及城区主干道行道树木已实施白蚁防治区域无明显蚁害，不重复出现蚁害</w:t>
      </w:r>
      <w:r>
        <w:rPr>
          <w:rFonts w:hint="eastAsia" w:eastAsia="仿宋" w:cs="仿宋"/>
          <w:color w:val="000000" w:themeColor="text1"/>
          <w:sz w:val="32"/>
          <w:szCs w:val="32"/>
          <w:highlight w:val="none"/>
          <w:lang w:val="en-US" w:eastAsia="zh-CN"/>
          <w14:textFill>
            <w14:solidFill>
              <w14:schemeClr w14:val="tx1"/>
            </w14:solidFill>
          </w14:textFill>
        </w:rPr>
        <w:t>，目标已完成</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14:paraId="3F0810E5">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时效和成本指标方面，年度内，预算成本控制较好，未超全年预算数</w:t>
      </w:r>
      <w:r>
        <w:rPr>
          <w:rFonts w:hint="eastAsia" w:eastAsia="仿宋" w:cs="仿宋"/>
          <w:color w:val="000000" w:themeColor="text1"/>
          <w:sz w:val="32"/>
          <w:szCs w:val="32"/>
          <w:highlight w:val="none"/>
          <w:lang w:val="en-US" w:eastAsia="zh-CN"/>
          <w14:textFill>
            <w14:solidFill>
              <w14:schemeClr w14:val="tx1"/>
            </w14:solidFill>
          </w14:textFill>
        </w:rPr>
        <w:t>，目标已完成</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14:paraId="231BCE02">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3、效益指标完成情况</w:t>
      </w:r>
    </w:p>
    <w:p w14:paraId="449B6988">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经济效益指标方面，收取公租房小区租金</w:t>
      </w:r>
      <w:r>
        <w:rPr>
          <w:rFonts w:hint="eastAsia" w:eastAsia="仿宋" w:cs="仿宋"/>
          <w:color w:val="000000" w:themeColor="text1"/>
          <w:sz w:val="32"/>
          <w:szCs w:val="32"/>
          <w:highlight w:val="none"/>
          <w:lang w:val="en-US" w:eastAsia="zh-CN"/>
          <w14:textFill>
            <w14:solidFill>
              <w14:schemeClr w14:val="tx1"/>
            </w14:solidFill>
          </w14:textFill>
        </w:rPr>
        <w:t>102.73</w:t>
      </w:r>
      <w:r>
        <w:rPr>
          <w:rFonts w:hint="eastAsia" w:ascii="仿宋" w:hAnsi="仿宋" w:eastAsia="仿宋" w:cs="仿宋"/>
          <w:color w:val="000000" w:themeColor="text1"/>
          <w:sz w:val="32"/>
          <w:szCs w:val="32"/>
          <w:highlight w:val="none"/>
          <w:lang w:val="en-US" w:eastAsia="zh-CN"/>
          <w14:textFill>
            <w14:solidFill>
              <w14:schemeClr w14:val="tx1"/>
            </w14:solidFill>
          </w14:textFill>
        </w:rPr>
        <w:t>万元，</w:t>
      </w:r>
      <w:r>
        <w:rPr>
          <w:rFonts w:hint="eastAsia" w:eastAsia="仿宋" w:cs="仿宋"/>
          <w:color w:val="000000" w:themeColor="text1"/>
          <w:sz w:val="32"/>
          <w:szCs w:val="32"/>
          <w:highlight w:val="none"/>
          <w:lang w:val="en-US" w:eastAsia="zh-CN"/>
          <w14:textFill>
            <w14:solidFill>
              <w14:schemeClr w14:val="tx1"/>
            </w14:solidFill>
          </w14:textFill>
        </w:rPr>
        <w:t>超额完成目标；协助征收房地产行业税收6000万元，</w:t>
      </w:r>
      <w:r>
        <w:rPr>
          <w:rFonts w:hint="eastAsia" w:ascii="仿宋" w:hAnsi="仿宋" w:eastAsia="仿宋" w:cs="仿宋"/>
          <w:color w:val="000000" w:themeColor="text1"/>
          <w:sz w:val="32"/>
          <w:szCs w:val="32"/>
          <w:highlight w:val="none"/>
          <w:lang w:val="en-US" w:eastAsia="zh-CN"/>
          <w14:textFill>
            <w14:solidFill>
              <w14:schemeClr w14:val="tx1"/>
            </w14:solidFill>
          </w14:textFill>
        </w:rPr>
        <w:t>目标</w:t>
      </w:r>
      <w:r>
        <w:rPr>
          <w:rFonts w:hint="eastAsia" w:eastAsia="仿宋" w:cs="仿宋"/>
          <w:color w:val="000000" w:themeColor="text1"/>
          <w:sz w:val="32"/>
          <w:szCs w:val="32"/>
          <w:highlight w:val="none"/>
          <w:lang w:val="en-US" w:eastAsia="zh-CN"/>
          <w14:textFill>
            <w14:solidFill>
              <w14:schemeClr w14:val="tx1"/>
            </w14:solidFill>
          </w14:textFill>
        </w:rPr>
        <w:t>完成</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p>
    <w:p w14:paraId="55C785D3">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社会效益指标方面，保障全市低收入家庭住有所居</w:t>
      </w:r>
      <w:r>
        <w:rPr>
          <w:rFonts w:hint="eastAsia"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出台</w:t>
      </w:r>
      <w:r>
        <w:rPr>
          <w:rFonts w:hint="eastAsia" w:eastAsia="仿宋" w:cs="仿宋"/>
          <w:color w:val="000000" w:themeColor="text1"/>
          <w:sz w:val="32"/>
          <w:szCs w:val="32"/>
          <w:highlight w:val="none"/>
          <w:lang w:val="en-US" w:eastAsia="zh-CN"/>
          <w14:textFill>
            <w14:solidFill>
              <w14:schemeClr w14:val="tx1"/>
            </w14:solidFill>
          </w14:textFill>
        </w:rPr>
        <w:t>了</w:t>
      </w:r>
      <w:r>
        <w:rPr>
          <w:rFonts w:hint="eastAsia" w:ascii="仿宋" w:hAnsi="仿宋" w:eastAsia="仿宋" w:cs="仿宋"/>
          <w:color w:val="000000" w:themeColor="text1"/>
          <w:sz w:val="32"/>
          <w:szCs w:val="32"/>
          <w:highlight w:val="none"/>
          <w:lang w:val="en-US" w:eastAsia="zh-CN"/>
          <w14:textFill>
            <w14:solidFill>
              <w14:schemeClr w14:val="tx1"/>
            </w14:solidFill>
          </w14:textFill>
        </w:rPr>
        <w:t>《岳阳市收购存量商品房用作保障性住房工作方案》，收购恒大保交房养生谷等旗下商品房129套用作保障性住房</w:t>
      </w:r>
      <w:r>
        <w:rPr>
          <w:rFonts w:hint="eastAsia"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sz w:val="32"/>
          <w:szCs w:val="32"/>
          <w:lang w:val="en-US" w:eastAsia="zh-CN"/>
        </w:rPr>
        <w:t>物业维修资金缴存高效便民，已在中国银行、交通银行开通维修资金二维码，足不出户即可缴存，高效便捷；改善全市城镇居民的生活环境，老旧小区改造民生实事项目2</w:t>
      </w:r>
      <w:r>
        <w:rPr>
          <w:rFonts w:hint="eastAsia" w:eastAsia="仿宋" w:cs="仿宋"/>
          <w:sz w:val="32"/>
          <w:szCs w:val="32"/>
          <w:lang w:val="en-US" w:eastAsia="zh-CN"/>
        </w:rPr>
        <w:t>17</w:t>
      </w:r>
      <w:r>
        <w:rPr>
          <w:rFonts w:hint="eastAsia" w:ascii="仿宋" w:hAnsi="仿宋" w:eastAsia="仿宋" w:cs="仿宋"/>
          <w:sz w:val="32"/>
          <w:szCs w:val="32"/>
          <w:lang w:val="en-US" w:eastAsia="zh-CN"/>
        </w:rPr>
        <w:t>个，开工率100%</w:t>
      </w:r>
      <w:r>
        <w:rPr>
          <w:rFonts w:hint="eastAsia" w:eastAsia="仿宋" w:cs="仿宋"/>
          <w:sz w:val="32"/>
          <w:szCs w:val="32"/>
          <w:lang w:val="en-US" w:eastAsia="zh-CN"/>
        </w:rPr>
        <w:t>，已完工158个。</w:t>
      </w:r>
    </w:p>
    <w:p w14:paraId="5EFCA9FA">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生态效益指标方面，做好城镇房屋、园林绿化、中心城区主干道树木的白蚁防治工作，保护全市生态环境持续向好地发展。</w:t>
      </w:r>
    </w:p>
    <w:p w14:paraId="7D40B30B">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4、满意度指标完成情况</w:t>
      </w:r>
    </w:p>
    <w:p w14:paraId="07FFD31B">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sz w:val="32"/>
          <w:szCs w:val="32"/>
          <w:lang w:val="en-US" w:eastAsia="zh-CN"/>
        </w:rPr>
      </w:pPr>
      <w:r>
        <w:rPr>
          <w:rFonts w:hint="eastAsia" w:eastAsia="仿宋" w:cs="仿宋"/>
          <w:b w:val="0"/>
          <w:bCs w:val="0"/>
          <w:sz w:val="32"/>
          <w:szCs w:val="32"/>
          <w:lang w:val="en-US" w:eastAsia="zh-CN" w:bidi="ar-SA"/>
        </w:rPr>
        <w:t>着力办好民生</w:t>
      </w:r>
      <w:r>
        <w:rPr>
          <w:rFonts w:hint="eastAsia" w:ascii="仿宋" w:hAnsi="仿宋" w:eastAsia="仿宋" w:cs="仿宋"/>
          <w:b w:val="0"/>
          <w:bCs w:val="0"/>
          <w:sz w:val="32"/>
          <w:szCs w:val="32"/>
          <w:lang w:val="en-US" w:eastAsia="zh-CN" w:bidi="ar-SA"/>
        </w:rPr>
        <w:t>实事</w:t>
      </w:r>
      <w:r>
        <w:rPr>
          <w:rFonts w:hint="eastAsia" w:eastAsia="仿宋" w:cs="仿宋"/>
          <w:b w:val="0"/>
          <w:bCs w:val="0"/>
          <w:sz w:val="32"/>
          <w:szCs w:val="32"/>
          <w:lang w:val="en-US" w:eastAsia="zh-CN" w:bidi="ar-SA"/>
        </w:rPr>
        <w:t>，</w:t>
      </w:r>
      <w:r>
        <w:rPr>
          <w:rFonts w:hint="eastAsia" w:ascii="仿宋" w:hAnsi="仿宋" w:eastAsia="仿宋" w:cs="仿宋"/>
          <w:sz w:val="32"/>
          <w:szCs w:val="32"/>
        </w:rPr>
        <w:t>对政府直管公房、保障性住房等困难、低保群众住户发生的白蚁危害积极开展灭蚁公益服务，组织物业公司及项目施工单位解决保障房小区渗漏水、电梯故障等问题</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住户满意度90%</w:t>
      </w:r>
      <w:r>
        <w:rPr>
          <w:rFonts w:hint="eastAsia" w:eastAsia="仿宋" w:cs="仿宋"/>
          <w:sz w:val="32"/>
          <w:szCs w:val="32"/>
          <w:lang w:val="en-US" w:eastAsia="zh-CN"/>
        </w:rPr>
        <w:t>以上</w:t>
      </w:r>
      <w:r>
        <w:rPr>
          <w:rFonts w:hint="eastAsia" w:ascii="仿宋" w:hAnsi="仿宋" w:eastAsia="仿宋" w:cs="仿宋"/>
          <w:sz w:val="32"/>
          <w:szCs w:val="32"/>
          <w:lang w:val="en-US" w:eastAsia="zh-CN"/>
        </w:rPr>
        <w:t>，达到目标值。</w:t>
      </w:r>
    </w:p>
    <w:p w14:paraId="519D3D1C">
      <w:pPr>
        <w:pStyle w:val="2"/>
        <w:keepNext w:val="0"/>
        <w:keepLines w:val="0"/>
        <w:pageBreakBefore w:val="0"/>
        <w:numPr>
          <w:ilvl w:val="0"/>
          <w:numId w:val="6"/>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绩效指标自评情况</w:t>
      </w:r>
    </w:p>
    <w:p w14:paraId="56B09408">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202</w:t>
      </w:r>
      <w:r>
        <w:rPr>
          <w:rFonts w:hint="eastAsia" w:eastAsia="仿宋" w:cs="仿宋"/>
          <w:color w:val="000000" w:themeColor="text1"/>
          <w:sz w:val="32"/>
          <w:szCs w:val="32"/>
          <w:highlight w:val="none"/>
          <w:lang w:val="en-US" w:eastAsia="zh-CN"/>
          <w14:textFill>
            <w14:solidFill>
              <w14:schemeClr w14:val="tx1"/>
            </w14:solidFill>
          </w14:textFill>
        </w:rPr>
        <w:t>5</w:t>
      </w:r>
      <w:r>
        <w:rPr>
          <w:rFonts w:hint="eastAsia" w:ascii="仿宋" w:hAnsi="仿宋" w:eastAsia="仿宋" w:cs="仿宋"/>
          <w:color w:val="000000" w:themeColor="text1"/>
          <w:sz w:val="32"/>
          <w:szCs w:val="32"/>
          <w:highlight w:val="none"/>
          <w:lang w:val="en-US" w:eastAsia="zh-CN"/>
          <w14:textFill>
            <w14:solidFill>
              <w14:schemeClr w14:val="tx1"/>
            </w14:solidFill>
          </w14:textFill>
        </w:rPr>
        <w:t>年部门整体支出绩效自评得分为</w:t>
      </w:r>
      <w:r>
        <w:rPr>
          <w:rFonts w:hint="eastAsia" w:eastAsia="仿宋" w:cs="仿宋"/>
          <w:color w:val="000000" w:themeColor="text1"/>
          <w:sz w:val="32"/>
          <w:szCs w:val="32"/>
          <w:highlight w:val="none"/>
          <w:lang w:val="en-US" w:eastAsia="zh-CN"/>
          <w14:textFill>
            <w14:solidFill>
              <w14:schemeClr w14:val="tx1"/>
            </w14:solidFill>
          </w14:textFill>
        </w:rPr>
        <w:t>96.46</w:t>
      </w:r>
      <w:r>
        <w:rPr>
          <w:rFonts w:hint="eastAsia" w:ascii="仿宋" w:hAnsi="仿宋" w:eastAsia="仿宋" w:cs="仿宋"/>
          <w:color w:val="000000" w:themeColor="text1"/>
          <w:sz w:val="32"/>
          <w:szCs w:val="32"/>
          <w:highlight w:val="none"/>
          <w:lang w:val="en-US" w:eastAsia="zh-CN"/>
          <w14:textFill>
            <w14:solidFill>
              <w14:schemeClr w14:val="tx1"/>
            </w14:solidFill>
          </w14:textFill>
        </w:rPr>
        <w:t>分，评价等级为优秀。具体得分情况如下：</w:t>
      </w:r>
    </w:p>
    <w:p w14:paraId="6196C96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1、预算执行情况：</w:t>
      </w:r>
      <w:r>
        <w:rPr>
          <w:rFonts w:hint="eastAsia" w:ascii="仿宋" w:hAnsi="仿宋" w:eastAsia="仿宋" w:cs="仿宋"/>
          <w:color w:val="auto"/>
          <w:sz w:val="32"/>
          <w:szCs w:val="32"/>
        </w:rPr>
        <w:t>指标分值</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分，</w:t>
      </w:r>
      <w:r>
        <w:rPr>
          <w:rFonts w:hint="eastAsia" w:ascii="仿宋" w:hAnsi="仿宋" w:eastAsia="仿宋" w:cs="仿宋"/>
          <w:color w:val="auto"/>
          <w:sz w:val="32"/>
          <w:szCs w:val="32"/>
          <w:lang w:val="en-US" w:eastAsia="zh-CN"/>
        </w:rPr>
        <w:t>自评得分</w:t>
      </w:r>
      <w:r>
        <w:rPr>
          <w:rFonts w:hint="eastAsia" w:eastAsia="仿宋" w:cs="仿宋"/>
          <w:color w:val="auto"/>
          <w:sz w:val="32"/>
          <w:szCs w:val="32"/>
          <w:lang w:val="en-US" w:eastAsia="zh-CN"/>
        </w:rPr>
        <w:t>9.54</w:t>
      </w:r>
      <w:r>
        <w:rPr>
          <w:rFonts w:hint="eastAsia" w:ascii="仿宋" w:hAnsi="仿宋" w:eastAsia="仿宋" w:cs="仿宋"/>
          <w:color w:val="auto"/>
          <w:sz w:val="32"/>
          <w:szCs w:val="32"/>
        </w:rPr>
        <w:t>分</w:t>
      </w:r>
      <w:r>
        <w:rPr>
          <w:rFonts w:hint="eastAsia" w:ascii="仿宋" w:hAnsi="仿宋" w:eastAsia="仿宋" w:cs="仿宋"/>
          <w:color w:val="auto"/>
          <w:sz w:val="32"/>
          <w:szCs w:val="32"/>
          <w:lang w:eastAsia="zh-CN"/>
        </w:rPr>
        <w:t>。</w:t>
      </w:r>
    </w:p>
    <w:p w14:paraId="0933DF82">
      <w:pPr>
        <w:pStyle w:val="2"/>
        <w:keepNext w:val="0"/>
        <w:keepLines w:val="0"/>
        <w:pageBreakBefore w:val="0"/>
        <w:numPr>
          <w:ilvl w:val="0"/>
          <w:numId w:val="9"/>
        </w:numPr>
        <w:kinsoku/>
        <w:wordWrap/>
        <w:overflowPunct/>
        <w:topLinePunct w:val="0"/>
        <w:autoSpaceDE/>
        <w:autoSpaceDN/>
        <w:bidi w:val="0"/>
        <w:adjustRightInd/>
        <w:snapToGrid/>
        <w:spacing w:line="600" w:lineRule="exact"/>
        <w:textAlignment w:val="auto"/>
        <w:rPr>
          <w:rFonts w:hint="eastAsia" w:ascii="仿宋" w:hAnsi="仿宋" w:eastAsia="仿宋" w:cs="仿宋"/>
          <w:color w:val="auto"/>
          <w:sz w:val="32"/>
          <w:szCs w:val="32"/>
          <w:lang w:eastAsia="zh-CN"/>
        </w:rPr>
      </w:pPr>
      <w:r>
        <w:rPr>
          <w:rFonts w:hint="eastAsia" w:ascii="仿宋" w:hAnsi="仿宋" w:eastAsia="仿宋" w:cs="仿宋"/>
          <w:color w:val="000000" w:themeColor="text1"/>
          <w:sz w:val="32"/>
          <w:szCs w:val="32"/>
          <w:u w:val="none"/>
          <w:lang w:val="en-US" w:eastAsia="zh-CN"/>
          <w14:textFill>
            <w14:solidFill>
              <w14:schemeClr w14:val="tx1"/>
            </w14:solidFill>
          </w14:textFill>
        </w:rPr>
        <w:t>产出指标情况：</w:t>
      </w:r>
      <w:r>
        <w:rPr>
          <w:rFonts w:hint="eastAsia" w:ascii="仿宋" w:hAnsi="仿宋" w:eastAsia="仿宋" w:cs="仿宋"/>
          <w:color w:val="auto"/>
          <w:sz w:val="32"/>
          <w:szCs w:val="32"/>
        </w:rPr>
        <w:t>指标分值50分，</w:t>
      </w:r>
      <w:r>
        <w:rPr>
          <w:rFonts w:hint="eastAsia" w:ascii="仿宋" w:hAnsi="仿宋" w:eastAsia="仿宋" w:cs="仿宋"/>
          <w:color w:val="auto"/>
          <w:sz w:val="32"/>
          <w:szCs w:val="32"/>
          <w:lang w:val="en-US" w:eastAsia="zh-CN"/>
        </w:rPr>
        <w:t>自评</w:t>
      </w:r>
      <w:r>
        <w:rPr>
          <w:rFonts w:hint="eastAsia" w:ascii="仿宋" w:hAnsi="仿宋" w:eastAsia="仿宋" w:cs="仿宋"/>
          <w:color w:val="auto"/>
          <w:sz w:val="32"/>
          <w:szCs w:val="32"/>
        </w:rPr>
        <w:t>得分</w:t>
      </w:r>
      <w:r>
        <w:rPr>
          <w:rFonts w:hint="eastAsia" w:ascii="仿宋" w:hAnsi="仿宋" w:eastAsia="仿宋" w:cs="仿宋"/>
          <w:color w:val="auto"/>
          <w:sz w:val="32"/>
          <w:szCs w:val="32"/>
          <w:lang w:val="en-US" w:eastAsia="zh-CN"/>
        </w:rPr>
        <w:t>4</w:t>
      </w:r>
      <w:r>
        <w:rPr>
          <w:rFonts w:hint="eastAsia" w:eastAsia="仿宋" w:cs="仿宋"/>
          <w:color w:val="auto"/>
          <w:sz w:val="32"/>
          <w:szCs w:val="32"/>
          <w:lang w:val="en-US" w:eastAsia="zh-CN"/>
        </w:rPr>
        <w:t>6.92</w:t>
      </w:r>
      <w:r>
        <w:rPr>
          <w:rFonts w:hint="eastAsia" w:ascii="仿宋" w:hAnsi="仿宋" w:eastAsia="仿宋" w:cs="仿宋"/>
          <w:color w:val="auto"/>
          <w:sz w:val="32"/>
          <w:szCs w:val="32"/>
        </w:rPr>
        <w:t>分</w:t>
      </w:r>
      <w:r>
        <w:rPr>
          <w:rFonts w:hint="eastAsia" w:ascii="仿宋" w:hAnsi="仿宋" w:eastAsia="仿宋" w:cs="仿宋"/>
          <w:color w:val="auto"/>
          <w:sz w:val="32"/>
          <w:szCs w:val="32"/>
          <w:lang w:eastAsia="zh-CN"/>
        </w:rPr>
        <w:t>。</w:t>
      </w:r>
    </w:p>
    <w:p w14:paraId="72A953DA">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3、效益指标情况：</w:t>
      </w:r>
      <w:r>
        <w:rPr>
          <w:rFonts w:hint="eastAsia" w:ascii="仿宋" w:hAnsi="仿宋" w:eastAsia="仿宋" w:cs="仿宋"/>
          <w:color w:val="auto"/>
          <w:sz w:val="32"/>
          <w:szCs w:val="32"/>
        </w:rPr>
        <w:t>指标分值</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0分，</w:t>
      </w:r>
      <w:r>
        <w:rPr>
          <w:rFonts w:hint="eastAsia" w:ascii="仿宋" w:hAnsi="仿宋" w:eastAsia="仿宋" w:cs="仿宋"/>
          <w:color w:val="auto"/>
          <w:sz w:val="32"/>
          <w:szCs w:val="32"/>
          <w:lang w:val="en-US" w:eastAsia="zh-CN"/>
        </w:rPr>
        <w:t>自评</w:t>
      </w:r>
      <w:r>
        <w:rPr>
          <w:rFonts w:hint="eastAsia" w:ascii="仿宋" w:hAnsi="仿宋" w:eastAsia="仿宋" w:cs="仿宋"/>
          <w:color w:val="auto"/>
          <w:sz w:val="32"/>
          <w:szCs w:val="32"/>
        </w:rPr>
        <w:t>得分</w:t>
      </w:r>
      <w:r>
        <w:rPr>
          <w:rFonts w:hint="eastAsia" w:ascii="仿宋" w:hAnsi="仿宋" w:eastAsia="仿宋" w:cs="仿宋"/>
          <w:color w:val="auto"/>
          <w:sz w:val="32"/>
          <w:szCs w:val="32"/>
          <w:lang w:val="en-US" w:eastAsia="zh-CN"/>
        </w:rPr>
        <w:t>30</w:t>
      </w:r>
      <w:r>
        <w:rPr>
          <w:rFonts w:hint="eastAsia" w:ascii="仿宋" w:hAnsi="仿宋" w:eastAsia="仿宋" w:cs="仿宋"/>
          <w:color w:val="auto"/>
          <w:sz w:val="32"/>
          <w:szCs w:val="32"/>
        </w:rPr>
        <w:t>分</w:t>
      </w:r>
      <w:r>
        <w:rPr>
          <w:rFonts w:hint="eastAsia" w:ascii="仿宋" w:hAnsi="仿宋" w:eastAsia="仿宋" w:cs="仿宋"/>
          <w:color w:val="auto"/>
          <w:sz w:val="32"/>
          <w:szCs w:val="32"/>
          <w:lang w:eastAsia="zh-CN"/>
        </w:rPr>
        <w:t>。</w:t>
      </w:r>
    </w:p>
    <w:p w14:paraId="4D937911">
      <w:pPr>
        <w:pStyle w:val="2"/>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4、满意度指标情况：</w:t>
      </w:r>
      <w:r>
        <w:rPr>
          <w:rFonts w:hint="eastAsia" w:ascii="仿宋" w:hAnsi="仿宋" w:eastAsia="仿宋" w:cs="仿宋"/>
          <w:color w:val="auto"/>
          <w:sz w:val="32"/>
          <w:szCs w:val="32"/>
        </w:rPr>
        <w:t>指标分值</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0分，</w:t>
      </w:r>
      <w:r>
        <w:rPr>
          <w:rFonts w:hint="eastAsia" w:ascii="仿宋" w:hAnsi="仿宋" w:eastAsia="仿宋" w:cs="仿宋"/>
          <w:color w:val="auto"/>
          <w:sz w:val="32"/>
          <w:szCs w:val="32"/>
          <w:lang w:val="en-US" w:eastAsia="zh-CN"/>
        </w:rPr>
        <w:t>自评</w:t>
      </w:r>
      <w:r>
        <w:rPr>
          <w:rFonts w:hint="eastAsia" w:ascii="仿宋" w:hAnsi="仿宋" w:eastAsia="仿宋" w:cs="仿宋"/>
          <w:color w:val="auto"/>
          <w:sz w:val="32"/>
          <w:szCs w:val="32"/>
        </w:rPr>
        <w:t>得分</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分</w:t>
      </w:r>
    </w:p>
    <w:p w14:paraId="140FE715">
      <w:pPr>
        <w:pStyle w:val="11"/>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七、存在的问题及原因分析</w:t>
      </w:r>
    </w:p>
    <w:p w14:paraId="35BCE627">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1、</w:t>
      </w:r>
      <w:r>
        <w:rPr>
          <w:rFonts w:hint="eastAsia" w:eastAsia="仿宋" w:cs="仿宋"/>
          <w:color w:val="000000" w:themeColor="text1"/>
          <w:sz w:val="32"/>
          <w:szCs w:val="32"/>
          <w:u w:val="none"/>
          <w:lang w:val="en-US" w:eastAsia="zh-CN"/>
          <w14:textFill>
            <w14:solidFill>
              <w14:schemeClr w14:val="tx1"/>
            </w14:solidFill>
          </w14:textFill>
        </w:rPr>
        <w:t>物业维修资金归集目标8000万，实际归集6139万元，完成率76.74%</w:t>
      </w:r>
      <w:r>
        <w:rPr>
          <w:rFonts w:hint="eastAsia" w:ascii="仿宋" w:hAnsi="仿宋" w:eastAsia="仿宋" w:cs="仿宋"/>
          <w:color w:val="000000" w:themeColor="text1"/>
          <w:sz w:val="32"/>
          <w:szCs w:val="32"/>
          <w:u w:val="none"/>
          <w:lang w:val="en-US" w:eastAsia="zh-CN"/>
          <w14:textFill>
            <w14:solidFill>
              <w14:schemeClr w14:val="tx1"/>
            </w14:solidFill>
          </w14:textFill>
        </w:rPr>
        <w:t>，主要原因是</w:t>
      </w:r>
      <w:r>
        <w:rPr>
          <w:rFonts w:hint="eastAsia" w:eastAsia="仿宋" w:cs="仿宋"/>
          <w:color w:val="000000" w:themeColor="text1"/>
          <w:sz w:val="32"/>
          <w:szCs w:val="32"/>
          <w:u w:val="none"/>
          <w:lang w:val="en-US" w:eastAsia="zh-CN"/>
          <w14:textFill>
            <w14:solidFill>
              <w14:schemeClr w14:val="tx1"/>
            </w14:solidFill>
          </w14:textFill>
        </w:rPr>
        <w:t>2025年房地产市场整体不景气，导致物业维修资金缴存比往年大幅下降</w:t>
      </w:r>
      <w:r>
        <w:rPr>
          <w:rFonts w:hint="eastAsia" w:ascii="仿宋" w:hAnsi="仿宋" w:eastAsia="仿宋" w:cs="仿宋"/>
          <w:color w:val="000000" w:themeColor="text1"/>
          <w:sz w:val="32"/>
          <w:szCs w:val="32"/>
          <w:u w:val="none"/>
          <w:lang w:val="en-US" w:eastAsia="zh-CN"/>
          <w14:textFill>
            <w14:solidFill>
              <w14:schemeClr w14:val="tx1"/>
            </w14:solidFill>
          </w14:textFill>
        </w:rPr>
        <w:t>。</w:t>
      </w:r>
    </w:p>
    <w:p w14:paraId="212712DA">
      <w:pPr>
        <w:pStyle w:val="2"/>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lang w:val="en-US" w:eastAsia="zh-CN"/>
        </w:rPr>
      </w:pPr>
      <w:r>
        <w:rPr>
          <w:rFonts w:hint="eastAsia" w:ascii="仿宋" w:hAnsi="仿宋" w:eastAsia="仿宋" w:cs="仿宋"/>
          <w:color w:val="000000" w:themeColor="text1"/>
          <w:kern w:val="0"/>
          <w:sz w:val="32"/>
          <w:szCs w:val="32"/>
          <w:u w:val="none"/>
          <w:lang w:val="en-US" w:eastAsia="zh-CN" w:bidi="ar-SA"/>
          <w14:textFill>
            <w14:solidFill>
              <w14:schemeClr w14:val="tx1"/>
            </w14:solidFill>
          </w14:textFill>
        </w:rPr>
        <w:t>2、</w:t>
      </w:r>
      <w:r>
        <w:rPr>
          <w:rFonts w:hint="eastAsia" w:eastAsia="仿宋" w:cs="仿宋"/>
          <w:color w:val="000000" w:themeColor="text1"/>
          <w:kern w:val="0"/>
          <w:sz w:val="32"/>
          <w:szCs w:val="32"/>
          <w:u w:val="none"/>
          <w:lang w:val="en-US" w:eastAsia="zh-CN" w:bidi="ar-SA"/>
          <w14:textFill>
            <w14:solidFill>
              <w14:schemeClr w14:val="tx1"/>
            </w14:solidFill>
          </w14:textFill>
        </w:rPr>
        <w:t>中心城区新建房屋白蚁防治覆盖面积目标300平方米，实际完成185平方米，完成率61.67%，</w:t>
      </w:r>
      <w:r>
        <w:rPr>
          <w:rFonts w:hint="eastAsia" w:ascii="仿宋" w:hAnsi="仿宋" w:eastAsia="仿宋" w:cs="仿宋"/>
          <w:color w:val="000000" w:themeColor="text1"/>
          <w:sz w:val="32"/>
          <w:szCs w:val="32"/>
          <w:u w:val="none"/>
          <w:lang w:val="en-US" w:eastAsia="zh-CN"/>
          <w14:textFill>
            <w14:solidFill>
              <w14:schemeClr w14:val="tx1"/>
            </w14:solidFill>
          </w14:textFill>
        </w:rPr>
        <w:t>主要原因是</w:t>
      </w:r>
      <w:r>
        <w:rPr>
          <w:rFonts w:hint="eastAsia" w:eastAsia="仿宋" w:cs="仿宋"/>
          <w:color w:val="000000" w:themeColor="text1"/>
          <w:sz w:val="32"/>
          <w:szCs w:val="32"/>
          <w:u w:val="none"/>
          <w:lang w:val="en-US" w:eastAsia="zh-CN"/>
          <w14:textFill>
            <w14:solidFill>
              <w14:schemeClr w14:val="tx1"/>
            </w14:solidFill>
          </w14:textFill>
        </w:rPr>
        <w:t>2025年房地产市场整体不景气，新建房屋面积明显低于往年</w:t>
      </w:r>
      <w:r>
        <w:rPr>
          <w:rFonts w:hint="eastAsia" w:ascii="仿宋" w:hAnsi="仿宋" w:eastAsia="仿宋" w:cs="仿宋"/>
          <w:sz w:val="32"/>
          <w:szCs w:val="32"/>
          <w:lang w:eastAsia="zh-CN"/>
        </w:rPr>
        <w:t>。</w:t>
      </w:r>
    </w:p>
    <w:p w14:paraId="2DA87CB2">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八、下一步改进措施</w:t>
      </w:r>
    </w:p>
    <w:p w14:paraId="5DAECB2A">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1、</w:t>
      </w:r>
      <w:r>
        <w:rPr>
          <w:rFonts w:hint="eastAsia" w:eastAsia="仿宋" w:cs="仿宋"/>
          <w:color w:val="000000" w:themeColor="text1"/>
          <w:sz w:val="32"/>
          <w:szCs w:val="32"/>
          <w:u w:val="none"/>
          <w:lang w:val="en-US" w:eastAsia="zh-CN"/>
          <w14:textFill>
            <w14:solidFill>
              <w14:schemeClr w14:val="tx1"/>
            </w14:solidFill>
          </w14:textFill>
        </w:rPr>
        <w:t>根据房地产市场低迷的实际情况，后期将下调物业维修资金归集目标值。</w:t>
      </w:r>
    </w:p>
    <w:p w14:paraId="1439D0F1">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2、</w:t>
      </w:r>
      <w:r>
        <w:rPr>
          <w:rFonts w:hint="eastAsia" w:eastAsia="仿宋" w:cs="仿宋"/>
          <w:color w:val="000000" w:themeColor="text1"/>
          <w:sz w:val="32"/>
          <w:szCs w:val="32"/>
          <w:u w:val="none"/>
          <w:lang w:val="en-US" w:eastAsia="zh-CN"/>
          <w14:textFill>
            <w14:solidFill>
              <w14:schemeClr w14:val="tx1"/>
            </w14:solidFill>
          </w14:textFill>
        </w:rPr>
        <w:t>根据新建房屋建筑面积明细减少的实际情况，后期将下调白蚁防治覆盖面积的目标值。</w:t>
      </w:r>
    </w:p>
    <w:p w14:paraId="3E46C44E">
      <w:pPr>
        <w:keepNext w:val="0"/>
        <w:keepLines w:val="0"/>
        <w:pageBreakBefore w:val="0"/>
        <w:widowControl/>
        <w:numPr>
          <w:ilvl w:val="0"/>
          <w:numId w:val="1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部门整体支出绩效自评结果拟应用和公开情况</w:t>
      </w:r>
    </w:p>
    <w:p w14:paraId="19E574C8">
      <w:pPr>
        <w:pStyle w:val="3"/>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u w:val="none"/>
          <w:lang w:val="en-US" w:eastAsia="zh-CN"/>
          <w14:textFill>
            <w14:solidFill>
              <w14:schemeClr w14:val="tx1"/>
            </w14:solidFill>
          </w14:textFill>
        </w:rPr>
      </w:pPr>
      <w:r>
        <w:rPr>
          <w:rFonts w:hint="eastAsia" w:ascii="仿宋" w:hAnsi="仿宋" w:eastAsia="仿宋" w:cs="仿宋"/>
          <w:color w:val="000000" w:themeColor="text1"/>
          <w:sz w:val="32"/>
          <w:szCs w:val="32"/>
          <w:u w:val="none"/>
          <w:lang w:val="en-US" w:eastAsia="zh-CN"/>
          <w14:textFill>
            <w14:solidFill>
              <w14:schemeClr w14:val="tx1"/>
            </w14:solidFill>
          </w14:textFill>
        </w:rPr>
        <w:t>中心整体支出绩效自评结果将在上级主管部门和本中心网站上同步公开。</w:t>
      </w:r>
    </w:p>
    <w:p w14:paraId="466CDF5A">
      <w:pPr>
        <w:pStyle w:val="3"/>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其他需要说明的情况</w:t>
      </w:r>
    </w:p>
    <w:p w14:paraId="284D2148">
      <w:pPr>
        <w:pStyle w:val="3"/>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textAlignment w:val="auto"/>
        <w:rPr>
          <w:rFonts w:hint="default"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项目支出中的其他资金支出（其他资金结余）2025年预算数206.32万元，2025决算数为0，是因为2025年单位其他资金账户收到非财政拨款206.32万元，但财政局没有在预算一体化系统下达指标，而会计在当年确认这笔款项为非财政拨款预算收入造成的。</w:t>
      </w:r>
    </w:p>
    <w:p w14:paraId="6B3FE2A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附件1：2025年度部门整体支出绩效评价基础数据表</w:t>
      </w:r>
    </w:p>
    <w:p w14:paraId="71CFA3D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附件2：2025年度部门整体支出绩效自评表</w:t>
      </w:r>
    </w:p>
    <w:p w14:paraId="2C8BDA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附件3：2025年度项目支出绩效自评表</w:t>
      </w:r>
    </w:p>
    <w:p w14:paraId="10C69219">
      <w:pPr>
        <w:pStyle w:val="2"/>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p>
    <w:p w14:paraId="7F8D4337">
      <w:pPr>
        <w:pStyle w:val="2"/>
        <w:keepNext w:val="0"/>
        <w:keepLines w:val="0"/>
        <w:pageBreakBefore w:val="0"/>
        <w:kinsoku/>
        <w:wordWrap/>
        <w:overflowPunct/>
        <w:topLinePunct w:val="0"/>
        <w:autoSpaceDE/>
        <w:autoSpaceDN/>
        <w:bidi w:val="0"/>
        <w:adjustRightInd/>
        <w:snapToGrid/>
        <w:spacing w:line="600" w:lineRule="exact"/>
        <w:ind w:left="0" w:leftChars="0" w:firstLine="0" w:firstLineChars="0"/>
        <w:jc w:val="right"/>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岳阳市住房保障服务中心</w:t>
      </w:r>
    </w:p>
    <w:p w14:paraId="043B57B3">
      <w:pPr>
        <w:spacing w:after="120" w:afterLines="50" w:line="600" w:lineRule="exact"/>
        <w:jc w:val="center"/>
        <w:rPr>
          <w:rFonts w:hint="eastAsia" w:ascii="仿宋" w:hAnsi="仿宋" w:eastAsia="仿宋" w:cs="仿宋"/>
          <w:color w:val="000000" w:themeColor="text1"/>
          <w:sz w:val="32"/>
          <w:szCs w:val="32"/>
          <w:highlight w:val="none"/>
          <w:lang w:val="en-US" w:eastAsia="zh-CN"/>
          <w14:textFill>
            <w14:solidFill>
              <w14:schemeClr w14:val="tx1"/>
            </w14:solidFill>
          </w14:textFill>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 xml:space="preserve">                              2026年4月2日</w:t>
      </w:r>
    </w:p>
    <w:p w14:paraId="76294435">
      <w:pPr>
        <w:keepNext w:val="0"/>
        <w:keepLines w:val="0"/>
        <w:pageBreakBefore w:val="0"/>
        <w:widowControl w:val="0"/>
        <w:kinsoku/>
        <w:overflowPunct/>
        <w:topLinePunct w:val="0"/>
        <w:autoSpaceDE/>
        <w:autoSpaceDN/>
        <w:bidi w:val="0"/>
        <w:adjustRightInd/>
        <w:snapToGrid/>
        <w:spacing w:after="0" w:afterLines="0" w:line="500" w:lineRule="exact"/>
        <w:jc w:val="left"/>
        <w:textAlignment w:val="auto"/>
        <w:rPr>
          <w:rFonts w:hint="eastAsia" w:ascii="方正小标宋简体" w:hAnsi="方正小标宋简体" w:eastAsia="方正小标宋简体" w:cs="方正小标宋简体"/>
          <w:sz w:val="36"/>
          <w:szCs w:val="36"/>
          <w:highlight w:val="none"/>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14:paraId="630FDFD8">
      <w:pPr>
        <w:keepNext w:val="0"/>
        <w:keepLines w:val="0"/>
        <w:pageBreakBefore w:val="0"/>
        <w:widowControl w:val="0"/>
        <w:kinsoku/>
        <w:overflowPunct/>
        <w:topLinePunct w:val="0"/>
        <w:autoSpaceDE/>
        <w:autoSpaceDN/>
        <w:bidi w:val="0"/>
        <w:adjustRightInd/>
        <w:snapToGrid/>
        <w:spacing w:after="120" w:afterLines="50" w:line="600" w:lineRule="exact"/>
        <w:jc w:val="center"/>
        <w:textAlignment w:val="auto"/>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5</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8"/>
        <w:tblW w:w="9673" w:type="dxa"/>
        <w:jc w:val="center"/>
        <w:tblLayout w:type="fixed"/>
        <w:tblCellMar>
          <w:top w:w="0" w:type="dxa"/>
          <w:left w:w="108" w:type="dxa"/>
          <w:bottom w:w="0" w:type="dxa"/>
          <w:right w:w="108" w:type="dxa"/>
        </w:tblCellMar>
      </w:tblPr>
      <w:tblGrid>
        <w:gridCol w:w="3631"/>
        <w:gridCol w:w="912"/>
        <w:gridCol w:w="849"/>
        <w:gridCol w:w="1129"/>
        <w:gridCol w:w="1111"/>
        <w:gridCol w:w="1081"/>
        <w:gridCol w:w="960"/>
      </w:tblGrid>
      <w:tr w14:paraId="5CDFF6B1">
        <w:tblPrEx>
          <w:tblCellMar>
            <w:top w:w="0" w:type="dxa"/>
            <w:left w:w="108" w:type="dxa"/>
            <w:bottom w:w="0" w:type="dxa"/>
            <w:right w:w="108" w:type="dxa"/>
          </w:tblCellMar>
        </w:tblPrEx>
        <w:trPr>
          <w:trHeight w:val="0" w:hRule="atLeast"/>
          <w:jc w:val="center"/>
        </w:trPr>
        <w:tc>
          <w:tcPr>
            <w:tcW w:w="3631" w:type="dxa"/>
            <w:vMerge w:val="restart"/>
            <w:tcBorders>
              <w:top w:val="single" w:color="auto" w:sz="4" w:space="0"/>
              <w:left w:val="single" w:color="auto" w:sz="4" w:space="0"/>
              <w:bottom w:val="single" w:color="auto" w:sz="4" w:space="0"/>
              <w:right w:val="single" w:color="auto" w:sz="4" w:space="0"/>
            </w:tcBorders>
            <w:noWrap w:val="0"/>
            <w:vAlign w:val="center"/>
          </w:tcPr>
          <w:p w14:paraId="0634531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1761" w:type="dxa"/>
            <w:gridSpan w:val="2"/>
            <w:tcBorders>
              <w:top w:val="single" w:color="auto" w:sz="4" w:space="0"/>
              <w:left w:val="nil"/>
              <w:bottom w:val="single" w:color="auto" w:sz="4" w:space="0"/>
              <w:right w:val="single" w:color="auto" w:sz="4" w:space="0"/>
            </w:tcBorders>
            <w:noWrap w:val="0"/>
            <w:vAlign w:val="center"/>
          </w:tcPr>
          <w:p w14:paraId="58095AF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14:paraId="09AEFE3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14:paraId="24E8E06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14:paraId="78DB6A87">
        <w:tblPrEx>
          <w:tblCellMar>
            <w:top w:w="0" w:type="dxa"/>
            <w:left w:w="108" w:type="dxa"/>
            <w:bottom w:w="0" w:type="dxa"/>
            <w:right w:w="108" w:type="dxa"/>
          </w:tblCellMar>
        </w:tblPrEx>
        <w:trPr>
          <w:trHeight w:val="0" w:hRule="atLeast"/>
          <w:jc w:val="center"/>
        </w:trPr>
        <w:tc>
          <w:tcPr>
            <w:tcW w:w="3631" w:type="dxa"/>
            <w:vMerge w:val="continue"/>
            <w:tcBorders>
              <w:top w:val="single" w:color="auto" w:sz="4" w:space="0"/>
              <w:left w:val="single" w:color="auto" w:sz="4" w:space="0"/>
              <w:bottom w:val="single" w:color="auto" w:sz="4" w:space="0"/>
              <w:right w:val="single" w:color="auto" w:sz="4" w:space="0"/>
            </w:tcBorders>
            <w:noWrap w:val="0"/>
            <w:vAlign w:val="center"/>
          </w:tcPr>
          <w:p w14:paraId="684FD374">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1761" w:type="dxa"/>
            <w:gridSpan w:val="2"/>
            <w:tcBorders>
              <w:top w:val="single" w:color="auto" w:sz="4" w:space="0"/>
              <w:left w:val="nil"/>
              <w:bottom w:val="single" w:color="auto" w:sz="4" w:space="0"/>
              <w:right w:val="single" w:color="auto" w:sz="4" w:space="0"/>
            </w:tcBorders>
            <w:noWrap w:val="0"/>
            <w:vAlign w:val="center"/>
          </w:tcPr>
          <w:p w14:paraId="65DE2C7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76</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auto" w:sz="4" w:space="0"/>
            </w:tcBorders>
            <w:noWrap w:val="0"/>
            <w:vAlign w:val="center"/>
          </w:tcPr>
          <w:p w14:paraId="76EA910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75</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auto" w:sz="4" w:space="0"/>
            </w:tcBorders>
            <w:noWrap w:val="0"/>
            <w:vAlign w:val="center"/>
          </w:tcPr>
          <w:p w14:paraId="1657D66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98.68%</w:t>
            </w:r>
          </w:p>
        </w:tc>
      </w:tr>
      <w:tr w14:paraId="61AED2CE">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3129323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1761" w:type="dxa"/>
            <w:gridSpan w:val="2"/>
            <w:tcBorders>
              <w:top w:val="single" w:color="auto" w:sz="4" w:space="0"/>
              <w:left w:val="nil"/>
              <w:bottom w:val="single" w:color="auto" w:sz="4" w:space="0"/>
              <w:right w:val="single" w:color="000000" w:sz="4" w:space="0"/>
            </w:tcBorders>
            <w:noWrap w:val="0"/>
            <w:vAlign w:val="center"/>
          </w:tcPr>
          <w:p w14:paraId="5B8045F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14:paraId="6B6EFF7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14:paraId="44FA74B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年决算数</w:t>
            </w:r>
          </w:p>
        </w:tc>
      </w:tr>
      <w:tr w14:paraId="72A912BA">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25CC6E05">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1761" w:type="dxa"/>
            <w:gridSpan w:val="2"/>
            <w:tcBorders>
              <w:top w:val="single" w:color="auto" w:sz="4" w:space="0"/>
              <w:left w:val="nil"/>
              <w:bottom w:val="single" w:color="auto" w:sz="4" w:space="0"/>
              <w:right w:val="single" w:color="000000" w:sz="4" w:space="0"/>
            </w:tcBorders>
            <w:noWrap w:val="0"/>
            <w:vAlign w:val="center"/>
          </w:tcPr>
          <w:p w14:paraId="3FF4EA9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2.07</w:t>
            </w:r>
          </w:p>
        </w:tc>
        <w:tc>
          <w:tcPr>
            <w:tcW w:w="2240" w:type="dxa"/>
            <w:gridSpan w:val="2"/>
            <w:tcBorders>
              <w:top w:val="single" w:color="auto" w:sz="4" w:space="0"/>
              <w:left w:val="nil"/>
              <w:bottom w:val="single" w:color="auto" w:sz="4" w:space="0"/>
              <w:right w:val="single" w:color="000000" w:sz="4" w:space="0"/>
            </w:tcBorders>
            <w:noWrap w:val="0"/>
            <w:vAlign w:val="center"/>
          </w:tcPr>
          <w:p w14:paraId="6D928E0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39C880B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r>
      <w:tr w14:paraId="5C2BAF41">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155E8EA0">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1761" w:type="dxa"/>
            <w:gridSpan w:val="2"/>
            <w:tcBorders>
              <w:top w:val="single" w:color="auto" w:sz="4" w:space="0"/>
              <w:left w:val="nil"/>
              <w:bottom w:val="single" w:color="auto" w:sz="4" w:space="0"/>
              <w:right w:val="single" w:color="000000" w:sz="4" w:space="0"/>
            </w:tcBorders>
            <w:noWrap w:val="0"/>
            <w:vAlign w:val="center"/>
          </w:tcPr>
          <w:p w14:paraId="7DE1DAB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2.07</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0EAD3A7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1D11118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r>
      <w:tr w14:paraId="4EDDD122">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47B50010">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1761" w:type="dxa"/>
            <w:gridSpan w:val="2"/>
            <w:tcBorders>
              <w:top w:val="single" w:color="auto" w:sz="4" w:space="0"/>
              <w:left w:val="nil"/>
              <w:bottom w:val="single" w:color="auto" w:sz="4" w:space="0"/>
              <w:right w:val="single" w:color="000000" w:sz="4" w:space="0"/>
            </w:tcBorders>
            <w:noWrap w:val="0"/>
            <w:vAlign w:val="center"/>
          </w:tcPr>
          <w:p w14:paraId="6B5E329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29B2F0F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4C86ADF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14:paraId="7618E426">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233B1578">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1761" w:type="dxa"/>
            <w:gridSpan w:val="2"/>
            <w:tcBorders>
              <w:top w:val="single" w:color="auto" w:sz="4" w:space="0"/>
              <w:left w:val="nil"/>
              <w:bottom w:val="single" w:color="auto" w:sz="4" w:space="0"/>
              <w:right w:val="single" w:color="000000" w:sz="4" w:space="0"/>
            </w:tcBorders>
            <w:noWrap w:val="0"/>
            <w:vAlign w:val="center"/>
          </w:tcPr>
          <w:p w14:paraId="3D1F972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2.07</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6F5C0E1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2041" w:type="dxa"/>
            <w:gridSpan w:val="2"/>
            <w:tcBorders>
              <w:top w:val="single" w:color="auto" w:sz="4" w:space="0"/>
              <w:left w:val="nil"/>
              <w:bottom w:val="single" w:color="auto" w:sz="4" w:space="0"/>
              <w:right w:val="single" w:color="000000" w:sz="4" w:space="0"/>
            </w:tcBorders>
            <w:noWrap w:val="0"/>
            <w:vAlign w:val="center"/>
          </w:tcPr>
          <w:p w14:paraId="60EE261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r>
      <w:tr w14:paraId="47AC86EE">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3AE6FA6E">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1761" w:type="dxa"/>
            <w:gridSpan w:val="2"/>
            <w:tcBorders>
              <w:top w:val="single" w:color="auto" w:sz="4" w:space="0"/>
              <w:left w:val="nil"/>
              <w:bottom w:val="single" w:color="auto" w:sz="4" w:space="0"/>
              <w:right w:val="single" w:color="000000" w:sz="4" w:space="0"/>
            </w:tcBorders>
            <w:noWrap w:val="0"/>
            <w:vAlign w:val="center"/>
          </w:tcPr>
          <w:p w14:paraId="2721CF3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4ED9349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7AD4E6C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14:paraId="00FD06F4">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32BA2677">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1761" w:type="dxa"/>
            <w:gridSpan w:val="2"/>
            <w:tcBorders>
              <w:top w:val="single" w:color="auto" w:sz="4" w:space="0"/>
              <w:left w:val="nil"/>
              <w:bottom w:val="single" w:color="auto" w:sz="4" w:space="0"/>
              <w:right w:val="single" w:color="000000" w:sz="4" w:space="0"/>
            </w:tcBorders>
            <w:noWrap w:val="0"/>
            <w:vAlign w:val="center"/>
          </w:tcPr>
          <w:p w14:paraId="4ACB8F2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3DF3A19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7B71DE6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14:paraId="2C677EC4">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4228D6FE">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1761" w:type="dxa"/>
            <w:gridSpan w:val="2"/>
            <w:tcBorders>
              <w:top w:val="single" w:color="auto" w:sz="4" w:space="0"/>
              <w:left w:val="nil"/>
              <w:bottom w:val="single" w:color="auto" w:sz="4" w:space="0"/>
              <w:right w:val="single" w:color="000000" w:sz="4" w:space="0"/>
            </w:tcBorders>
            <w:noWrap w:val="0"/>
            <w:vAlign w:val="center"/>
          </w:tcPr>
          <w:p w14:paraId="2D90630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188.47</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50B473E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4867.90</w:t>
            </w:r>
          </w:p>
        </w:tc>
        <w:tc>
          <w:tcPr>
            <w:tcW w:w="2041" w:type="dxa"/>
            <w:gridSpan w:val="2"/>
            <w:tcBorders>
              <w:top w:val="single" w:color="auto" w:sz="4" w:space="0"/>
              <w:left w:val="nil"/>
              <w:bottom w:val="single" w:color="auto" w:sz="4" w:space="0"/>
              <w:right w:val="single" w:color="000000" w:sz="4" w:space="0"/>
            </w:tcBorders>
            <w:noWrap w:val="0"/>
            <w:vAlign w:val="center"/>
          </w:tcPr>
          <w:p w14:paraId="38A3AEE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4600.20</w:t>
            </w:r>
            <w:r>
              <w:rPr>
                <w:rFonts w:hint="eastAsia" w:ascii="仿宋_GB2312" w:hAnsi="仿宋_GB2312" w:eastAsia="仿宋_GB2312" w:cs="仿宋_GB2312"/>
                <w:sz w:val="20"/>
                <w:szCs w:val="20"/>
                <w:highlight w:val="none"/>
              </w:rPr>
              <w:t>　</w:t>
            </w:r>
          </w:p>
        </w:tc>
      </w:tr>
      <w:tr w14:paraId="51C29B84">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4622EABA">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1761" w:type="dxa"/>
            <w:gridSpan w:val="2"/>
            <w:tcBorders>
              <w:top w:val="single" w:color="auto" w:sz="4" w:space="0"/>
              <w:left w:val="nil"/>
              <w:bottom w:val="single" w:color="auto" w:sz="4" w:space="0"/>
              <w:right w:val="single" w:color="000000" w:sz="4" w:space="0"/>
            </w:tcBorders>
            <w:noWrap w:val="0"/>
            <w:vAlign w:val="center"/>
          </w:tcPr>
          <w:p w14:paraId="5C348CE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139.61</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3E9127D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114.97</w:t>
            </w:r>
          </w:p>
        </w:tc>
        <w:tc>
          <w:tcPr>
            <w:tcW w:w="2041" w:type="dxa"/>
            <w:gridSpan w:val="2"/>
            <w:tcBorders>
              <w:top w:val="single" w:color="auto" w:sz="4" w:space="0"/>
              <w:left w:val="nil"/>
              <w:bottom w:val="single" w:color="auto" w:sz="4" w:space="0"/>
              <w:right w:val="single" w:color="000000" w:sz="4" w:space="0"/>
            </w:tcBorders>
            <w:noWrap w:val="0"/>
            <w:vAlign w:val="center"/>
          </w:tcPr>
          <w:p w14:paraId="78A8581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113.95</w:t>
            </w:r>
          </w:p>
        </w:tc>
      </w:tr>
      <w:tr w14:paraId="58B5C0D3">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0C504410">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1761" w:type="dxa"/>
            <w:gridSpan w:val="2"/>
            <w:tcBorders>
              <w:top w:val="single" w:color="auto" w:sz="4" w:space="0"/>
              <w:left w:val="nil"/>
              <w:bottom w:val="single" w:color="auto" w:sz="4" w:space="0"/>
              <w:right w:val="single" w:color="000000" w:sz="4" w:space="0"/>
            </w:tcBorders>
            <w:noWrap w:val="0"/>
            <w:vAlign w:val="center"/>
          </w:tcPr>
          <w:p w14:paraId="23D2D70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27</w:t>
            </w:r>
          </w:p>
        </w:tc>
        <w:tc>
          <w:tcPr>
            <w:tcW w:w="2240" w:type="dxa"/>
            <w:gridSpan w:val="2"/>
            <w:tcBorders>
              <w:top w:val="single" w:color="auto" w:sz="4" w:space="0"/>
              <w:left w:val="nil"/>
              <w:bottom w:val="single" w:color="auto" w:sz="4" w:space="0"/>
              <w:right w:val="single" w:color="000000" w:sz="4" w:space="0"/>
            </w:tcBorders>
            <w:noWrap w:val="0"/>
            <w:vAlign w:val="center"/>
          </w:tcPr>
          <w:p w14:paraId="41B6025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38.59</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7B6212F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38.59</w:t>
            </w:r>
            <w:r>
              <w:rPr>
                <w:rFonts w:hint="eastAsia" w:ascii="仿宋_GB2312" w:hAnsi="仿宋_GB2312" w:eastAsia="仿宋_GB2312" w:cs="仿宋_GB2312"/>
                <w:sz w:val="20"/>
                <w:szCs w:val="20"/>
                <w:highlight w:val="none"/>
              </w:rPr>
              <w:t>　</w:t>
            </w:r>
          </w:p>
        </w:tc>
      </w:tr>
      <w:tr w14:paraId="7D63ABAD">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0F7C9CF0">
            <w:pPr>
              <w:keepNext w:val="0"/>
              <w:keepLines w:val="0"/>
              <w:pageBreakBefore w:val="0"/>
              <w:widowControl w:val="0"/>
              <w:kinsoku/>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1761" w:type="dxa"/>
            <w:gridSpan w:val="2"/>
            <w:tcBorders>
              <w:top w:val="single" w:color="auto" w:sz="4" w:space="0"/>
              <w:left w:val="nil"/>
              <w:bottom w:val="single" w:color="auto" w:sz="4" w:space="0"/>
              <w:right w:val="single" w:color="000000" w:sz="4" w:space="0"/>
            </w:tcBorders>
            <w:noWrap w:val="0"/>
            <w:vAlign w:val="center"/>
          </w:tcPr>
          <w:p w14:paraId="4192AF9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21.86</w:t>
            </w:r>
          </w:p>
        </w:tc>
        <w:tc>
          <w:tcPr>
            <w:tcW w:w="2240" w:type="dxa"/>
            <w:gridSpan w:val="2"/>
            <w:tcBorders>
              <w:top w:val="single" w:color="auto" w:sz="4" w:space="0"/>
              <w:left w:val="nil"/>
              <w:bottom w:val="single" w:color="auto" w:sz="4" w:space="0"/>
              <w:right w:val="single" w:color="000000" w:sz="4" w:space="0"/>
            </w:tcBorders>
            <w:noWrap w:val="0"/>
            <w:vAlign w:val="center"/>
          </w:tcPr>
          <w:p w14:paraId="289C3B4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1201182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p>
        </w:tc>
      </w:tr>
      <w:tr w14:paraId="531F6285">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0023A476">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 xml:space="preserve">  枫桥湖廉租房小区经济适用房办证费</w:t>
            </w:r>
          </w:p>
        </w:tc>
        <w:tc>
          <w:tcPr>
            <w:tcW w:w="1761" w:type="dxa"/>
            <w:gridSpan w:val="2"/>
            <w:tcBorders>
              <w:top w:val="single" w:color="auto" w:sz="4" w:space="0"/>
              <w:left w:val="nil"/>
              <w:bottom w:val="single" w:color="auto" w:sz="4" w:space="0"/>
              <w:right w:val="single" w:color="000000" w:sz="4" w:space="0"/>
            </w:tcBorders>
            <w:noWrap w:val="0"/>
            <w:vAlign w:val="center"/>
          </w:tcPr>
          <w:p w14:paraId="2117ABF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3295667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13.70</w:t>
            </w:r>
          </w:p>
        </w:tc>
        <w:tc>
          <w:tcPr>
            <w:tcW w:w="2041" w:type="dxa"/>
            <w:gridSpan w:val="2"/>
            <w:tcBorders>
              <w:top w:val="single" w:color="auto" w:sz="4" w:space="0"/>
              <w:left w:val="nil"/>
              <w:bottom w:val="single" w:color="auto" w:sz="4" w:space="0"/>
              <w:right w:val="single" w:color="000000" w:sz="4" w:space="0"/>
            </w:tcBorders>
            <w:noWrap w:val="0"/>
            <w:vAlign w:val="center"/>
          </w:tcPr>
          <w:p w14:paraId="1B7AB12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13.18</w:t>
            </w:r>
            <w:r>
              <w:rPr>
                <w:rFonts w:hint="eastAsia" w:ascii="仿宋_GB2312" w:hAnsi="仿宋_GB2312" w:eastAsia="仿宋_GB2312" w:cs="仿宋_GB2312"/>
                <w:sz w:val="20"/>
                <w:szCs w:val="20"/>
                <w:highlight w:val="none"/>
              </w:rPr>
              <w:t>　</w:t>
            </w:r>
          </w:p>
        </w:tc>
      </w:tr>
      <w:tr w14:paraId="249F8FC1">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46922247">
            <w:pPr>
              <w:keepNext w:val="0"/>
              <w:keepLines w:val="0"/>
              <w:pageBreakBefore w:val="0"/>
              <w:widowControl w:val="0"/>
              <w:kinsoku/>
              <w:overflowPunct/>
              <w:topLinePunct w:val="0"/>
              <w:autoSpaceDE/>
              <w:autoSpaceDN/>
              <w:bidi w:val="0"/>
              <w:adjustRightInd/>
              <w:snapToGrid/>
              <w:spacing w:line="360" w:lineRule="exact"/>
              <w:ind w:firstLine="200" w:firstLineChars="100"/>
              <w:jc w:val="both"/>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其他资金支出（收购恒大商品房用作保障性住房购置资金）</w:t>
            </w:r>
          </w:p>
        </w:tc>
        <w:tc>
          <w:tcPr>
            <w:tcW w:w="1761" w:type="dxa"/>
            <w:gridSpan w:val="2"/>
            <w:tcBorders>
              <w:top w:val="single" w:color="auto" w:sz="4" w:space="0"/>
              <w:left w:val="nil"/>
              <w:bottom w:val="single" w:color="auto" w:sz="4" w:space="0"/>
              <w:right w:val="single" w:color="000000" w:sz="4" w:space="0"/>
            </w:tcBorders>
            <w:noWrap w:val="0"/>
            <w:vAlign w:val="center"/>
          </w:tcPr>
          <w:p w14:paraId="7B730B3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1EDF8C8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4287.58</w:t>
            </w:r>
          </w:p>
        </w:tc>
        <w:tc>
          <w:tcPr>
            <w:tcW w:w="2041" w:type="dxa"/>
            <w:gridSpan w:val="2"/>
            <w:tcBorders>
              <w:top w:val="single" w:color="auto" w:sz="4" w:space="0"/>
              <w:left w:val="nil"/>
              <w:bottom w:val="single" w:color="auto" w:sz="4" w:space="0"/>
              <w:right w:val="single" w:color="000000" w:sz="4" w:space="0"/>
            </w:tcBorders>
            <w:noWrap w:val="0"/>
            <w:vAlign w:val="center"/>
          </w:tcPr>
          <w:p w14:paraId="4FDFE73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4287.58</w:t>
            </w:r>
          </w:p>
        </w:tc>
      </w:tr>
      <w:tr w14:paraId="1D0E5A46">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13842B57">
            <w:pPr>
              <w:keepNext w:val="0"/>
              <w:keepLines w:val="0"/>
              <w:pageBreakBefore w:val="0"/>
              <w:widowControl w:val="0"/>
              <w:kinsoku/>
              <w:overflowPunct/>
              <w:topLinePunct w:val="0"/>
              <w:autoSpaceDE/>
              <w:autoSpaceDN/>
              <w:bidi w:val="0"/>
              <w:adjustRightInd/>
              <w:snapToGrid/>
              <w:spacing w:line="360" w:lineRule="exact"/>
              <w:ind w:firstLine="200" w:firstLineChars="100"/>
              <w:jc w:val="both"/>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其他资金支出（其他资金结余）</w:t>
            </w:r>
          </w:p>
        </w:tc>
        <w:tc>
          <w:tcPr>
            <w:tcW w:w="1761" w:type="dxa"/>
            <w:gridSpan w:val="2"/>
            <w:tcBorders>
              <w:top w:val="single" w:color="auto" w:sz="4" w:space="0"/>
              <w:left w:val="nil"/>
              <w:bottom w:val="single" w:color="auto" w:sz="4" w:space="0"/>
              <w:right w:val="single" w:color="000000" w:sz="4" w:space="0"/>
            </w:tcBorders>
            <w:noWrap w:val="0"/>
            <w:vAlign w:val="center"/>
          </w:tcPr>
          <w:p w14:paraId="6166030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30F71A3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206.32</w:t>
            </w:r>
          </w:p>
        </w:tc>
        <w:tc>
          <w:tcPr>
            <w:tcW w:w="2041" w:type="dxa"/>
            <w:gridSpan w:val="2"/>
            <w:tcBorders>
              <w:top w:val="single" w:color="auto" w:sz="4" w:space="0"/>
              <w:left w:val="nil"/>
              <w:bottom w:val="single" w:color="auto" w:sz="4" w:space="0"/>
              <w:right w:val="single" w:color="000000" w:sz="4" w:space="0"/>
            </w:tcBorders>
            <w:noWrap w:val="0"/>
            <w:vAlign w:val="center"/>
          </w:tcPr>
          <w:p w14:paraId="197E301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59D75C13">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37FF2FBF">
            <w:pPr>
              <w:keepNext w:val="0"/>
              <w:keepLines w:val="0"/>
              <w:pageBreakBefore w:val="0"/>
              <w:widowControl w:val="0"/>
              <w:kinsoku/>
              <w:overflowPunct/>
              <w:topLinePunct w:val="0"/>
              <w:autoSpaceDE/>
              <w:autoSpaceDN/>
              <w:bidi w:val="0"/>
              <w:adjustRightInd/>
              <w:snapToGrid/>
              <w:spacing w:line="360" w:lineRule="exact"/>
              <w:ind w:firstLine="200" w:firstLineChars="100"/>
              <w:jc w:val="both"/>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2024年单位指标结余结转</w:t>
            </w:r>
          </w:p>
        </w:tc>
        <w:tc>
          <w:tcPr>
            <w:tcW w:w="1761" w:type="dxa"/>
            <w:gridSpan w:val="2"/>
            <w:tcBorders>
              <w:top w:val="single" w:color="auto" w:sz="4" w:space="0"/>
              <w:left w:val="nil"/>
              <w:bottom w:val="single" w:color="auto" w:sz="4" w:space="0"/>
              <w:right w:val="single" w:color="000000" w:sz="4" w:space="0"/>
            </w:tcBorders>
            <w:noWrap w:val="0"/>
            <w:vAlign w:val="center"/>
          </w:tcPr>
          <w:p w14:paraId="3F00AC7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62A5D53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206.74</w:t>
            </w:r>
          </w:p>
        </w:tc>
        <w:tc>
          <w:tcPr>
            <w:tcW w:w="2041" w:type="dxa"/>
            <w:gridSpan w:val="2"/>
            <w:tcBorders>
              <w:top w:val="single" w:color="auto" w:sz="4" w:space="0"/>
              <w:left w:val="nil"/>
              <w:bottom w:val="single" w:color="auto" w:sz="4" w:space="0"/>
              <w:right w:val="single" w:color="000000" w:sz="4" w:space="0"/>
            </w:tcBorders>
            <w:noWrap w:val="0"/>
            <w:vAlign w:val="center"/>
          </w:tcPr>
          <w:p w14:paraId="5EF06D6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146.90</w:t>
            </w:r>
          </w:p>
        </w:tc>
      </w:tr>
      <w:tr w14:paraId="66DE54CD">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03916D86">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1761" w:type="dxa"/>
            <w:gridSpan w:val="2"/>
            <w:tcBorders>
              <w:top w:val="single" w:color="auto" w:sz="4" w:space="0"/>
              <w:left w:val="nil"/>
              <w:bottom w:val="single" w:color="auto" w:sz="4" w:space="0"/>
              <w:right w:val="single" w:color="000000" w:sz="4" w:space="0"/>
            </w:tcBorders>
            <w:noWrap w:val="0"/>
            <w:vAlign w:val="center"/>
          </w:tcPr>
          <w:p w14:paraId="5EA7F69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140.02</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3BF1F86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216.56</w:t>
            </w:r>
          </w:p>
        </w:tc>
        <w:tc>
          <w:tcPr>
            <w:tcW w:w="2041" w:type="dxa"/>
            <w:gridSpan w:val="2"/>
            <w:tcBorders>
              <w:top w:val="single" w:color="auto" w:sz="4" w:space="0"/>
              <w:left w:val="nil"/>
              <w:bottom w:val="single" w:color="auto" w:sz="4" w:space="0"/>
              <w:right w:val="single" w:color="000000" w:sz="4" w:space="0"/>
            </w:tcBorders>
            <w:noWrap w:val="0"/>
            <w:vAlign w:val="center"/>
          </w:tcPr>
          <w:p w14:paraId="649C0F8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202.76</w:t>
            </w:r>
            <w:r>
              <w:rPr>
                <w:rFonts w:hint="eastAsia" w:ascii="仿宋_GB2312" w:hAnsi="仿宋_GB2312" w:eastAsia="仿宋_GB2312" w:cs="仿宋_GB2312"/>
                <w:sz w:val="20"/>
                <w:szCs w:val="20"/>
                <w:highlight w:val="none"/>
              </w:rPr>
              <w:t>　</w:t>
            </w:r>
          </w:p>
        </w:tc>
      </w:tr>
      <w:tr w14:paraId="4351FD26">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38713AA3">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1761" w:type="dxa"/>
            <w:gridSpan w:val="2"/>
            <w:tcBorders>
              <w:top w:val="single" w:color="auto" w:sz="4" w:space="0"/>
              <w:left w:val="nil"/>
              <w:bottom w:val="single" w:color="auto" w:sz="4" w:space="0"/>
              <w:right w:val="single" w:color="000000" w:sz="4" w:space="0"/>
            </w:tcBorders>
            <w:noWrap w:val="0"/>
            <w:vAlign w:val="center"/>
          </w:tcPr>
          <w:p w14:paraId="334E2C6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4.08</w:t>
            </w:r>
          </w:p>
        </w:tc>
        <w:tc>
          <w:tcPr>
            <w:tcW w:w="2240" w:type="dxa"/>
            <w:gridSpan w:val="2"/>
            <w:tcBorders>
              <w:top w:val="single" w:color="auto" w:sz="4" w:space="0"/>
              <w:left w:val="nil"/>
              <w:bottom w:val="single" w:color="auto" w:sz="4" w:space="0"/>
              <w:right w:val="single" w:color="000000" w:sz="4" w:space="0"/>
            </w:tcBorders>
            <w:noWrap w:val="0"/>
            <w:vAlign w:val="center"/>
          </w:tcPr>
          <w:p w14:paraId="4001E8F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21.69</w:t>
            </w:r>
          </w:p>
        </w:tc>
        <w:tc>
          <w:tcPr>
            <w:tcW w:w="2041" w:type="dxa"/>
            <w:gridSpan w:val="2"/>
            <w:tcBorders>
              <w:top w:val="single" w:color="auto" w:sz="4" w:space="0"/>
              <w:left w:val="nil"/>
              <w:bottom w:val="single" w:color="auto" w:sz="4" w:space="0"/>
              <w:right w:val="single" w:color="000000" w:sz="4" w:space="0"/>
            </w:tcBorders>
            <w:noWrap w:val="0"/>
            <w:vAlign w:val="center"/>
          </w:tcPr>
          <w:p w14:paraId="1DA59DB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21.69</w:t>
            </w:r>
          </w:p>
        </w:tc>
      </w:tr>
      <w:tr w14:paraId="5179C150">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6B506E4B">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1761" w:type="dxa"/>
            <w:gridSpan w:val="2"/>
            <w:tcBorders>
              <w:top w:val="single" w:color="auto" w:sz="4" w:space="0"/>
              <w:left w:val="nil"/>
              <w:bottom w:val="single" w:color="auto" w:sz="4" w:space="0"/>
              <w:right w:val="single" w:color="000000" w:sz="4" w:space="0"/>
            </w:tcBorders>
            <w:noWrap w:val="0"/>
            <w:vAlign w:val="center"/>
          </w:tcPr>
          <w:p w14:paraId="1671A9D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20.17</w:t>
            </w:r>
            <w:r>
              <w:rPr>
                <w:rFonts w:hint="eastAsia" w:ascii="仿宋_GB2312" w:hAnsi="仿宋_GB2312" w:eastAsia="仿宋_GB2312" w:cs="仿宋_GB2312"/>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1DFDD3D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11.23</w:t>
            </w:r>
          </w:p>
        </w:tc>
        <w:tc>
          <w:tcPr>
            <w:tcW w:w="2041" w:type="dxa"/>
            <w:gridSpan w:val="2"/>
            <w:tcBorders>
              <w:top w:val="single" w:color="auto" w:sz="4" w:space="0"/>
              <w:left w:val="nil"/>
              <w:bottom w:val="single" w:color="auto" w:sz="4" w:space="0"/>
              <w:right w:val="single" w:color="000000" w:sz="4" w:space="0"/>
            </w:tcBorders>
            <w:noWrap w:val="0"/>
            <w:vAlign w:val="center"/>
          </w:tcPr>
          <w:p w14:paraId="1BE331C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11.23</w:t>
            </w:r>
            <w:r>
              <w:rPr>
                <w:rFonts w:hint="eastAsia" w:ascii="仿宋_GB2312" w:hAnsi="仿宋_GB2312" w:eastAsia="仿宋_GB2312" w:cs="仿宋_GB2312"/>
                <w:color w:val="auto"/>
                <w:sz w:val="20"/>
                <w:szCs w:val="20"/>
                <w:highlight w:val="none"/>
              </w:rPr>
              <w:t>　</w:t>
            </w:r>
          </w:p>
        </w:tc>
      </w:tr>
      <w:tr w14:paraId="14C7AC39">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4F3B1B54">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1761" w:type="dxa"/>
            <w:gridSpan w:val="2"/>
            <w:tcBorders>
              <w:top w:val="single" w:color="auto" w:sz="4" w:space="0"/>
              <w:left w:val="nil"/>
              <w:bottom w:val="single" w:color="auto" w:sz="4" w:space="0"/>
              <w:right w:val="single" w:color="000000" w:sz="4" w:space="0"/>
            </w:tcBorders>
            <w:noWrap w:val="0"/>
            <w:vAlign w:val="center"/>
          </w:tcPr>
          <w:p w14:paraId="2A5D306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0</w:t>
            </w:r>
            <w:r>
              <w:rPr>
                <w:rFonts w:hint="eastAsia" w:ascii="仿宋_GB2312" w:hAnsi="仿宋_GB2312" w:eastAsia="仿宋_GB2312" w:cs="仿宋_GB2312"/>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0E74ED6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0</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3CF4243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0</w:t>
            </w:r>
            <w:r>
              <w:rPr>
                <w:rFonts w:hint="eastAsia" w:ascii="仿宋_GB2312" w:hAnsi="仿宋_GB2312" w:eastAsia="仿宋_GB2312" w:cs="仿宋_GB2312"/>
                <w:color w:val="auto"/>
                <w:sz w:val="20"/>
                <w:szCs w:val="20"/>
                <w:highlight w:val="none"/>
              </w:rPr>
              <w:t>　</w:t>
            </w:r>
          </w:p>
        </w:tc>
      </w:tr>
      <w:tr w14:paraId="1E27C836">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43DCA5B5">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1761" w:type="dxa"/>
            <w:gridSpan w:val="2"/>
            <w:tcBorders>
              <w:top w:val="single" w:color="auto" w:sz="4" w:space="0"/>
              <w:left w:val="nil"/>
              <w:bottom w:val="single" w:color="auto" w:sz="4" w:space="0"/>
              <w:right w:val="single" w:color="000000" w:sz="4" w:space="0"/>
            </w:tcBorders>
            <w:noWrap w:val="0"/>
            <w:vAlign w:val="center"/>
          </w:tcPr>
          <w:p w14:paraId="18E54EE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0919B7A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54.32</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0A746CF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54.32</w:t>
            </w:r>
            <w:r>
              <w:rPr>
                <w:rFonts w:hint="eastAsia" w:ascii="仿宋_GB2312" w:hAnsi="仿宋_GB2312" w:eastAsia="仿宋_GB2312" w:cs="仿宋_GB2312"/>
                <w:sz w:val="20"/>
                <w:szCs w:val="20"/>
                <w:highlight w:val="none"/>
              </w:rPr>
              <w:t>　</w:t>
            </w:r>
          </w:p>
        </w:tc>
      </w:tr>
      <w:tr w14:paraId="28E2C283">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7A13727E">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1761" w:type="dxa"/>
            <w:gridSpan w:val="2"/>
            <w:tcBorders>
              <w:top w:val="single" w:color="auto" w:sz="4" w:space="0"/>
              <w:left w:val="nil"/>
              <w:bottom w:val="single" w:color="auto" w:sz="4" w:space="0"/>
              <w:right w:val="single" w:color="000000" w:sz="4" w:space="0"/>
            </w:tcBorders>
            <w:noWrap w:val="0"/>
            <w:vAlign w:val="center"/>
          </w:tcPr>
          <w:p w14:paraId="1DA817F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757A3E6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1621.49</w:t>
            </w:r>
          </w:p>
        </w:tc>
        <w:tc>
          <w:tcPr>
            <w:tcW w:w="2041" w:type="dxa"/>
            <w:gridSpan w:val="2"/>
            <w:tcBorders>
              <w:top w:val="single" w:color="auto" w:sz="4" w:space="0"/>
              <w:left w:val="nil"/>
              <w:bottom w:val="single" w:color="auto" w:sz="4" w:space="0"/>
              <w:right w:val="single" w:color="000000" w:sz="4" w:space="0"/>
            </w:tcBorders>
            <w:noWrap w:val="0"/>
            <w:vAlign w:val="center"/>
          </w:tcPr>
          <w:p w14:paraId="22F9C88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1590.09</w:t>
            </w:r>
            <w:r>
              <w:rPr>
                <w:rFonts w:hint="eastAsia" w:ascii="仿宋_GB2312" w:hAnsi="仿宋_GB2312" w:eastAsia="仿宋_GB2312" w:cs="仿宋_GB2312"/>
                <w:sz w:val="20"/>
                <w:szCs w:val="20"/>
                <w:highlight w:val="none"/>
              </w:rPr>
              <w:t>　</w:t>
            </w:r>
          </w:p>
        </w:tc>
      </w:tr>
      <w:tr w14:paraId="7C3E0E5B">
        <w:tblPrEx>
          <w:tblCellMar>
            <w:top w:w="0" w:type="dxa"/>
            <w:left w:w="108" w:type="dxa"/>
            <w:bottom w:w="0" w:type="dxa"/>
            <w:right w:w="108" w:type="dxa"/>
          </w:tblCellMar>
        </w:tblPrEx>
        <w:trPr>
          <w:trHeight w:val="0" w:hRule="atLeast"/>
          <w:jc w:val="center"/>
        </w:trPr>
        <w:tc>
          <w:tcPr>
            <w:tcW w:w="3631" w:type="dxa"/>
            <w:vMerge w:val="restart"/>
            <w:tcBorders>
              <w:top w:val="nil"/>
              <w:left w:val="single" w:color="auto" w:sz="4" w:space="0"/>
              <w:bottom w:val="single" w:color="auto" w:sz="4" w:space="0"/>
              <w:right w:val="single" w:color="auto" w:sz="4" w:space="0"/>
            </w:tcBorders>
            <w:noWrap w:val="0"/>
            <w:vAlign w:val="center"/>
          </w:tcPr>
          <w:p w14:paraId="73B2A85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5</w:t>
            </w:r>
            <w:r>
              <w:rPr>
                <w:rFonts w:hint="eastAsia" w:ascii="仿宋_GB2312" w:hAnsi="仿宋_GB2312" w:eastAsia="仿宋_GB2312" w:cs="仿宋_GB2312"/>
                <w:sz w:val="20"/>
                <w:szCs w:val="20"/>
                <w:highlight w:val="none"/>
              </w:rPr>
              <w:t>年完工项目）</w:t>
            </w:r>
          </w:p>
        </w:tc>
        <w:tc>
          <w:tcPr>
            <w:tcW w:w="912" w:type="dxa"/>
            <w:tcBorders>
              <w:top w:val="nil"/>
              <w:left w:val="nil"/>
              <w:bottom w:val="single" w:color="auto" w:sz="4" w:space="0"/>
              <w:right w:val="single" w:color="auto" w:sz="4" w:space="0"/>
            </w:tcBorders>
            <w:noWrap w:val="0"/>
            <w:vAlign w:val="center"/>
          </w:tcPr>
          <w:p w14:paraId="1DACDB4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14:paraId="744E458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14:paraId="2BACF9E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14:paraId="408C84D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14:paraId="278BFBE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14:paraId="73EB723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14:paraId="19009569">
        <w:tblPrEx>
          <w:tblCellMar>
            <w:top w:w="0" w:type="dxa"/>
            <w:left w:w="108" w:type="dxa"/>
            <w:bottom w:w="0" w:type="dxa"/>
            <w:right w:w="108" w:type="dxa"/>
          </w:tblCellMar>
        </w:tblPrEx>
        <w:trPr>
          <w:trHeight w:val="0" w:hRule="atLeast"/>
          <w:jc w:val="center"/>
        </w:trPr>
        <w:tc>
          <w:tcPr>
            <w:tcW w:w="3631" w:type="dxa"/>
            <w:vMerge w:val="continue"/>
            <w:tcBorders>
              <w:top w:val="nil"/>
              <w:left w:val="single" w:color="auto" w:sz="4" w:space="0"/>
              <w:bottom w:val="single" w:color="auto" w:sz="4" w:space="0"/>
              <w:right w:val="single" w:color="auto" w:sz="4" w:space="0"/>
            </w:tcBorders>
            <w:noWrap w:val="0"/>
            <w:vAlign w:val="center"/>
          </w:tcPr>
          <w:p w14:paraId="53EE4817">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912" w:type="dxa"/>
            <w:tcBorders>
              <w:top w:val="nil"/>
              <w:left w:val="nil"/>
              <w:bottom w:val="single" w:color="auto" w:sz="4" w:space="0"/>
              <w:right w:val="single" w:color="auto" w:sz="4" w:space="0"/>
            </w:tcBorders>
            <w:noWrap w:val="0"/>
            <w:vAlign w:val="center"/>
          </w:tcPr>
          <w:p w14:paraId="7A1FF50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14:paraId="012357F2">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0</w:t>
            </w:r>
          </w:p>
        </w:tc>
        <w:tc>
          <w:tcPr>
            <w:tcW w:w="1129" w:type="dxa"/>
            <w:tcBorders>
              <w:top w:val="nil"/>
              <w:left w:val="nil"/>
              <w:bottom w:val="single" w:color="auto" w:sz="4" w:space="0"/>
              <w:right w:val="single" w:color="auto" w:sz="4" w:space="0"/>
            </w:tcBorders>
            <w:noWrap w:val="0"/>
            <w:vAlign w:val="center"/>
          </w:tcPr>
          <w:p w14:paraId="1702682B">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11" w:type="dxa"/>
            <w:tcBorders>
              <w:top w:val="nil"/>
              <w:left w:val="nil"/>
              <w:bottom w:val="single" w:color="auto" w:sz="4" w:space="0"/>
              <w:right w:val="single" w:color="auto" w:sz="4" w:space="0"/>
            </w:tcBorders>
            <w:noWrap w:val="0"/>
            <w:vAlign w:val="center"/>
          </w:tcPr>
          <w:p w14:paraId="35999E6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081" w:type="dxa"/>
            <w:tcBorders>
              <w:top w:val="nil"/>
              <w:left w:val="nil"/>
              <w:bottom w:val="single" w:color="auto" w:sz="4" w:space="0"/>
              <w:right w:val="single" w:color="auto" w:sz="4" w:space="0"/>
            </w:tcBorders>
            <w:noWrap w:val="0"/>
            <w:vAlign w:val="center"/>
          </w:tcPr>
          <w:p w14:paraId="5B9CCD4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960" w:type="dxa"/>
            <w:tcBorders>
              <w:top w:val="nil"/>
              <w:left w:val="nil"/>
              <w:bottom w:val="single" w:color="auto" w:sz="4" w:space="0"/>
              <w:right w:val="single" w:color="auto" w:sz="4" w:space="0"/>
            </w:tcBorders>
            <w:noWrap w:val="0"/>
            <w:vAlign w:val="center"/>
          </w:tcPr>
          <w:p w14:paraId="4D6A43A7">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631089F6">
        <w:tblPrEx>
          <w:tblCellMar>
            <w:top w:w="0" w:type="dxa"/>
            <w:left w:w="108" w:type="dxa"/>
            <w:bottom w:w="0" w:type="dxa"/>
            <w:right w:w="108" w:type="dxa"/>
          </w:tblCellMar>
        </w:tblPrEx>
        <w:trPr>
          <w:trHeight w:val="0" w:hRule="atLeast"/>
          <w:jc w:val="center"/>
        </w:trPr>
        <w:tc>
          <w:tcPr>
            <w:tcW w:w="3631" w:type="dxa"/>
            <w:tcBorders>
              <w:top w:val="nil"/>
              <w:left w:val="single" w:color="auto" w:sz="4" w:space="0"/>
              <w:bottom w:val="single" w:color="auto" w:sz="4" w:space="0"/>
              <w:right w:val="single" w:color="auto" w:sz="4" w:space="0"/>
            </w:tcBorders>
            <w:noWrap w:val="0"/>
            <w:vAlign w:val="center"/>
          </w:tcPr>
          <w:p w14:paraId="125E6E1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042" w:type="dxa"/>
            <w:gridSpan w:val="6"/>
            <w:tcBorders>
              <w:top w:val="single" w:color="auto" w:sz="4" w:space="0"/>
              <w:left w:val="nil"/>
              <w:bottom w:val="single" w:color="auto" w:sz="4" w:space="0"/>
              <w:right w:val="single" w:color="000000" w:sz="4" w:space="0"/>
            </w:tcBorders>
            <w:noWrap w:val="0"/>
            <w:vAlign w:val="center"/>
          </w:tcPr>
          <w:p w14:paraId="56F3AE88">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严格经费预算管理，压缩非必要支出，规范报销审核；加强办公耗材、水电能耗管控，推行无纸化办公，杜绝浪费；规范公务接待、差旅及公车使用，严格执行标准；强化资产统筹调配与高效利用，避免重复购置</w:t>
            </w: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rPr>
              <w:t>　</w:t>
            </w:r>
          </w:p>
        </w:tc>
      </w:tr>
    </w:tbl>
    <w:p w14:paraId="0390CA73">
      <w:pPr>
        <w:keepNext w:val="0"/>
        <w:keepLines w:val="0"/>
        <w:pageBreakBefore w:val="0"/>
        <w:widowControl w:val="0"/>
        <w:kinsoku/>
        <w:overflowPunct/>
        <w:topLinePunct w:val="0"/>
        <w:autoSpaceDE/>
        <w:autoSpaceDN/>
        <w:bidi w:val="0"/>
        <w:adjustRightInd/>
        <w:snapToGrid/>
        <w:spacing w:afterLines="0" w:line="400" w:lineRule="exact"/>
        <w:ind w:left="660" w:hanging="660" w:hangingChars="300"/>
        <w:jc w:val="left"/>
        <w:textAlignment w:val="auto"/>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14:paraId="0D61F0C1">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color w:val="000000" w:themeColor="text1"/>
          <w:sz w:val="22"/>
          <w:highlight w:val="none"/>
          <w14:textFill>
            <w14:solidFill>
              <w14:schemeClr w14:val="tx1"/>
            </w14:solidFill>
          </w14:textFill>
        </w:rPr>
        <w:sectPr>
          <w:pgSz w:w="11906" w:h="16838"/>
          <w:pgMar w:top="1270" w:right="1800" w:bottom="1213" w:left="1800"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pPr>
      <w:r>
        <w:rPr>
          <w:rFonts w:hint="default" w:ascii="Times New Roman" w:hAnsi="Times New Roman" w:eastAsia="仿宋_GB2312" w:cs="Times New Roman"/>
          <w:sz w:val="22"/>
          <w:highlight w:val="none"/>
        </w:rPr>
        <w:t>填表人</w:t>
      </w:r>
      <w:r>
        <w:rPr>
          <w:rFonts w:hint="eastAsia" w:eastAsia="仿宋_GB2312" w:cs="Times New Roman"/>
          <w:sz w:val="22"/>
          <w:highlight w:val="none"/>
          <w:lang w:val="en-US" w:eastAsia="zh-CN"/>
        </w:rPr>
        <w:t>李青</w:t>
      </w:r>
      <w:r>
        <w:rPr>
          <w:rFonts w:hint="default" w:ascii="Times New Roman" w:hAnsi="Times New Roman" w:eastAsia="仿宋_GB2312" w:cs="Times New Roman"/>
          <w:sz w:val="22"/>
          <w:highlight w:val="none"/>
        </w:rPr>
        <w:t xml:space="preserve"> 填报日期：</w:t>
      </w:r>
      <w:r>
        <w:rPr>
          <w:rFonts w:hint="eastAsia" w:eastAsia="仿宋_GB2312" w:cs="Times New Roman"/>
          <w:sz w:val="22"/>
          <w:highlight w:val="none"/>
          <w:lang w:val="en-US" w:eastAsia="zh-CN"/>
        </w:rPr>
        <w:t>2026.4.2</w:t>
      </w:r>
      <w:r>
        <w:rPr>
          <w:rFonts w:hint="default" w:ascii="Times New Roman" w:hAnsi="Times New Roman" w:eastAsia="仿宋_GB2312" w:cs="Times New Roman"/>
          <w:sz w:val="22"/>
          <w:highlight w:val="none"/>
        </w:rPr>
        <w:t xml:space="preserve"> 联系电话：</w:t>
      </w:r>
      <w:r>
        <w:rPr>
          <w:rFonts w:hint="eastAsia" w:eastAsia="仿宋_GB2312" w:cs="Times New Roman"/>
          <w:sz w:val="22"/>
          <w:highlight w:val="none"/>
          <w:lang w:val="en-US" w:eastAsia="zh-CN"/>
        </w:rPr>
        <w:t>13873083020</w:t>
      </w:r>
      <w:r>
        <w:rPr>
          <w:rFonts w:hint="default" w:ascii="Times New Roman" w:hAnsi="Times New Roman" w:eastAsia="仿宋_GB2312" w:cs="Times New Roman"/>
          <w:sz w:val="22"/>
          <w:highlight w:val="none"/>
        </w:rPr>
        <w:t xml:space="preserve">  单位负责人签字：</w:t>
      </w:r>
      <w:r>
        <w:rPr>
          <w:rFonts w:hint="eastAsia" w:ascii="Times New Roman" w:hAnsi="Times New Roman" w:eastAsia="仿宋_GB2312" w:cs="Times New Roman"/>
          <w:sz w:val="22"/>
          <w:highlight w:val="none"/>
          <w:lang w:val="en-US" w:eastAsia="zh-CN"/>
        </w:rPr>
        <w:t>黎朝晖</w:t>
      </w:r>
      <w:r>
        <w:rPr>
          <w:rFonts w:hint="default" w:ascii="Times New Roman" w:hAnsi="Times New Roman" w:eastAsia="仿宋_GB2312" w:cs="Times New Roman"/>
          <w:color w:val="000000" w:themeColor="text1"/>
          <w:sz w:val="22"/>
          <w:highlight w:val="none"/>
          <w14:textFill>
            <w14:solidFill>
              <w14:schemeClr w14:val="tx1"/>
            </w14:solidFill>
          </w14:textFill>
        </w:rPr>
        <w:br w:type="page"/>
      </w:r>
    </w:p>
    <w:p w14:paraId="6321CD59">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黑体"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附件</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2</w:t>
      </w:r>
    </w:p>
    <w:p w14:paraId="2CB24FA6">
      <w:pPr>
        <w:widowControl/>
        <w:spacing w:after="120" w:afterLines="50"/>
        <w:jc w:val="cente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pP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202</w:t>
      </w:r>
      <w:r>
        <w:rPr>
          <w:rFonts w:hint="eastAsia" w:ascii="Times New Roman" w:hAnsi="Times New Roman" w:eastAsia="方正小标宋简体" w:cs="Times New Roman"/>
          <w:color w:val="000000" w:themeColor="text1"/>
          <w:sz w:val="36"/>
          <w:szCs w:val="36"/>
          <w:highlight w:val="none"/>
          <w:lang w:val="en-US" w:eastAsia="zh-CN"/>
          <w14:textFill>
            <w14:solidFill>
              <w14:schemeClr w14:val="tx1"/>
            </w14:solidFill>
          </w14:textFill>
        </w:rPr>
        <w:t>5</w:t>
      </w: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年度部门整体支出绩效自评表</w:t>
      </w:r>
    </w:p>
    <w:tbl>
      <w:tblPr>
        <w:tblStyle w:val="8"/>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058"/>
        <w:gridCol w:w="1056"/>
        <w:gridCol w:w="1423"/>
        <w:gridCol w:w="1541"/>
        <w:gridCol w:w="1567"/>
        <w:gridCol w:w="692"/>
        <w:gridCol w:w="861"/>
        <w:gridCol w:w="1031"/>
      </w:tblGrid>
      <w:tr w14:paraId="0BDC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14:paraId="7E62550E">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eastAsia="zh-CN"/>
                <w14:textFill>
                  <w14:solidFill>
                    <w14:schemeClr w14:val="tx1"/>
                  </w14:solidFill>
                </w14:textFill>
              </w:rPr>
              <w:t>市</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级预算部门名称</w:t>
            </w:r>
          </w:p>
        </w:tc>
        <w:tc>
          <w:tcPr>
            <w:tcW w:w="9229" w:type="dxa"/>
            <w:gridSpan w:val="8"/>
            <w:noWrap w:val="0"/>
            <w:vAlign w:val="center"/>
          </w:tcPr>
          <w:p w14:paraId="08E0352B">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岳阳市住房保障服务中心</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61EA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restart"/>
            <w:noWrap w:val="0"/>
            <w:vAlign w:val="center"/>
          </w:tcPr>
          <w:p w14:paraId="720B0CA9">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年度预</w:t>
            </w:r>
          </w:p>
          <w:p w14:paraId="07482A5D">
            <w:pPr>
              <w:widowControl/>
              <w:spacing w:line="240" w:lineRule="exact"/>
              <w:jc w:val="center"/>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算申请</w:t>
            </w:r>
          </w:p>
          <w:p w14:paraId="6EAA6523">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（万元）</w:t>
            </w:r>
          </w:p>
        </w:tc>
        <w:tc>
          <w:tcPr>
            <w:tcW w:w="2114" w:type="dxa"/>
            <w:gridSpan w:val="2"/>
            <w:noWrap w:val="0"/>
            <w:vAlign w:val="center"/>
          </w:tcPr>
          <w:p w14:paraId="1CD2918B">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noWrap w:val="0"/>
            <w:vAlign w:val="center"/>
          </w:tcPr>
          <w:p w14:paraId="7D5A1978">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年初预算数</w:t>
            </w:r>
          </w:p>
        </w:tc>
        <w:tc>
          <w:tcPr>
            <w:tcW w:w="1541" w:type="dxa"/>
            <w:noWrap w:val="0"/>
            <w:vAlign w:val="center"/>
          </w:tcPr>
          <w:p w14:paraId="3F4B81EC">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全年预算数</w:t>
            </w:r>
          </w:p>
        </w:tc>
        <w:tc>
          <w:tcPr>
            <w:tcW w:w="1567" w:type="dxa"/>
            <w:noWrap w:val="0"/>
            <w:vAlign w:val="center"/>
          </w:tcPr>
          <w:p w14:paraId="58789C78">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全年执行数</w:t>
            </w:r>
          </w:p>
        </w:tc>
        <w:tc>
          <w:tcPr>
            <w:tcW w:w="692" w:type="dxa"/>
            <w:noWrap w:val="0"/>
            <w:vAlign w:val="center"/>
          </w:tcPr>
          <w:p w14:paraId="28381738">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861" w:type="dxa"/>
            <w:noWrap w:val="0"/>
            <w:vAlign w:val="center"/>
          </w:tcPr>
          <w:p w14:paraId="415574CF">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执行率</w:t>
            </w:r>
          </w:p>
        </w:tc>
        <w:tc>
          <w:tcPr>
            <w:tcW w:w="1031" w:type="dxa"/>
            <w:noWrap w:val="0"/>
            <w:vAlign w:val="center"/>
          </w:tcPr>
          <w:p w14:paraId="5F750CA8">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r>
      <w:tr w14:paraId="3BDB4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139E1FDF">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14" w:type="dxa"/>
            <w:gridSpan w:val="2"/>
            <w:noWrap w:val="0"/>
            <w:vAlign w:val="center"/>
          </w:tcPr>
          <w:p w14:paraId="2135A70E">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年度资金总额</w:t>
            </w:r>
          </w:p>
        </w:tc>
        <w:tc>
          <w:tcPr>
            <w:tcW w:w="1423" w:type="dxa"/>
            <w:shd w:val="clear" w:color="auto" w:fill="auto"/>
            <w:noWrap w:val="0"/>
            <w:vAlign w:val="center"/>
          </w:tcPr>
          <w:p w14:paraId="4D55725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1491.61</w:t>
            </w:r>
          </w:p>
        </w:tc>
        <w:tc>
          <w:tcPr>
            <w:tcW w:w="1541" w:type="dxa"/>
            <w:shd w:val="clear" w:color="auto" w:fill="auto"/>
            <w:noWrap w:val="0"/>
            <w:vAlign w:val="center"/>
          </w:tcPr>
          <w:p w14:paraId="3BEB537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6489.39</w:t>
            </w:r>
          </w:p>
        </w:tc>
        <w:tc>
          <w:tcPr>
            <w:tcW w:w="1567" w:type="dxa"/>
            <w:shd w:val="clear" w:color="auto" w:fill="auto"/>
            <w:noWrap w:val="0"/>
            <w:vAlign w:val="center"/>
          </w:tcPr>
          <w:p w14:paraId="01656DE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6190.29</w:t>
            </w:r>
          </w:p>
        </w:tc>
        <w:tc>
          <w:tcPr>
            <w:tcW w:w="692" w:type="dxa"/>
            <w:shd w:val="clear" w:color="auto" w:fill="auto"/>
            <w:noWrap w:val="0"/>
            <w:vAlign w:val="center"/>
          </w:tcPr>
          <w:p w14:paraId="458FDC5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rPr>
              <w:t>10</w:t>
            </w:r>
          </w:p>
        </w:tc>
        <w:tc>
          <w:tcPr>
            <w:tcW w:w="861" w:type="dxa"/>
            <w:shd w:val="clear" w:color="auto" w:fill="auto"/>
            <w:noWrap w:val="0"/>
            <w:vAlign w:val="center"/>
          </w:tcPr>
          <w:p w14:paraId="5A5D2D0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95.39%</w:t>
            </w:r>
          </w:p>
        </w:tc>
        <w:tc>
          <w:tcPr>
            <w:tcW w:w="1031" w:type="dxa"/>
            <w:shd w:val="clear" w:color="auto" w:fill="auto"/>
            <w:noWrap w:val="0"/>
            <w:vAlign w:val="center"/>
          </w:tcPr>
          <w:p w14:paraId="79C0E69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9.54</w:t>
            </w:r>
          </w:p>
        </w:tc>
      </w:tr>
      <w:tr w14:paraId="16F08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74C22E25">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22994D90">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按收入性质分：</w:t>
            </w:r>
          </w:p>
        </w:tc>
        <w:tc>
          <w:tcPr>
            <w:tcW w:w="4151" w:type="dxa"/>
            <w:gridSpan w:val="4"/>
            <w:noWrap w:val="0"/>
            <w:vAlign w:val="center"/>
          </w:tcPr>
          <w:p w14:paraId="7F664E9F">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按支出性质分：</w:t>
            </w:r>
          </w:p>
        </w:tc>
      </w:tr>
      <w:tr w14:paraId="15CB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255B01F8">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36BD6C5F">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其中：  一般公共预算：</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1972.60</w:t>
            </w:r>
          </w:p>
        </w:tc>
        <w:tc>
          <w:tcPr>
            <w:tcW w:w="4151" w:type="dxa"/>
            <w:gridSpan w:val="4"/>
            <w:noWrap w:val="0"/>
            <w:vAlign w:val="center"/>
          </w:tcPr>
          <w:p w14:paraId="53BA4272">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其中：基本支出：</w:t>
            </w:r>
            <w:r>
              <w:rPr>
                <w:rFonts w:hint="eastAsia" w:ascii="仿宋_GB2312" w:hAnsi="仿宋_GB2312" w:eastAsia="仿宋_GB2312" w:cs="仿宋_GB2312"/>
                <w:color w:val="000000"/>
                <w:sz w:val="20"/>
                <w:szCs w:val="20"/>
                <w:highlight w:val="none"/>
                <w:lang w:val="en-US" w:eastAsia="zh-CN"/>
              </w:rPr>
              <w:t>1590.09</w:t>
            </w:r>
          </w:p>
        </w:tc>
      </w:tr>
      <w:tr w14:paraId="6ADF1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7E28F0E2">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02C7E0E2">
            <w:pPr>
              <w:widowControl/>
              <w:spacing w:line="240" w:lineRule="exact"/>
              <w:ind w:firstLine="800" w:firstLineChars="400"/>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政府性基金拨款：</w:t>
            </w:r>
          </w:p>
        </w:tc>
        <w:tc>
          <w:tcPr>
            <w:tcW w:w="4151" w:type="dxa"/>
            <w:gridSpan w:val="4"/>
            <w:noWrap w:val="0"/>
            <w:vAlign w:val="center"/>
          </w:tcPr>
          <w:p w14:paraId="0CA4F528">
            <w:pPr>
              <w:widowControl/>
              <w:spacing w:line="240" w:lineRule="exact"/>
              <w:ind w:firstLine="600" w:firstLineChars="300"/>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项目支出：</w:t>
            </w:r>
            <w:r>
              <w:rPr>
                <w:rFonts w:hint="eastAsia" w:ascii="仿宋_GB2312" w:hAnsi="仿宋_GB2312" w:eastAsia="仿宋_GB2312" w:cs="仿宋_GB2312"/>
                <w:color w:val="000000"/>
                <w:sz w:val="20"/>
                <w:szCs w:val="20"/>
                <w:highlight w:val="none"/>
                <w:lang w:val="en-US" w:eastAsia="zh-CN"/>
              </w:rPr>
              <w:t>4600.20</w:t>
            </w:r>
          </w:p>
        </w:tc>
      </w:tr>
      <w:tr w14:paraId="22A3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Merge w:val="continue"/>
            <w:noWrap w:val="0"/>
            <w:vAlign w:val="center"/>
          </w:tcPr>
          <w:p w14:paraId="41178B84">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7D1E47ED">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纳入专户管理的非税收入拨款：</w:t>
            </w:r>
          </w:p>
        </w:tc>
        <w:tc>
          <w:tcPr>
            <w:tcW w:w="4151" w:type="dxa"/>
            <w:gridSpan w:val="4"/>
            <w:noWrap w:val="0"/>
            <w:vAlign w:val="center"/>
          </w:tcPr>
          <w:p w14:paraId="7FFF127C">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45F1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497BA7E9">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7F10DF88">
            <w:pPr>
              <w:widowControl/>
              <w:spacing w:line="240" w:lineRule="exact"/>
              <w:ind w:firstLine="1400" w:firstLineChars="700"/>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其他资金：</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4516.79</w:t>
            </w:r>
          </w:p>
        </w:tc>
        <w:tc>
          <w:tcPr>
            <w:tcW w:w="4151" w:type="dxa"/>
            <w:gridSpan w:val="4"/>
            <w:noWrap w:val="0"/>
            <w:vAlign w:val="center"/>
          </w:tcPr>
          <w:p w14:paraId="62829C07">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1CC43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restart"/>
            <w:noWrap w:val="0"/>
            <w:vAlign w:val="center"/>
          </w:tcPr>
          <w:p w14:paraId="30A4416E">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年度总体目标</w:t>
            </w:r>
          </w:p>
        </w:tc>
        <w:tc>
          <w:tcPr>
            <w:tcW w:w="5078" w:type="dxa"/>
            <w:gridSpan w:val="4"/>
            <w:noWrap w:val="0"/>
            <w:vAlign w:val="center"/>
          </w:tcPr>
          <w:p w14:paraId="0E5BF966">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预期目标</w:t>
            </w:r>
          </w:p>
        </w:tc>
        <w:tc>
          <w:tcPr>
            <w:tcW w:w="4151" w:type="dxa"/>
            <w:gridSpan w:val="4"/>
            <w:noWrap w:val="0"/>
            <w:vAlign w:val="center"/>
          </w:tcPr>
          <w:p w14:paraId="6BFDD863">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实际完成情况　</w:t>
            </w:r>
          </w:p>
        </w:tc>
      </w:tr>
      <w:tr w14:paraId="5FF5D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09F52DB9">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shd w:val="clear" w:color="auto" w:fill="auto"/>
            <w:noWrap w:val="0"/>
            <w:vAlign w:val="center"/>
          </w:tcPr>
          <w:p w14:paraId="37AAE234">
            <w:pPr>
              <w:keepNext w:val="0"/>
              <w:keepLines w:val="0"/>
              <w:pageBreakBefore w:val="0"/>
              <w:widowControl w:val="0"/>
              <w:numPr>
                <w:ilvl w:val="0"/>
                <w:numId w:val="11"/>
              </w:numPr>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着力完善住房保障体系，加强保障性住房监管，开展房地产开发服务；</w:t>
            </w:r>
          </w:p>
          <w:p w14:paraId="7F1203D2">
            <w:pPr>
              <w:keepNext w:val="0"/>
              <w:keepLines w:val="0"/>
              <w:pageBreakBefore w:val="0"/>
              <w:widowControl w:val="0"/>
              <w:numPr>
                <w:ilvl w:val="0"/>
                <w:numId w:val="11"/>
              </w:numPr>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lang w:val="en-US" w:eastAsia="zh-CN"/>
              </w:rPr>
              <w:t>有序推进城市更新，以城镇老旧小区改造为重点，持续推动城市内涵式发展；</w:t>
            </w:r>
          </w:p>
          <w:p w14:paraId="3DCB0E13">
            <w:pPr>
              <w:keepNext w:val="0"/>
              <w:keepLines w:val="0"/>
              <w:pageBreakBefore w:val="0"/>
              <w:widowControl w:val="0"/>
              <w:numPr>
                <w:ilvl w:val="0"/>
                <w:numId w:val="11"/>
              </w:numPr>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健全物业管理制度体系，净化行业生态，促进物业维修资金缴存更便捷、管理更精细；</w:t>
            </w:r>
          </w:p>
          <w:p w14:paraId="266DB7BA">
            <w:pPr>
              <w:keepNext w:val="0"/>
              <w:keepLines w:val="0"/>
              <w:pageBreakBefore w:val="0"/>
              <w:widowControl w:val="0"/>
              <w:numPr>
                <w:ilvl w:val="0"/>
                <w:numId w:val="11"/>
              </w:numPr>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sz w:val="20"/>
                <w:szCs w:val="20"/>
                <w:lang w:val="en-US" w:eastAsia="zh-CN"/>
              </w:rPr>
              <w:t>继续推动白蚁防治全覆盖；</w:t>
            </w:r>
          </w:p>
        </w:tc>
        <w:tc>
          <w:tcPr>
            <w:tcW w:w="4151" w:type="dxa"/>
            <w:gridSpan w:val="4"/>
            <w:shd w:val="clear" w:color="auto" w:fill="auto"/>
            <w:noWrap w:val="0"/>
            <w:vAlign w:val="center"/>
          </w:tcPr>
          <w:p w14:paraId="76E2D1C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全部完成</w:t>
            </w:r>
          </w:p>
        </w:tc>
      </w:tr>
      <w:tr w14:paraId="362B2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restart"/>
            <w:noWrap w:val="0"/>
            <w:vAlign w:val="center"/>
          </w:tcPr>
          <w:p w14:paraId="4320983D">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绩</w:t>
            </w:r>
          </w:p>
          <w:p w14:paraId="05C25A1E">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w:t>
            </w:r>
          </w:p>
          <w:p w14:paraId="720689D8">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w:t>
            </w:r>
          </w:p>
          <w:p w14:paraId="74552DCC">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标</w:t>
            </w:r>
          </w:p>
          <w:p w14:paraId="1FAD01C0">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noWrap w:val="0"/>
            <w:vAlign w:val="center"/>
          </w:tcPr>
          <w:p w14:paraId="66617938">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一级指标</w:t>
            </w:r>
          </w:p>
        </w:tc>
        <w:tc>
          <w:tcPr>
            <w:tcW w:w="1056" w:type="dxa"/>
            <w:noWrap w:val="0"/>
            <w:vAlign w:val="center"/>
          </w:tcPr>
          <w:p w14:paraId="6186955E">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二级指标</w:t>
            </w:r>
          </w:p>
        </w:tc>
        <w:tc>
          <w:tcPr>
            <w:tcW w:w="1423" w:type="dxa"/>
            <w:noWrap w:val="0"/>
            <w:vAlign w:val="center"/>
          </w:tcPr>
          <w:p w14:paraId="1960A71C">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三级指标</w:t>
            </w:r>
          </w:p>
        </w:tc>
        <w:tc>
          <w:tcPr>
            <w:tcW w:w="1541" w:type="dxa"/>
            <w:noWrap w:val="0"/>
            <w:vAlign w:val="center"/>
          </w:tcPr>
          <w:p w14:paraId="29A8D65B">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年度指标值</w:t>
            </w:r>
          </w:p>
        </w:tc>
        <w:tc>
          <w:tcPr>
            <w:tcW w:w="1567" w:type="dxa"/>
            <w:noWrap w:val="0"/>
            <w:vAlign w:val="center"/>
          </w:tcPr>
          <w:p w14:paraId="599B0B1E">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实际完成值</w:t>
            </w:r>
          </w:p>
        </w:tc>
        <w:tc>
          <w:tcPr>
            <w:tcW w:w="692" w:type="dxa"/>
            <w:noWrap w:val="0"/>
            <w:vAlign w:val="center"/>
          </w:tcPr>
          <w:p w14:paraId="1EC1F3C5">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861" w:type="dxa"/>
            <w:noWrap w:val="0"/>
            <w:vAlign w:val="center"/>
          </w:tcPr>
          <w:p w14:paraId="6CBBF784">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c>
          <w:tcPr>
            <w:tcW w:w="1031" w:type="dxa"/>
            <w:noWrap w:val="0"/>
            <w:vAlign w:val="center"/>
          </w:tcPr>
          <w:p w14:paraId="717B535F">
            <w:pPr>
              <w:widowControl/>
              <w:spacing w:line="240" w:lineRule="exact"/>
              <w:jc w:val="both"/>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偏差原因分析及改进措施</w:t>
            </w:r>
          </w:p>
        </w:tc>
      </w:tr>
      <w:tr w14:paraId="5E7A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34D1340A">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restart"/>
            <w:noWrap w:val="0"/>
            <w:vAlign w:val="center"/>
          </w:tcPr>
          <w:p w14:paraId="6DD4E9AA">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产出指标</w:t>
            </w:r>
          </w:p>
          <w:p w14:paraId="4868C049">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14:paraId="74D8ECB1">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(50分)</w:t>
            </w:r>
          </w:p>
        </w:tc>
        <w:tc>
          <w:tcPr>
            <w:tcW w:w="1056" w:type="dxa"/>
            <w:vMerge w:val="restart"/>
            <w:noWrap w:val="0"/>
            <w:vAlign w:val="center"/>
          </w:tcPr>
          <w:p w14:paraId="4FC0A0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数量指标</w:t>
            </w:r>
          </w:p>
        </w:tc>
        <w:tc>
          <w:tcPr>
            <w:tcW w:w="1423" w:type="dxa"/>
            <w:noWrap w:val="0"/>
            <w:vAlign w:val="center"/>
          </w:tcPr>
          <w:p w14:paraId="1762E67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管理市本级保障性住房套数</w:t>
            </w:r>
          </w:p>
        </w:tc>
        <w:tc>
          <w:tcPr>
            <w:tcW w:w="1541" w:type="dxa"/>
            <w:noWrap w:val="0"/>
            <w:vAlign w:val="center"/>
          </w:tcPr>
          <w:p w14:paraId="158137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496套</w:t>
            </w:r>
          </w:p>
        </w:tc>
        <w:tc>
          <w:tcPr>
            <w:tcW w:w="1567" w:type="dxa"/>
            <w:noWrap w:val="0"/>
            <w:vAlign w:val="center"/>
          </w:tcPr>
          <w:p w14:paraId="13451A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496套</w:t>
            </w:r>
          </w:p>
        </w:tc>
        <w:tc>
          <w:tcPr>
            <w:tcW w:w="692" w:type="dxa"/>
            <w:noWrap w:val="0"/>
            <w:vAlign w:val="center"/>
          </w:tcPr>
          <w:p w14:paraId="5B0F37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499EA4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539B1D1F">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14:paraId="4D7B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316F634E">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75FBA91B">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508A295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noWrap w:val="0"/>
            <w:vAlign w:val="center"/>
          </w:tcPr>
          <w:p w14:paraId="07B930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2.物业维修资金归集</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金额</w:t>
            </w:r>
          </w:p>
        </w:tc>
        <w:tc>
          <w:tcPr>
            <w:tcW w:w="1541" w:type="dxa"/>
            <w:noWrap w:val="0"/>
            <w:vAlign w:val="center"/>
          </w:tcPr>
          <w:p w14:paraId="297022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8000万</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元</w:t>
            </w:r>
          </w:p>
        </w:tc>
        <w:tc>
          <w:tcPr>
            <w:tcW w:w="1567" w:type="dxa"/>
            <w:noWrap w:val="0"/>
            <w:vAlign w:val="center"/>
          </w:tcPr>
          <w:p w14:paraId="60AF2F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6139万</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元</w:t>
            </w:r>
          </w:p>
        </w:tc>
        <w:tc>
          <w:tcPr>
            <w:tcW w:w="692" w:type="dxa"/>
            <w:noWrap w:val="0"/>
            <w:vAlign w:val="center"/>
          </w:tcPr>
          <w:p w14:paraId="3208AD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5F812F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3.84</w:t>
            </w:r>
          </w:p>
        </w:tc>
        <w:tc>
          <w:tcPr>
            <w:tcW w:w="1031" w:type="dxa"/>
            <w:noWrap w:val="0"/>
            <w:vAlign w:val="center"/>
          </w:tcPr>
          <w:p w14:paraId="24B26927">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2025年房地产市场整体不景气，</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物业</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维修资金</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归集</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金额和往年相比出现</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大幅度</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下降。</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后期将调低归集金额目标数。</w:t>
            </w:r>
          </w:p>
        </w:tc>
      </w:tr>
      <w:tr w14:paraId="0FDB5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850" w:type="dxa"/>
            <w:vMerge w:val="continue"/>
            <w:noWrap w:val="0"/>
            <w:vAlign w:val="center"/>
          </w:tcPr>
          <w:p w14:paraId="23121910">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61D5EED3">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649173C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shd w:val="clear" w:color="auto" w:fill="auto"/>
            <w:noWrap w:val="0"/>
            <w:vAlign w:val="center"/>
          </w:tcPr>
          <w:p w14:paraId="625EC5F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3、老旧小区改造项目开工数量</w:t>
            </w:r>
          </w:p>
        </w:tc>
        <w:tc>
          <w:tcPr>
            <w:tcW w:w="1541" w:type="dxa"/>
            <w:shd w:val="clear" w:color="auto" w:fill="auto"/>
            <w:noWrap w:val="0"/>
            <w:vAlign w:val="center"/>
          </w:tcPr>
          <w:p w14:paraId="43164F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211个</w:t>
            </w:r>
          </w:p>
        </w:tc>
        <w:tc>
          <w:tcPr>
            <w:tcW w:w="1567" w:type="dxa"/>
            <w:shd w:val="clear" w:color="auto" w:fill="auto"/>
            <w:noWrap w:val="0"/>
            <w:vAlign w:val="center"/>
          </w:tcPr>
          <w:p w14:paraId="02FF50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211个</w:t>
            </w:r>
          </w:p>
        </w:tc>
        <w:tc>
          <w:tcPr>
            <w:tcW w:w="692" w:type="dxa"/>
            <w:shd w:val="clear" w:color="auto" w:fill="auto"/>
            <w:noWrap w:val="0"/>
            <w:vAlign w:val="center"/>
          </w:tcPr>
          <w:p w14:paraId="0E9F94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shd w:val="clear" w:color="auto" w:fill="auto"/>
            <w:noWrap w:val="0"/>
            <w:vAlign w:val="center"/>
          </w:tcPr>
          <w:p w14:paraId="2E50B5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shd w:val="clear" w:color="auto" w:fill="auto"/>
            <w:noWrap w:val="0"/>
            <w:vAlign w:val="center"/>
          </w:tcPr>
          <w:p w14:paraId="2A80B7F8">
            <w:pPr>
              <w:widowControl/>
              <w:spacing w:line="240" w:lineRule="exact"/>
              <w:jc w:val="left"/>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p>
        </w:tc>
      </w:tr>
      <w:tr w14:paraId="51961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50" w:type="dxa"/>
            <w:vMerge w:val="continue"/>
            <w:noWrap w:val="0"/>
            <w:vAlign w:val="center"/>
          </w:tcPr>
          <w:p w14:paraId="332BC214">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6145BF79">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6CC6B9C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shd w:val="clear" w:color="auto" w:fill="auto"/>
            <w:noWrap w:val="0"/>
            <w:vAlign w:val="center"/>
          </w:tcPr>
          <w:p w14:paraId="3F1E46D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4、中心城区新建房屋白蚁防治覆盖面积</w:t>
            </w:r>
          </w:p>
        </w:tc>
        <w:tc>
          <w:tcPr>
            <w:tcW w:w="1541" w:type="dxa"/>
            <w:shd w:val="clear" w:color="auto" w:fill="auto"/>
            <w:noWrap w:val="0"/>
            <w:vAlign w:val="center"/>
          </w:tcPr>
          <w:p w14:paraId="1A3003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300万平方米</w:t>
            </w:r>
          </w:p>
        </w:tc>
        <w:tc>
          <w:tcPr>
            <w:tcW w:w="1567" w:type="dxa"/>
            <w:shd w:val="clear" w:color="auto" w:fill="auto"/>
            <w:noWrap w:val="0"/>
            <w:vAlign w:val="center"/>
          </w:tcPr>
          <w:p w14:paraId="50ECD5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185万平方米</w:t>
            </w:r>
          </w:p>
        </w:tc>
        <w:tc>
          <w:tcPr>
            <w:tcW w:w="692" w:type="dxa"/>
            <w:shd w:val="clear" w:color="auto" w:fill="auto"/>
            <w:noWrap w:val="0"/>
            <w:vAlign w:val="center"/>
          </w:tcPr>
          <w:p w14:paraId="13B5B8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shd w:val="clear" w:color="auto" w:fill="auto"/>
            <w:noWrap w:val="0"/>
            <w:vAlign w:val="center"/>
          </w:tcPr>
          <w:p w14:paraId="3C8B71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3.08</w:t>
            </w:r>
          </w:p>
        </w:tc>
        <w:tc>
          <w:tcPr>
            <w:tcW w:w="1031" w:type="dxa"/>
            <w:shd w:val="clear" w:color="auto" w:fill="auto"/>
            <w:noWrap w:val="0"/>
            <w:vAlign w:val="center"/>
          </w:tcPr>
          <w:p w14:paraId="1E4305FE">
            <w:pPr>
              <w:widowControl/>
              <w:spacing w:line="240" w:lineRule="exact"/>
              <w:jc w:val="left"/>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2025年</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房地产市场整体不景气，</w:t>
            </w: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新建房屋面积明显低于往年，后期将调低白蚁防治覆盖面积目标数。</w:t>
            </w:r>
          </w:p>
        </w:tc>
      </w:tr>
      <w:tr w14:paraId="6635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50" w:type="dxa"/>
            <w:vMerge w:val="continue"/>
            <w:noWrap w:val="0"/>
            <w:vAlign w:val="center"/>
          </w:tcPr>
          <w:p w14:paraId="2C2103F0">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4A50A3C6">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494B849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noWrap w:val="0"/>
            <w:vAlign w:val="center"/>
          </w:tcPr>
          <w:p w14:paraId="2A7526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5、收购存量商品房作为保障性住房</w:t>
            </w:r>
          </w:p>
        </w:tc>
        <w:tc>
          <w:tcPr>
            <w:tcW w:w="1541" w:type="dxa"/>
            <w:noWrap w:val="0"/>
            <w:vAlign w:val="center"/>
          </w:tcPr>
          <w:p w14:paraId="634E9D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129套</w:t>
            </w:r>
          </w:p>
        </w:tc>
        <w:tc>
          <w:tcPr>
            <w:tcW w:w="1567" w:type="dxa"/>
            <w:noWrap w:val="0"/>
            <w:vAlign w:val="center"/>
          </w:tcPr>
          <w:p w14:paraId="7DF8BB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129套</w:t>
            </w:r>
          </w:p>
        </w:tc>
        <w:tc>
          <w:tcPr>
            <w:tcW w:w="692" w:type="dxa"/>
            <w:noWrap w:val="0"/>
            <w:vAlign w:val="center"/>
          </w:tcPr>
          <w:p w14:paraId="77AD14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24FD5F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0754AC15">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14:paraId="0EA5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38DF6B2C">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0A0E775D">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restart"/>
            <w:noWrap w:val="0"/>
            <w:vAlign w:val="center"/>
          </w:tcPr>
          <w:p w14:paraId="1B7C581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质量指标</w:t>
            </w:r>
          </w:p>
        </w:tc>
        <w:tc>
          <w:tcPr>
            <w:tcW w:w="1423" w:type="dxa"/>
            <w:noWrap w:val="0"/>
            <w:vAlign w:val="center"/>
          </w:tcPr>
          <w:p w14:paraId="6EC5F26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有效控制保障性住房资源公平使用</w:t>
            </w:r>
          </w:p>
        </w:tc>
        <w:tc>
          <w:tcPr>
            <w:tcW w:w="1541" w:type="dxa"/>
            <w:noWrap w:val="0"/>
            <w:vAlign w:val="center"/>
          </w:tcPr>
          <w:p w14:paraId="42A12F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无违法违规使用保障性住房</w:t>
            </w:r>
          </w:p>
        </w:tc>
        <w:tc>
          <w:tcPr>
            <w:tcW w:w="1567" w:type="dxa"/>
            <w:noWrap w:val="0"/>
            <w:vAlign w:val="center"/>
          </w:tcPr>
          <w:p w14:paraId="6FF7209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清退不符合条件的承租户9户</w:t>
            </w:r>
          </w:p>
        </w:tc>
        <w:tc>
          <w:tcPr>
            <w:tcW w:w="692" w:type="dxa"/>
            <w:noWrap w:val="0"/>
            <w:vAlign w:val="center"/>
          </w:tcPr>
          <w:p w14:paraId="3E2E1D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03B78E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1A14AF67">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14:paraId="146E3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5E178668">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252959A1">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63A576B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noWrap w:val="0"/>
            <w:vAlign w:val="center"/>
          </w:tcPr>
          <w:p w14:paraId="0FACEB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及时办结受理的职能范围内信访件</w:t>
            </w:r>
          </w:p>
        </w:tc>
        <w:tc>
          <w:tcPr>
            <w:tcW w:w="1541" w:type="dxa"/>
            <w:noWrap w:val="0"/>
            <w:vAlign w:val="center"/>
          </w:tcPr>
          <w:p w14:paraId="2120D7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办结率100%</w:t>
            </w:r>
          </w:p>
        </w:tc>
        <w:tc>
          <w:tcPr>
            <w:tcW w:w="1567" w:type="dxa"/>
            <w:noWrap w:val="0"/>
            <w:vAlign w:val="center"/>
          </w:tcPr>
          <w:p w14:paraId="5DA760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办结率100%</w:t>
            </w:r>
          </w:p>
        </w:tc>
        <w:tc>
          <w:tcPr>
            <w:tcW w:w="692" w:type="dxa"/>
            <w:noWrap w:val="0"/>
            <w:vAlign w:val="center"/>
          </w:tcPr>
          <w:p w14:paraId="33C011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23C6C6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0CB5C2AF">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5855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550C6991">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09229F25">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4F410D2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noWrap w:val="0"/>
            <w:vAlign w:val="center"/>
          </w:tcPr>
          <w:p w14:paraId="759F4185">
            <w:pPr>
              <w:keepNext w:val="0"/>
              <w:keepLines w:val="0"/>
              <w:widowControl/>
              <w:suppressLineNumbers w:val="0"/>
              <w:jc w:val="left"/>
              <w:textAlignment w:val="top"/>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3.</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已实施白蚁防治区域无明显蚁害、不出现重复蚁害。</w:t>
            </w:r>
          </w:p>
        </w:tc>
        <w:tc>
          <w:tcPr>
            <w:tcW w:w="1541" w:type="dxa"/>
            <w:noWrap w:val="0"/>
            <w:vAlign w:val="center"/>
          </w:tcPr>
          <w:p w14:paraId="302C8B3A">
            <w:pPr>
              <w:keepNext w:val="0"/>
              <w:keepLines w:val="0"/>
              <w:widowControl/>
              <w:suppressLineNumbers w:val="0"/>
              <w:jc w:val="center"/>
              <w:textAlignment w:val="top"/>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无明显蚁害</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不出现重复蚁</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害</w:t>
            </w:r>
          </w:p>
        </w:tc>
        <w:tc>
          <w:tcPr>
            <w:tcW w:w="1567" w:type="dxa"/>
            <w:noWrap w:val="0"/>
            <w:vAlign w:val="center"/>
          </w:tcPr>
          <w:p w14:paraId="5C6CA3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无明显蚁害</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不出现重复蚁</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害</w:t>
            </w:r>
          </w:p>
        </w:tc>
        <w:tc>
          <w:tcPr>
            <w:tcW w:w="692" w:type="dxa"/>
            <w:noWrap w:val="0"/>
            <w:vAlign w:val="center"/>
          </w:tcPr>
          <w:p w14:paraId="1F8D87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673726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49F1B90A">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102E7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850" w:type="dxa"/>
            <w:vMerge w:val="continue"/>
            <w:noWrap w:val="0"/>
            <w:vAlign w:val="center"/>
          </w:tcPr>
          <w:p w14:paraId="7085AA56">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0D0D823E">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noWrap w:val="0"/>
            <w:vAlign w:val="center"/>
          </w:tcPr>
          <w:p w14:paraId="37FC1B1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时效指标</w:t>
            </w:r>
          </w:p>
        </w:tc>
        <w:tc>
          <w:tcPr>
            <w:tcW w:w="1423" w:type="dxa"/>
            <w:noWrap w:val="0"/>
            <w:vAlign w:val="center"/>
          </w:tcPr>
          <w:p w14:paraId="593285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目标完成时间</w:t>
            </w:r>
          </w:p>
        </w:tc>
        <w:tc>
          <w:tcPr>
            <w:tcW w:w="1541" w:type="dxa"/>
            <w:noWrap w:val="0"/>
            <w:vAlign w:val="center"/>
          </w:tcPr>
          <w:p w14:paraId="0DBFA3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202</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.1</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2.31日前</w:t>
            </w:r>
          </w:p>
        </w:tc>
        <w:tc>
          <w:tcPr>
            <w:tcW w:w="1567" w:type="dxa"/>
            <w:noWrap w:val="0"/>
            <w:vAlign w:val="center"/>
          </w:tcPr>
          <w:p w14:paraId="35EC79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202</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12.31日前</w:t>
            </w:r>
          </w:p>
        </w:tc>
        <w:tc>
          <w:tcPr>
            <w:tcW w:w="692" w:type="dxa"/>
            <w:noWrap w:val="0"/>
            <w:vAlign w:val="center"/>
          </w:tcPr>
          <w:p w14:paraId="506B7B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25DBF2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4FE6DD90">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3908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50" w:type="dxa"/>
            <w:vMerge w:val="continue"/>
            <w:noWrap w:val="0"/>
            <w:vAlign w:val="center"/>
          </w:tcPr>
          <w:p w14:paraId="2E4847AA">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17C60118">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noWrap w:val="0"/>
            <w:vAlign w:val="center"/>
          </w:tcPr>
          <w:p w14:paraId="40C7F10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成本指标</w:t>
            </w:r>
          </w:p>
        </w:tc>
        <w:tc>
          <w:tcPr>
            <w:tcW w:w="1423" w:type="dxa"/>
            <w:noWrap w:val="0"/>
            <w:vAlign w:val="center"/>
          </w:tcPr>
          <w:p w14:paraId="2F0B9199">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单位运转和项目实施成本</w:t>
            </w:r>
          </w:p>
        </w:tc>
        <w:tc>
          <w:tcPr>
            <w:tcW w:w="1541" w:type="dxa"/>
            <w:noWrap w:val="0"/>
            <w:vAlign w:val="center"/>
          </w:tcPr>
          <w:p w14:paraId="5D1C66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仿宋_GB2312" w:hAnsi="仿宋_GB2312" w:eastAsia="仿宋_GB2312" w:cs="仿宋_GB2312"/>
                <w:sz w:val="20"/>
                <w:szCs w:val="20"/>
                <w:highlight w:val="none"/>
                <w:lang w:val="en-US" w:eastAsia="zh-CN"/>
              </w:rPr>
              <w:t>6489.39</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万元内</w:t>
            </w:r>
          </w:p>
        </w:tc>
        <w:tc>
          <w:tcPr>
            <w:tcW w:w="1567" w:type="dxa"/>
            <w:noWrap w:val="0"/>
            <w:vAlign w:val="center"/>
          </w:tcPr>
          <w:p w14:paraId="66D9A4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仿宋_GB2312" w:hAnsi="仿宋_GB2312" w:eastAsia="仿宋_GB2312" w:cs="仿宋_GB2312"/>
                <w:sz w:val="20"/>
                <w:szCs w:val="20"/>
                <w:highlight w:val="none"/>
                <w:lang w:val="en-US" w:eastAsia="zh-CN"/>
              </w:rPr>
              <w:t>6190.29</w:t>
            </w: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万元</w:t>
            </w:r>
          </w:p>
        </w:tc>
        <w:tc>
          <w:tcPr>
            <w:tcW w:w="692" w:type="dxa"/>
            <w:noWrap w:val="0"/>
            <w:vAlign w:val="center"/>
          </w:tcPr>
          <w:p w14:paraId="2DF6C5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3E9857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0ADBA18B">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118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55CFE0F3">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restart"/>
            <w:noWrap w:val="0"/>
            <w:vAlign w:val="center"/>
          </w:tcPr>
          <w:p w14:paraId="250ADE56">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效益指标</w:t>
            </w:r>
          </w:p>
          <w:p w14:paraId="3F679E1A">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14:paraId="46516F35">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（30分）</w:t>
            </w:r>
          </w:p>
          <w:p w14:paraId="17FA1A0E">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56" w:type="dxa"/>
            <w:vMerge w:val="restart"/>
            <w:noWrap w:val="0"/>
            <w:vAlign w:val="center"/>
          </w:tcPr>
          <w:p w14:paraId="1B1932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经济效</w:t>
            </w:r>
          </w:p>
          <w:p w14:paraId="7757010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益指标</w:t>
            </w:r>
          </w:p>
        </w:tc>
        <w:tc>
          <w:tcPr>
            <w:tcW w:w="1423" w:type="dxa"/>
            <w:noWrap w:val="0"/>
            <w:vAlign w:val="center"/>
          </w:tcPr>
          <w:p w14:paraId="0318AA0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1.收取</w:t>
            </w:r>
            <w:r>
              <w:rPr>
                <w:rFonts w:hint="default" w:ascii="Times New Roman" w:hAnsi="Times New Roman" w:eastAsia="仿宋_GB2312" w:cs="Times New Roman"/>
                <w:color w:val="000000" w:themeColor="text1"/>
                <w:sz w:val="20"/>
                <w:szCs w:val="20"/>
                <w:highlight w:val="none"/>
                <w:lang w:eastAsia="zh-CN"/>
                <w14:textFill>
                  <w14:solidFill>
                    <w14:schemeClr w14:val="tx1"/>
                  </w14:solidFill>
                </w14:textFill>
              </w:rPr>
              <w:t>公租房小区</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租金</w:t>
            </w:r>
          </w:p>
        </w:tc>
        <w:tc>
          <w:tcPr>
            <w:tcW w:w="1541" w:type="dxa"/>
            <w:noWrap w:val="0"/>
            <w:vAlign w:val="center"/>
          </w:tcPr>
          <w:p w14:paraId="2B1F9A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99.9</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万元</w:t>
            </w:r>
          </w:p>
        </w:tc>
        <w:tc>
          <w:tcPr>
            <w:tcW w:w="1567" w:type="dxa"/>
            <w:noWrap w:val="0"/>
            <w:vAlign w:val="center"/>
          </w:tcPr>
          <w:p w14:paraId="43C96B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102.73</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万元</w:t>
            </w:r>
          </w:p>
        </w:tc>
        <w:tc>
          <w:tcPr>
            <w:tcW w:w="692" w:type="dxa"/>
            <w:noWrap w:val="0"/>
            <w:vAlign w:val="center"/>
          </w:tcPr>
          <w:p w14:paraId="431C21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11B8CE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0FE9B467">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76F1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0E1D6F9F">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43269765">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07AF59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noWrap w:val="0"/>
            <w:vAlign w:val="center"/>
          </w:tcPr>
          <w:p w14:paraId="4BD0006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协助征收房地产行业税收</w:t>
            </w:r>
          </w:p>
        </w:tc>
        <w:tc>
          <w:tcPr>
            <w:tcW w:w="1541" w:type="dxa"/>
            <w:noWrap w:val="0"/>
            <w:vAlign w:val="center"/>
          </w:tcPr>
          <w:p w14:paraId="1AEB28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6000</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万元</w:t>
            </w:r>
          </w:p>
        </w:tc>
        <w:tc>
          <w:tcPr>
            <w:tcW w:w="1567" w:type="dxa"/>
            <w:noWrap w:val="0"/>
            <w:vAlign w:val="center"/>
          </w:tcPr>
          <w:p w14:paraId="1CCD75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6000</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万元</w:t>
            </w:r>
          </w:p>
        </w:tc>
        <w:tc>
          <w:tcPr>
            <w:tcW w:w="692" w:type="dxa"/>
            <w:noWrap w:val="0"/>
            <w:vAlign w:val="center"/>
          </w:tcPr>
          <w:p w14:paraId="57102D57">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 xml:space="preserve">  5</w:t>
            </w:r>
          </w:p>
        </w:tc>
        <w:tc>
          <w:tcPr>
            <w:tcW w:w="861" w:type="dxa"/>
            <w:noWrap w:val="0"/>
            <w:vAlign w:val="center"/>
          </w:tcPr>
          <w:p w14:paraId="5B8F58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2CE60BBA">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14:paraId="494A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680836C5">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1F862534">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restart"/>
            <w:noWrap w:val="0"/>
            <w:vAlign w:val="center"/>
          </w:tcPr>
          <w:p w14:paraId="41DC16D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社会效</w:t>
            </w:r>
          </w:p>
          <w:p w14:paraId="542E1CD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益指标</w:t>
            </w:r>
          </w:p>
        </w:tc>
        <w:tc>
          <w:tcPr>
            <w:tcW w:w="1423" w:type="dxa"/>
            <w:noWrap w:val="0"/>
            <w:vAlign w:val="center"/>
          </w:tcPr>
          <w:p w14:paraId="6B4D448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1.保障低收入家庭住有所居</w:t>
            </w:r>
          </w:p>
        </w:tc>
        <w:tc>
          <w:tcPr>
            <w:tcW w:w="1541" w:type="dxa"/>
            <w:noWrap w:val="0"/>
            <w:vAlign w:val="center"/>
          </w:tcPr>
          <w:p w14:paraId="07D8307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收购存量商品房用作保障性住房</w:t>
            </w:r>
          </w:p>
        </w:tc>
        <w:tc>
          <w:tcPr>
            <w:tcW w:w="1567" w:type="dxa"/>
            <w:noWrap w:val="0"/>
            <w:vAlign w:val="center"/>
          </w:tcPr>
          <w:p w14:paraId="2BD2B9C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收购恒大保交房养生谷等旗下商品房129套用作保障性住房</w:t>
            </w:r>
          </w:p>
        </w:tc>
        <w:tc>
          <w:tcPr>
            <w:tcW w:w="692" w:type="dxa"/>
            <w:noWrap w:val="0"/>
            <w:vAlign w:val="center"/>
          </w:tcPr>
          <w:p w14:paraId="5E7F19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531D34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69B6E6F1">
            <w:pPr>
              <w:widowControl/>
              <w:spacing w:line="240" w:lineRule="exact"/>
              <w:jc w:val="left"/>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p>
        </w:tc>
      </w:tr>
      <w:tr w14:paraId="4CCE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850" w:type="dxa"/>
            <w:vMerge w:val="continue"/>
            <w:noWrap w:val="0"/>
            <w:vAlign w:val="center"/>
          </w:tcPr>
          <w:p w14:paraId="756D9227">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43E446FC">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7E10B75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shd w:val="clear" w:color="auto" w:fill="auto"/>
            <w:noWrap w:val="0"/>
            <w:vAlign w:val="center"/>
          </w:tcPr>
          <w:p w14:paraId="14FB868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物业</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维修资金</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缴存高效便民</w:t>
            </w:r>
          </w:p>
        </w:tc>
        <w:tc>
          <w:tcPr>
            <w:tcW w:w="1541" w:type="dxa"/>
            <w:shd w:val="clear" w:color="auto" w:fill="auto"/>
            <w:noWrap w:val="0"/>
            <w:vAlign w:val="center"/>
          </w:tcPr>
          <w:p w14:paraId="3736EE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开通二维码移动缴存物业维修资金</w:t>
            </w:r>
          </w:p>
        </w:tc>
        <w:tc>
          <w:tcPr>
            <w:tcW w:w="1567" w:type="dxa"/>
            <w:shd w:val="clear" w:color="auto" w:fill="auto"/>
            <w:noWrap w:val="0"/>
            <w:vAlign w:val="center"/>
          </w:tcPr>
          <w:p w14:paraId="20278B5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已开通中国银行、交通银行维修资金二维码</w:t>
            </w:r>
          </w:p>
        </w:tc>
        <w:tc>
          <w:tcPr>
            <w:tcW w:w="692" w:type="dxa"/>
            <w:noWrap w:val="0"/>
            <w:vAlign w:val="center"/>
          </w:tcPr>
          <w:p w14:paraId="045901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7C8C3E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781CE869">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14:paraId="42D3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67F8576C">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241DE121">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05D081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423" w:type="dxa"/>
            <w:noWrap w:val="0"/>
            <w:vAlign w:val="center"/>
          </w:tcPr>
          <w:p w14:paraId="06D31AC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改善全市城镇居民生活环境</w:t>
            </w:r>
          </w:p>
        </w:tc>
        <w:tc>
          <w:tcPr>
            <w:tcW w:w="1541" w:type="dxa"/>
            <w:noWrap w:val="0"/>
            <w:vAlign w:val="center"/>
          </w:tcPr>
          <w:p w14:paraId="517F2C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全市城镇老旧小区改造民生实事项目</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开工率100%</w:t>
            </w:r>
          </w:p>
        </w:tc>
        <w:tc>
          <w:tcPr>
            <w:tcW w:w="1567" w:type="dxa"/>
            <w:noWrap w:val="0"/>
            <w:vAlign w:val="center"/>
          </w:tcPr>
          <w:p w14:paraId="2C5BAF5E">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已开工217个小区，开工率100%，已完工小区158个。</w:t>
            </w:r>
          </w:p>
        </w:tc>
        <w:tc>
          <w:tcPr>
            <w:tcW w:w="692" w:type="dxa"/>
            <w:noWrap w:val="0"/>
            <w:vAlign w:val="center"/>
          </w:tcPr>
          <w:p w14:paraId="12F325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50B298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5A3A9409">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548D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Merge w:val="continue"/>
            <w:noWrap w:val="0"/>
            <w:vAlign w:val="center"/>
          </w:tcPr>
          <w:p w14:paraId="5846AB1A">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5148B90A">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noWrap w:val="0"/>
            <w:vAlign w:val="center"/>
          </w:tcPr>
          <w:p w14:paraId="6597546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生态效</w:t>
            </w:r>
          </w:p>
          <w:p w14:paraId="280E5B9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益指标</w:t>
            </w:r>
          </w:p>
        </w:tc>
        <w:tc>
          <w:tcPr>
            <w:tcW w:w="1423" w:type="dxa"/>
            <w:noWrap w:val="0"/>
            <w:vAlign w:val="center"/>
          </w:tcPr>
          <w:p w14:paraId="318C667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灭治蚁害，保护全市生态环境</w:t>
            </w:r>
          </w:p>
        </w:tc>
        <w:tc>
          <w:tcPr>
            <w:tcW w:w="1541" w:type="dxa"/>
            <w:noWrap w:val="0"/>
            <w:vAlign w:val="center"/>
          </w:tcPr>
          <w:p w14:paraId="60B833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做好城镇房屋、园林绿化、中心城区主干道树木的白蚁防治</w:t>
            </w:r>
          </w:p>
        </w:tc>
        <w:tc>
          <w:tcPr>
            <w:tcW w:w="1567" w:type="dxa"/>
            <w:noWrap w:val="0"/>
            <w:vAlign w:val="center"/>
          </w:tcPr>
          <w:p w14:paraId="53162ED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完成</w:t>
            </w: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新建房屋</w:t>
            </w:r>
            <w:r>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白蚁</w:t>
            </w: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预防公共服务建筑面积185万平方米，回访面积593万平方米，对</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园林绿化、中心城区主干道树木进行了白蚁防治。</w:t>
            </w:r>
          </w:p>
        </w:tc>
        <w:tc>
          <w:tcPr>
            <w:tcW w:w="692" w:type="dxa"/>
            <w:noWrap w:val="0"/>
            <w:vAlign w:val="center"/>
          </w:tcPr>
          <w:p w14:paraId="11BC62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5635A2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1A9DA135">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4DD2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0" w:type="dxa"/>
            <w:vMerge w:val="continue"/>
            <w:noWrap w:val="0"/>
            <w:vAlign w:val="center"/>
          </w:tcPr>
          <w:p w14:paraId="640759D8">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noWrap w:val="0"/>
            <w:vAlign w:val="center"/>
          </w:tcPr>
          <w:p w14:paraId="440389C6">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满意度</w:t>
            </w:r>
          </w:p>
          <w:p w14:paraId="1CE726FB">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指标</w:t>
            </w:r>
          </w:p>
          <w:p w14:paraId="44B3C9FB">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（10分）</w:t>
            </w:r>
          </w:p>
        </w:tc>
        <w:tc>
          <w:tcPr>
            <w:tcW w:w="1056" w:type="dxa"/>
            <w:noWrap w:val="0"/>
            <w:vAlign w:val="center"/>
          </w:tcPr>
          <w:p w14:paraId="3892783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服务对象满意度指标</w:t>
            </w:r>
          </w:p>
        </w:tc>
        <w:tc>
          <w:tcPr>
            <w:tcW w:w="1423" w:type="dxa"/>
            <w:noWrap w:val="0"/>
            <w:vAlign w:val="center"/>
          </w:tcPr>
          <w:p w14:paraId="08ADCB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公租房住户</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满意</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度高</w:t>
            </w:r>
          </w:p>
        </w:tc>
        <w:tc>
          <w:tcPr>
            <w:tcW w:w="1541" w:type="dxa"/>
            <w:noWrap w:val="0"/>
            <w:vAlign w:val="center"/>
          </w:tcPr>
          <w:p w14:paraId="17C6F2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9</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以上</w:t>
            </w:r>
          </w:p>
        </w:tc>
        <w:tc>
          <w:tcPr>
            <w:tcW w:w="1567" w:type="dxa"/>
            <w:noWrap w:val="0"/>
            <w:vAlign w:val="center"/>
          </w:tcPr>
          <w:p w14:paraId="7AB76C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9</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以上</w:t>
            </w:r>
          </w:p>
        </w:tc>
        <w:tc>
          <w:tcPr>
            <w:tcW w:w="692" w:type="dxa"/>
            <w:noWrap w:val="0"/>
            <w:vAlign w:val="center"/>
          </w:tcPr>
          <w:p w14:paraId="72E647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861" w:type="dxa"/>
            <w:noWrap w:val="0"/>
            <w:vAlign w:val="center"/>
          </w:tcPr>
          <w:p w14:paraId="2FAAF1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1031" w:type="dxa"/>
            <w:noWrap w:val="0"/>
            <w:vAlign w:val="center"/>
          </w:tcPr>
          <w:p w14:paraId="085AEAB8">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545F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95" w:type="dxa"/>
            <w:gridSpan w:val="6"/>
            <w:noWrap w:val="0"/>
            <w:vAlign w:val="center"/>
          </w:tcPr>
          <w:p w14:paraId="643D9577">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总分</w:t>
            </w:r>
          </w:p>
        </w:tc>
        <w:tc>
          <w:tcPr>
            <w:tcW w:w="692" w:type="dxa"/>
            <w:noWrap w:val="0"/>
            <w:vAlign w:val="center"/>
          </w:tcPr>
          <w:p w14:paraId="1E847BE4">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100</w:t>
            </w:r>
          </w:p>
        </w:tc>
        <w:tc>
          <w:tcPr>
            <w:tcW w:w="861" w:type="dxa"/>
            <w:noWrap w:val="0"/>
            <w:vAlign w:val="center"/>
          </w:tcPr>
          <w:p w14:paraId="61D72176">
            <w:pPr>
              <w:widowControl/>
              <w:spacing w:line="24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96.46</w:t>
            </w:r>
          </w:p>
        </w:tc>
        <w:tc>
          <w:tcPr>
            <w:tcW w:w="1031" w:type="dxa"/>
            <w:noWrap w:val="0"/>
            <w:vAlign w:val="center"/>
          </w:tcPr>
          <w:p w14:paraId="568116A9">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bl>
    <w:p w14:paraId="1E60D29F">
      <w:pPr>
        <w:widowControl/>
        <w:spacing w:line="600" w:lineRule="auto"/>
        <w:jc w:val="left"/>
        <w:rPr>
          <w:rFonts w:hint="eastAsia" w:ascii="Times New Roman" w:hAnsi="Times New Roman" w:eastAsia="仿宋_GB2312" w:cs="Times New Roman"/>
          <w:color w:val="000000" w:themeColor="text1"/>
          <w:sz w:val="22"/>
          <w:szCs w:val="22"/>
          <w:highlight w:val="none"/>
          <w:lang w:eastAsia="zh-CN"/>
          <w14:textFill>
            <w14:solidFill>
              <w14:schemeClr w14:val="tx1"/>
            </w14:solidFill>
          </w14:textFill>
        </w:rPr>
        <w:sectPr>
          <w:pgSz w:w="11906" w:h="16838"/>
          <w:pgMar w:top="1213" w:right="1800" w:bottom="1157"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default" w:ascii="Times New Roman" w:hAnsi="Times New Roman" w:eastAsia="仿宋_GB2312" w:cs="Times New Roman"/>
          <w:color w:val="000000" w:themeColor="text1"/>
          <w:sz w:val="22"/>
          <w:szCs w:val="22"/>
          <w:highlight w:val="none"/>
          <w14:textFill>
            <w14:solidFill>
              <w14:schemeClr w14:val="tx1"/>
            </w14:solidFill>
          </w14:textFill>
        </w:rPr>
        <w:t>填表人：</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李青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填报日期：</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2026.4.2</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 xml:space="preserve"> </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联系电话：</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13873083020</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 xml:space="preserve"> </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位负责人签字</w:t>
      </w:r>
      <w:r>
        <w:rPr>
          <w:rFonts w:hint="eastAsia" w:ascii="Times New Roman" w:hAnsi="Times New Roman" w:eastAsia="仿宋_GB2312" w:cs="Times New Roman"/>
          <w:color w:val="000000" w:themeColor="text1"/>
          <w:sz w:val="22"/>
          <w:szCs w:val="22"/>
          <w:highlight w:val="none"/>
          <w:lang w:eastAsia="zh-CN"/>
          <w14:textFill>
            <w14:solidFill>
              <w14:schemeClr w14:val="tx1"/>
            </w14:solidFill>
          </w14:textFill>
        </w:rPr>
        <w:t>：</w:t>
      </w:r>
      <w:r>
        <w:rPr>
          <w:rFonts w:hint="eastAsia" w:ascii="Times New Roman" w:hAnsi="Times New Roman" w:eastAsia="仿宋_GB2312" w:cs="Times New Roman"/>
          <w:sz w:val="22"/>
          <w:highlight w:val="none"/>
          <w:lang w:val="en-US" w:eastAsia="zh-CN"/>
        </w:rPr>
        <w:t>黎朝晖</w:t>
      </w:r>
    </w:p>
    <w:p w14:paraId="2822B745">
      <w:pPr>
        <w:widowControl/>
        <w:spacing w:line="600" w:lineRule="auto"/>
        <w:jc w:val="left"/>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附件</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3</w:t>
      </w: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-1</w:t>
      </w:r>
    </w:p>
    <w:p w14:paraId="6D2C820D">
      <w:pPr>
        <w:widowControl/>
        <w:spacing w:line="600" w:lineRule="exact"/>
        <w:jc w:val="cente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pP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202</w:t>
      </w:r>
      <w:r>
        <w:rPr>
          <w:rFonts w:hint="eastAsia" w:ascii="Times New Roman" w:hAnsi="Times New Roman" w:eastAsia="方正小标宋简体" w:cs="Times New Roman"/>
          <w:color w:val="000000" w:themeColor="text1"/>
          <w:sz w:val="36"/>
          <w:szCs w:val="36"/>
          <w:highlight w:val="none"/>
          <w:lang w:val="en-US" w:eastAsia="zh-CN"/>
          <w14:textFill>
            <w14:solidFill>
              <w14:schemeClr w14:val="tx1"/>
            </w14:solidFill>
          </w14:textFill>
        </w:rPr>
        <w:t>5</w:t>
      </w: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年度项目支出绩效自评表</w:t>
      </w:r>
    </w:p>
    <w:tbl>
      <w:tblPr>
        <w:tblStyle w:val="8"/>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1062"/>
        <w:gridCol w:w="1046"/>
        <w:gridCol w:w="1954"/>
        <w:gridCol w:w="1040"/>
        <w:gridCol w:w="1062"/>
        <w:gridCol w:w="776"/>
        <w:gridCol w:w="946"/>
        <w:gridCol w:w="912"/>
      </w:tblGrid>
      <w:tr w14:paraId="25C05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noWrap w:val="0"/>
            <w:vAlign w:val="center"/>
          </w:tcPr>
          <w:p w14:paraId="553D44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项目支</w:t>
            </w:r>
          </w:p>
          <w:p w14:paraId="06F922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出名称</w:t>
            </w:r>
          </w:p>
        </w:tc>
        <w:tc>
          <w:tcPr>
            <w:tcW w:w="8798" w:type="dxa"/>
            <w:gridSpan w:val="8"/>
            <w:noWrap w:val="0"/>
            <w:vAlign w:val="center"/>
          </w:tcPr>
          <w:p w14:paraId="2AA0D1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业务工作经费</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67E0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noWrap w:val="0"/>
            <w:vAlign w:val="center"/>
          </w:tcPr>
          <w:p w14:paraId="54B2283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主管部门</w:t>
            </w:r>
          </w:p>
        </w:tc>
        <w:tc>
          <w:tcPr>
            <w:tcW w:w="5102" w:type="dxa"/>
            <w:gridSpan w:val="4"/>
            <w:noWrap w:val="0"/>
            <w:vAlign w:val="center"/>
          </w:tcPr>
          <w:p w14:paraId="7DAFA70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岳阳市住房和城乡建设局</w:t>
            </w:r>
          </w:p>
        </w:tc>
        <w:tc>
          <w:tcPr>
            <w:tcW w:w="1062" w:type="dxa"/>
            <w:noWrap w:val="0"/>
            <w:vAlign w:val="center"/>
          </w:tcPr>
          <w:p w14:paraId="2B98E3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实施单位</w:t>
            </w:r>
          </w:p>
        </w:tc>
        <w:tc>
          <w:tcPr>
            <w:tcW w:w="2634" w:type="dxa"/>
            <w:gridSpan w:val="3"/>
            <w:noWrap w:val="0"/>
            <w:vAlign w:val="center"/>
          </w:tcPr>
          <w:p w14:paraId="6E05DFD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岳阳市住房保障服务中心</w:t>
            </w:r>
          </w:p>
        </w:tc>
      </w:tr>
      <w:tr w14:paraId="7EC3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restart"/>
            <w:noWrap w:val="0"/>
            <w:vAlign w:val="center"/>
          </w:tcPr>
          <w:p w14:paraId="43AAAA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项目资金</w:t>
            </w:r>
          </w:p>
          <w:p w14:paraId="7BAAA9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（万元）</w:t>
            </w:r>
          </w:p>
        </w:tc>
        <w:tc>
          <w:tcPr>
            <w:tcW w:w="2108" w:type="dxa"/>
            <w:gridSpan w:val="2"/>
            <w:noWrap w:val="0"/>
            <w:vAlign w:val="center"/>
          </w:tcPr>
          <w:p w14:paraId="3F2278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954" w:type="dxa"/>
            <w:noWrap w:val="0"/>
            <w:vAlign w:val="center"/>
          </w:tcPr>
          <w:p w14:paraId="4AFE4A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年初</w:t>
            </w:r>
          </w:p>
          <w:p w14:paraId="54008D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预算数</w:t>
            </w:r>
          </w:p>
        </w:tc>
        <w:tc>
          <w:tcPr>
            <w:tcW w:w="1040" w:type="dxa"/>
            <w:noWrap w:val="0"/>
            <w:vAlign w:val="center"/>
          </w:tcPr>
          <w:p w14:paraId="2AE092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w:t>
            </w:r>
          </w:p>
          <w:p w14:paraId="777D26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预算数</w:t>
            </w:r>
          </w:p>
        </w:tc>
        <w:tc>
          <w:tcPr>
            <w:tcW w:w="1062" w:type="dxa"/>
            <w:noWrap w:val="0"/>
            <w:vAlign w:val="center"/>
          </w:tcPr>
          <w:p w14:paraId="63003458">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w:t>
            </w:r>
          </w:p>
          <w:p w14:paraId="634167A2">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执行数</w:t>
            </w:r>
          </w:p>
        </w:tc>
        <w:tc>
          <w:tcPr>
            <w:tcW w:w="776" w:type="dxa"/>
            <w:noWrap w:val="0"/>
            <w:vAlign w:val="center"/>
          </w:tcPr>
          <w:p w14:paraId="20690332">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946" w:type="dxa"/>
            <w:noWrap w:val="0"/>
            <w:vAlign w:val="center"/>
          </w:tcPr>
          <w:p w14:paraId="3F0D960C">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执行率</w:t>
            </w:r>
          </w:p>
        </w:tc>
        <w:tc>
          <w:tcPr>
            <w:tcW w:w="912" w:type="dxa"/>
            <w:noWrap w:val="0"/>
            <w:vAlign w:val="center"/>
          </w:tcPr>
          <w:p w14:paraId="3EEA386B">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r>
      <w:tr w14:paraId="32DA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6CF22C5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08" w:type="dxa"/>
            <w:gridSpan w:val="2"/>
            <w:noWrap w:val="0"/>
            <w:vAlign w:val="center"/>
          </w:tcPr>
          <w:p w14:paraId="4B3AF96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年度资金总额　</w:t>
            </w:r>
          </w:p>
        </w:tc>
        <w:tc>
          <w:tcPr>
            <w:tcW w:w="1954" w:type="dxa"/>
            <w:shd w:val="clear" w:color="auto" w:fill="auto"/>
            <w:noWrap w:val="0"/>
            <w:vAlign w:val="center"/>
          </w:tcPr>
          <w:p w14:paraId="47F6D5C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139.65</w:t>
            </w:r>
          </w:p>
        </w:tc>
        <w:tc>
          <w:tcPr>
            <w:tcW w:w="1040" w:type="dxa"/>
            <w:shd w:val="clear" w:color="auto" w:fill="auto"/>
            <w:noWrap w:val="0"/>
            <w:vAlign w:val="center"/>
          </w:tcPr>
          <w:p w14:paraId="4E98A51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114.97</w:t>
            </w:r>
          </w:p>
        </w:tc>
        <w:tc>
          <w:tcPr>
            <w:tcW w:w="1062" w:type="dxa"/>
            <w:shd w:val="clear" w:color="auto" w:fill="auto"/>
            <w:noWrap w:val="0"/>
            <w:vAlign w:val="center"/>
          </w:tcPr>
          <w:p w14:paraId="06090B7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113.95</w:t>
            </w:r>
          </w:p>
        </w:tc>
        <w:tc>
          <w:tcPr>
            <w:tcW w:w="776" w:type="dxa"/>
            <w:shd w:val="clear" w:color="auto" w:fill="auto"/>
            <w:noWrap w:val="0"/>
            <w:vAlign w:val="center"/>
          </w:tcPr>
          <w:p w14:paraId="2C3D4B2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10</w:t>
            </w:r>
          </w:p>
        </w:tc>
        <w:tc>
          <w:tcPr>
            <w:tcW w:w="946" w:type="dxa"/>
            <w:shd w:val="clear" w:color="auto" w:fill="auto"/>
            <w:noWrap w:val="0"/>
            <w:vAlign w:val="center"/>
          </w:tcPr>
          <w:p w14:paraId="2E5DFC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99.11%</w:t>
            </w:r>
          </w:p>
        </w:tc>
        <w:tc>
          <w:tcPr>
            <w:tcW w:w="912" w:type="dxa"/>
            <w:shd w:val="clear" w:color="auto" w:fill="auto"/>
            <w:noWrap w:val="0"/>
            <w:vAlign w:val="center"/>
          </w:tcPr>
          <w:p w14:paraId="7C8D7DB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9.91</w:t>
            </w:r>
          </w:p>
        </w:tc>
      </w:tr>
      <w:tr w14:paraId="2E273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155EEE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08" w:type="dxa"/>
            <w:gridSpan w:val="2"/>
            <w:noWrap w:val="0"/>
            <w:vAlign w:val="center"/>
          </w:tcPr>
          <w:p w14:paraId="2B242E2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其中：当年财政拨款　</w:t>
            </w:r>
          </w:p>
        </w:tc>
        <w:tc>
          <w:tcPr>
            <w:tcW w:w="1954" w:type="dxa"/>
            <w:shd w:val="clear" w:color="auto" w:fill="auto"/>
            <w:noWrap w:val="0"/>
            <w:vAlign w:val="center"/>
          </w:tcPr>
          <w:p w14:paraId="7EBC4F2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139.65</w:t>
            </w:r>
          </w:p>
        </w:tc>
        <w:tc>
          <w:tcPr>
            <w:tcW w:w="1040" w:type="dxa"/>
            <w:shd w:val="clear" w:color="auto" w:fill="auto"/>
            <w:noWrap w:val="0"/>
            <w:vAlign w:val="center"/>
          </w:tcPr>
          <w:p w14:paraId="2C380A0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114.97</w:t>
            </w:r>
          </w:p>
        </w:tc>
        <w:tc>
          <w:tcPr>
            <w:tcW w:w="1062" w:type="dxa"/>
            <w:shd w:val="clear" w:color="auto" w:fill="auto"/>
            <w:noWrap w:val="0"/>
            <w:vAlign w:val="center"/>
          </w:tcPr>
          <w:p w14:paraId="5BA2F7F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113.95</w:t>
            </w:r>
          </w:p>
        </w:tc>
        <w:tc>
          <w:tcPr>
            <w:tcW w:w="776" w:type="dxa"/>
            <w:shd w:val="clear" w:color="auto" w:fill="auto"/>
            <w:noWrap w:val="0"/>
            <w:vAlign w:val="center"/>
          </w:tcPr>
          <w:p w14:paraId="0CBE155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10</w:t>
            </w:r>
          </w:p>
        </w:tc>
        <w:tc>
          <w:tcPr>
            <w:tcW w:w="946" w:type="dxa"/>
            <w:shd w:val="clear" w:color="auto" w:fill="auto"/>
            <w:noWrap w:val="0"/>
            <w:vAlign w:val="center"/>
          </w:tcPr>
          <w:p w14:paraId="0957896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99.11%</w:t>
            </w:r>
          </w:p>
        </w:tc>
        <w:tc>
          <w:tcPr>
            <w:tcW w:w="912" w:type="dxa"/>
            <w:shd w:val="clear" w:color="auto" w:fill="auto"/>
            <w:noWrap w:val="0"/>
            <w:vAlign w:val="center"/>
          </w:tcPr>
          <w:p w14:paraId="044BDC2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9.91</w:t>
            </w:r>
          </w:p>
        </w:tc>
      </w:tr>
      <w:tr w14:paraId="4D6AD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59E3042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08" w:type="dxa"/>
            <w:gridSpan w:val="2"/>
            <w:noWrap w:val="0"/>
            <w:vAlign w:val="center"/>
          </w:tcPr>
          <w:p w14:paraId="1C2CCD3B">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上年结转资金　</w:t>
            </w:r>
          </w:p>
        </w:tc>
        <w:tc>
          <w:tcPr>
            <w:tcW w:w="1954" w:type="dxa"/>
            <w:noWrap w:val="0"/>
            <w:vAlign w:val="center"/>
          </w:tcPr>
          <w:p w14:paraId="18BA38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40" w:type="dxa"/>
            <w:noWrap w:val="0"/>
            <w:vAlign w:val="center"/>
          </w:tcPr>
          <w:p w14:paraId="3AD26A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62" w:type="dxa"/>
            <w:noWrap w:val="0"/>
            <w:vAlign w:val="center"/>
          </w:tcPr>
          <w:p w14:paraId="5C0EC92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776" w:type="dxa"/>
            <w:noWrap w:val="0"/>
            <w:vAlign w:val="center"/>
          </w:tcPr>
          <w:p w14:paraId="054F125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946" w:type="dxa"/>
            <w:noWrap w:val="0"/>
            <w:vAlign w:val="center"/>
          </w:tcPr>
          <w:p w14:paraId="06BFAA9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912" w:type="dxa"/>
            <w:noWrap w:val="0"/>
            <w:vAlign w:val="center"/>
          </w:tcPr>
          <w:p w14:paraId="137CF5A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5F70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627D14A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08" w:type="dxa"/>
            <w:gridSpan w:val="2"/>
            <w:noWrap w:val="0"/>
            <w:vAlign w:val="center"/>
          </w:tcPr>
          <w:p w14:paraId="17FB652F">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其他资金</w:t>
            </w:r>
          </w:p>
        </w:tc>
        <w:tc>
          <w:tcPr>
            <w:tcW w:w="1954" w:type="dxa"/>
            <w:noWrap w:val="0"/>
            <w:vAlign w:val="center"/>
          </w:tcPr>
          <w:p w14:paraId="72F517E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40" w:type="dxa"/>
            <w:noWrap w:val="0"/>
            <w:vAlign w:val="center"/>
          </w:tcPr>
          <w:p w14:paraId="078E1F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62" w:type="dxa"/>
            <w:noWrap w:val="0"/>
            <w:vAlign w:val="center"/>
          </w:tcPr>
          <w:p w14:paraId="1CAC32E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776" w:type="dxa"/>
            <w:noWrap w:val="0"/>
            <w:vAlign w:val="center"/>
          </w:tcPr>
          <w:p w14:paraId="5A94A0D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946" w:type="dxa"/>
            <w:noWrap w:val="0"/>
            <w:vAlign w:val="center"/>
          </w:tcPr>
          <w:p w14:paraId="2F6895B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912" w:type="dxa"/>
            <w:noWrap w:val="0"/>
            <w:vAlign w:val="center"/>
          </w:tcPr>
          <w:p w14:paraId="30E84D8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3DFD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restart"/>
            <w:noWrap w:val="0"/>
            <w:vAlign w:val="center"/>
          </w:tcPr>
          <w:p w14:paraId="1FEF2B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年度总体目标</w:t>
            </w:r>
          </w:p>
        </w:tc>
        <w:tc>
          <w:tcPr>
            <w:tcW w:w="5102" w:type="dxa"/>
            <w:gridSpan w:val="4"/>
            <w:noWrap w:val="0"/>
            <w:vAlign w:val="center"/>
          </w:tcPr>
          <w:p w14:paraId="086862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预期目标</w:t>
            </w:r>
          </w:p>
        </w:tc>
        <w:tc>
          <w:tcPr>
            <w:tcW w:w="3696" w:type="dxa"/>
            <w:gridSpan w:val="4"/>
            <w:noWrap w:val="0"/>
            <w:vAlign w:val="center"/>
          </w:tcPr>
          <w:p w14:paraId="3E7FD2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实际完成情况　</w:t>
            </w:r>
          </w:p>
        </w:tc>
      </w:tr>
      <w:tr w14:paraId="4A77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5B8FDD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102" w:type="dxa"/>
            <w:gridSpan w:val="4"/>
            <w:noWrap w:val="0"/>
            <w:vAlign w:val="center"/>
          </w:tcPr>
          <w:p w14:paraId="4DDF6C6C">
            <w:pPr>
              <w:widowControl/>
              <w:jc w:val="left"/>
              <w:rPr>
                <w:rFonts w:hint="eastAsia" w:eastAsia="仿宋_GB2312"/>
                <w:kern w:val="0"/>
                <w:sz w:val="20"/>
                <w:szCs w:val="20"/>
                <w:lang w:val="en-US" w:eastAsia="zh-CN"/>
              </w:rPr>
            </w:pPr>
            <w:r>
              <w:rPr>
                <w:rFonts w:hint="eastAsia" w:eastAsia="仿宋_GB2312"/>
                <w:kern w:val="0"/>
                <w:sz w:val="20"/>
                <w:szCs w:val="20"/>
                <w:lang w:val="en-US" w:eastAsia="zh-CN"/>
              </w:rPr>
              <w:t>1.持续做好中心城区公园（南湖公园、金鹗公园、王家河公园、南湖广场）绿化树木白蚁防治，对中心城区主要路段行道树木进行蚁害灭治。</w:t>
            </w:r>
          </w:p>
          <w:p w14:paraId="393008A5">
            <w:pPr>
              <w:widowControl/>
              <w:jc w:val="left"/>
              <w:rPr>
                <w:rFonts w:hint="eastAsia" w:eastAsia="仿宋_GB2312"/>
                <w:kern w:val="0"/>
                <w:sz w:val="20"/>
                <w:szCs w:val="20"/>
                <w:lang w:val="en-US" w:eastAsia="zh-CN"/>
              </w:rPr>
            </w:pPr>
            <w:r>
              <w:rPr>
                <w:rFonts w:hint="eastAsia" w:eastAsia="仿宋_GB2312"/>
                <w:kern w:val="0"/>
                <w:sz w:val="20"/>
                <w:szCs w:val="20"/>
                <w:lang w:val="en-US" w:eastAsia="zh-CN"/>
              </w:rPr>
              <w:t>2.达到施工条件的房屋白蚁预防项目进行施工全覆盖，在保防期内的项目按回访复查要求做到复查、复治。</w:t>
            </w:r>
          </w:p>
          <w:p w14:paraId="1BA4A7FE">
            <w:pPr>
              <w:widowControl/>
              <w:jc w:val="left"/>
              <w:rPr>
                <w:rFonts w:hint="eastAsia" w:eastAsia="仿宋_GB2312"/>
                <w:kern w:val="0"/>
                <w:sz w:val="20"/>
                <w:szCs w:val="20"/>
              </w:rPr>
            </w:pPr>
            <w:r>
              <w:rPr>
                <w:rFonts w:hint="eastAsia" w:eastAsia="仿宋_GB2312"/>
                <w:kern w:val="0"/>
                <w:sz w:val="20"/>
                <w:szCs w:val="20"/>
                <w:lang w:val="en-US" w:eastAsia="zh-CN"/>
              </w:rPr>
              <w:t>3、</w:t>
            </w:r>
            <w:r>
              <w:rPr>
                <w:rFonts w:hint="eastAsia" w:eastAsia="仿宋_GB2312"/>
                <w:kern w:val="0"/>
                <w:sz w:val="20"/>
                <w:szCs w:val="20"/>
              </w:rPr>
              <w:t>公租房小区的配租、清查和退出管理</w:t>
            </w:r>
            <w:r>
              <w:rPr>
                <w:rFonts w:hint="eastAsia" w:eastAsia="仿宋_GB2312"/>
                <w:kern w:val="0"/>
                <w:sz w:val="20"/>
                <w:szCs w:val="20"/>
                <w:lang w:eastAsia="zh-CN"/>
              </w:rPr>
              <w:t>，</w:t>
            </w:r>
            <w:r>
              <w:rPr>
                <w:rFonts w:hint="eastAsia" w:eastAsia="仿宋_GB2312"/>
                <w:kern w:val="0"/>
                <w:sz w:val="20"/>
                <w:szCs w:val="20"/>
                <w:lang w:val="en-US" w:eastAsia="zh-CN"/>
              </w:rPr>
              <w:t>档案信息更新</w:t>
            </w:r>
            <w:r>
              <w:rPr>
                <w:rFonts w:hint="eastAsia" w:eastAsia="仿宋_GB2312"/>
                <w:kern w:val="0"/>
                <w:sz w:val="20"/>
                <w:szCs w:val="20"/>
              </w:rPr>
              <w:t>。</w:t>
            </w:r>
          </w:p>
          <w:p w14:paraId="10F15BB8">
            <w:pPr>
              <w:widowControl/>
              <w:numPr>
                <w:ilvl w:val="0"/>
                <w:numId w:val="0"/>
              </w:numPr>
              <w:jc w:val="left"/>
              <w:rPr>
                <w:rFonts w:hint="default"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eastAsia" w:eastAsia="仿宋_GB2312"/>
                <w:kern w:val="0"/>
                <w:sz w:val="20"/>
                <w:szCs w:val="20"/>
                <w:lang w:val="en-US" w:eastAsia="zh-CN"/>
              </w:rPr>
              <w:t>4、</w:t>
            </w:r>
            <w:r>
              <w:rPr>
                <w:rFonts w:hint="eastAsia" w:eastAsia="仿宋_GB2312"/>
                <w:kern w:val="0"/>
                <w:sz w:val="20"/>
                <w:szCs w:val="20"/>
              </w:rPr>
              <w:t>乡村振兴</w:t>
            </w:r>
            <w:r>
              <w:rPr>
                <w:rFonts w:hint="eastAsia" w:eastAsia="仿宋_GB2312"/>
                <w:kern w:val="0"/>
                <w:sz w:val="20"/>
                <w:szCs w:val="20"/>
                <w:lang w:eastAsia="zh-CN"/>
              </w:rPr>
              <w:t>、</w:t>
            </w:r>
            <w:r>
              <w:rPr>
                <w:rFonts w:hint="eastAsia" w:eastAsia="仿宋_GB2312"/>
                <w:kern w:val="0"/>
                <w:sz w:val="20"/>
                <w:szCs w:val="20"/>
                <w:lang w:val="en-US" w:eastAsia="zh-CN"/>
              </w:rPr>
              <w:t>文明创建</w:t>
            </w:r>
            <w:r>
              <w:rPr>
                <w:rFonts w:hint="eastAsia" w:eastAsia="仿宋_GB2312"/>
                <w:kern w:val="0"/>
                <w:sz w:val="20"/>
                <w:szCs w:val="20"/>
              </w:rPr>
              <w:t>等</w:t>
            </w:r>
          </w:p>
        </w:tc>
        <w:tc>
          <w:tcPr>
            <w:tcW w:w="3696" w:type="dxa"/>
            <w:gridSpan w:val="4"/>
            <w:noWrap w:val="0"/>
            <w:vAlign w:val="center"/>
          </w:tcPr>
          <w:p w14:paraId="26D28C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年度总体目标</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全部完成</w:t>
            </w:r>
          </w:p>
        </w:tc>
      </w:tr>
      <w:tr w14:paraId="19C9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restart"/>
            <w:noWrap w:val="0"/>
            <w:vAlign w:val="center"/>
          </w:tcPr>
          <w:p w14:paraId="456BD1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绩</w:t>
            </w:r>
          </w:p>
          <w:p w14:paraId="655FE6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w:t>
            </w:r>
          </w:p>
          <w:p w14:paraId="686E5D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w:t>
            </w:r>
          </w:p>
          <w:p w14:paraId="68D9AE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标</w:t>
            </w:r>
          </w:p>
        </w:tc>
        <w:tc>
          <w:tcPr>
            <w:tcW w:w="1062" w:type="dxa"/>
            <w:noWrap w:val="0"/>
            <w:vAlign w:val="center"/>
          </w:tcPr>
          <w:p w14:paraId="226C3F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一级指标</w:t>
            </w:r>
          </w:p>
        </w:tc>
        <w:tc>
          <w:tcPr>
            <w:tcW w:w="1046" w:type="dxa"/>
            <w:noWrap w:val="0"/>
            <w:vAlign w:val="center"/>
          </w:tcPr>
          <w:p w14:paraId="2147D6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二级指标</w:t>
            </w:r>
          </w:p>
        </w:tc>
        <w:tc>
          <w:tcPr>
            <w:tcW w:w="1954" w:type="dxa"/>
            <w:noWrap w:val="0"/>
            <w:vAlign w:val="center"/>
          </w:tcPr>
          <w:p w14:paraId="4A5B92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三级指标</w:t>
            </w:r>
          </w:p>
        </w:tc>
        <w:tc>
          <w:tcPr>
            <w:tcW w:w="1040" w:type="dxa"/>
            <w:noWrap w:val="0"/>
            <w:vAlign w:val="center"/>
          </w:tcPr>
          <w:p w14:paraId="1C0099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w:t>
            </w:r>
          </w:p>
          <w:p w14:paraId="4C3E93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指标值</w:t>
            </w:r>
          </w:p>
        </w:tc>
        <w:tc>
          <w:tcPr>
            <w:tcW w:w="1062" w:type="dxa"/>
            <w:noWrap w:val="0"/>
            <w:vAlign w:val="center"/>
          </w:tcPr>
          <w:p w14:paraId="42B0CB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w:t>
            </w:r>
          </w:p>
          <w:p w14:paraId="4AE402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完成值</w:t>
            </w:r>
          </w:p>
        </w:tc>
        <w:tc>
          <w:tcPr>
            <w:tcW w:w="776" w:type="dxa"/>
            <w:noWrap w:val="0"/>
            <w:vAlign w:val="center"/>
          </w:tcPr>
          <w:p w14:paraId="51E1DE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946" w:type="dxa"/>
            <w:noWrap w:val="0"/>
            <w:vAlign w:val="center"/>
          </w:tcPr>
          <w:p w14:paraId="3F40F0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c>
          <w:tcPr>
            <w:tcW w:w="912" w:type="dxa"/>
            <w:noWrap w:val="0"/>
            <w:vAlign w:val="center"/>
          </w:tcPr>
          <w:p w14:paraId="1F0C3545">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偏差原因分析及改进措施</w:t>
            </w:r>
          </w:p>
        </w:tc>
      </w:tr>
      <w:tr w14:paraId="3D5F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26F99B87">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restart"/>
            <w:noWrap w:val="0"/>
            <w:vAlign w:val="center"/>
          </w:tcPr>
          <w:p w14:paraId="747285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产出指标</w:t>
            </w:r>
          </w:p>
          <w:p w14:paraId="30EE64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14:paraId="708A72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(50分)</w:t>
            </w:r>
          </w:p>
        </w:tc>
        <w:tc>
          <w:tcPr>
            <w:tcW w:w="1046" w:type="dxa"/>
            <w:vMerge w:val="restart"/>
            <w:noWrap w:val="0"/>
            <w:vAlign w:val="center"/>
          </w:tcPr>
          <w:p w14:paraId="30FE61C0">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数量指标</w:t>
            </w:r>
          </w:p>
        </w:tc>
        <w:tc>
          <w:tcPr>
            <w:tcW w:w="1954" w:type="dxa"/>
            <w:noWrap w:val="0"/>
            <w:vAlign w:val="top"/>
          </w:tcPr>
          <w:p w14:paraId="063D73C0">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多个园林单位</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绿化</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以及城区主干道行道树木</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实施白蚁防治</w:t>
            </w:r>
          </w:p>
        </w:tc>
        <w:tc>
          <w:tcPr>
            <w:tcW w:w="1040" w:type="dxa"/>
            <w:noWrap w:val="0"/>
            <w:vAlign w:val="center"/>
          </w:tcPr>
          <w:p w14:paraId="3CE0421D">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灭治区域</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达到90%</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 xml:space="preserve"> </w:t>
            </w:r>
          </w:p>
        </w:tc>
        <w:tc>
          <w:tcPr>
            <w:tcW w:w="1062" w:type="dxa"/>
            <w:shd w:val="clear" w:color="auto" w:fill="auto"/>
            <w:noWrap w:val="0"/>
            <w:vAlign w:val="center"/>
          </w:tcPr>
          <w:p w14:paraId="3487E61B">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灭治区域</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达到90%</w:t>
            </w:r>
          </w:p>
        </w:tc>
        <w:tc>
          <w:tcPr>
            <w:tcW w:w="776" w:type="dxa"/>
            <w:noWrap w:val="0"/>
            <w:vAlign w:val="center"/>
          </w:tcPr>
          <w:p w14:paraId="60F3C6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946" w:type="dxa"/>
            <w:noWrap w:val="0"/>
            <w:vAlign w:val="center"/>
          </w:tcPr>
          <w:p w14:paraId="3248E8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912" w:type="dxa"/>
            <w:noWrap w:val="0"/>
            <w:vAlign w:val="center"/>
          </w:tcPr>
          <w:p w14:paraId="13AD822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2D97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70CF2412">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7B652A2E">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vMerge w:val="continue"/>
            <w:noWrap w:val="0"/>
            <w:vAlign w:val="center"/>
          </w:tcPr>
          <w:p w14:paraId="2213705C">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954" w:type="dxa"/>
            <w:noWrap w:val="0"/>
            <w:vAlign w:val="center"/>
          </w:tcPr>
          <w:p w14:paraId="71987F76">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中心</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城区新建房屋</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预防项目</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达到施工条件的进行</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白蚁防治</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施工全覆盖</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面积</w:t>
            </w:r>
          </w:p>
        </w:tc>
        <w:tc>
          <w:tcPr>
            <w:tcW w:w="1040" w:type="dxa"/>
            <w:noWrap w:val="0"/>
            <w:vAlign w:val="center"/>
          </w:tcPr>
          <w:p w14:paraId="5ACC0752">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300</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万平方米</w:t>
            </w:r>
          </w:p>
        </w:tc>
        <w:tc>
          <w:tcPr>
            <w:tcW w:w="1062" w:type="dxa"/>
            <w:shd w:val="clear" w:color="auto" w:fill="auto"/>
            <w:noWrap w:val="0"/>
            <w:vAlign w:val="center"/>
          </w:tcPr>
          <w:p w14:paraId="06B5EA57">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185</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万平方米</w:t>
            </w:r>
          </w:p>
        </w:tc>
        <w:tc>
          <w:tcPr>
            <w:tcW w:w="776" w:type="dxa"/>
            <w:noWrap w:val="0"/>
            <w:vAlign w:val="center"/>
          </w:tcPr>
          <w:p w14:paraId="19CD0A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946" w:type="dxa"/>
            <w:noWrap w:val="0"/>
            <w:vAlign w:val="center"/>
          </w:tcPr>
          <w:p w14:paraId="0E7F4F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6.17</w:t>
            </w:r>
          </w:p>
        </w:tc>
        <w:tc>
          <w:tcPr>
            <w:tcW w:w="912" w:type="dxa"/>
            <w:noWrap w:val="0"/>
            <w:vAlign w:val="center"/>
          </w:tcPr>
          <w:p w14:paraId="7BB03E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2025年</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房地产市场整体不景气，</w:t>
            </w: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新建房屋面积明显低于往年，后期将调低白蚁防治覆盖面积目标数。</w:t>
            </w:r>
          </w:p>
        </w:tc>
      </w:tr>
      <w:tr w14:paraId="2E9B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68A825B2">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50648CB2">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vMerge w:val="continue"/>
            <w:noWrap w:val="0"/>
            <w:vAlign w:val="center"/>
          </w:tcPr>
          <w:p w14:paraId="2C2CDF4F">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954" w:type="dxa"/>
            <w:noWrap w:val="0"/>
            <w:vAlign w:val="center"/>
          </w:tcPr>
          <w:p w14:paraId="567D1F6A">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市本级公租房小区住户资格年审户数</w:t>
            </w:r>
          </w:p>
        </w:tc>
        <w:tc>
          <w:tcPr>
            <w:tcW w:w="1040" w:type="dxa"/>
            <w:noWrap w:val="0"/>
            <w:vAlign w:val="center"/>
          </w:tcPr>
          <w:p w14:paraId="3BBEBD96">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496户</w:t>
            </w:r>
          </w:p>
        </w:tc>
        <w:tc>
          <w:tcPr>
            <w:tcW w:w="1062" w:type="dxa"/>
            <w:shd w:val="clear" w:color="auto" w:fill="auto"/>
            <w:noWrap w:val="0"/>
            <w:vAlign w:val="center"/>
          </w:tcPr>
          <w:p w14:paraId="516C8563">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496户</w:t>
            </w:r>
          </w:p>
        </w:tc>
        <w:tc>
          <w:tcPr>
            <w:tcW w:w="776" w:type="dxa"/>
            <w:noWrap w:val="0"/>
            <w:vAlign w:val="center"/>
          </w:tcPr>
          <w:p w14:paraId="38B024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46" w:type="dxa"/>
            <w:noWrap w:val="0"/>
            <w:vAlign w:val="center"/>
          </w:tcPr>
          <w:p w14:paraId="3FDA67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12" w:type="dxa"/>
            <w:noWrap w:val="0"/>
            <w:vAlign w:val="center"/>
          </w:tcPr>
          <w:p w14:paraId="0379AD1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14:paraId="2250B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348C0568">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4E7002CD">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vMerge w:val="restart"/>
            <w:noWrap w:val="0"/>
            <w:vAlign w:val="center"/>
          </w:tcPr>
          <w:p w14:paraId="21EEB5A1">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质量指标</w:t>
            </w:r>
          </w:p>
        </w:tc>
        <w:tc>
          <w:tcPr>
            <w:tcW w:w="1954" w:type="dxa"/>
            <w:noWrap w:val="0"/>
            <w:vAlign w:val="center"/>
          </w:tcPr>
          <w:p w14:paraId="668A4E2A">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已实施白蚁防治区域无明显蚁害、不出现重复蚁害。</w:t>
            </w:r>
          </w:p>
        </w:tc>
        <w:tc>
          <w:tcPr>
            <w:tcW w:w="1040" w:type="dxa"/>
            <w:noWrap w:val="0"/>
            <w:vAlign w:val="center"/>
          </w:tcPr>
          <w:p w14:paraId="754B7B8E">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无明显蚁害</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不出现重复蚁</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害</w:t>
            </w:r>
          </w:p>
        </w:tc>
        <w:tc>
          <w:tcPr>
            <w:tcW w:w="1062" w:type="dxa"/>
            <w:noWrap w:val="0"/>
            <w:vAlign w:val="center"/>
          </w:tcPr>
          <w:p w14:paraId="4FB558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无明显蚁害</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、未</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出现重复蚁</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害</w:t>
            </w:r>
          </w:p>
        </w:tc>
        <w:tc>
          <w:tcPr>
            <w:tcW w:w="776" w:type="dxa"/>
            <w:noWrap w:val="0"/>
            <w:vAlign w:val="center"/>
          </w:tcPr>
          <w:p w14:paraId="5AC890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946" w:type="dxa"/>
            <w:noWrap w:val="0"/>
            <w:vAlign w:val="center"/>
          </w:tcPr>
          <w:p w14:paraId="17EFD3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912" w:type="dxa"/>
            <w:noWrap w:val="0"/>
            <w:vAlign w:val="center"/>
          </w:tcPr>
          <w:p w14:paraId="18D57F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2646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053" w:type="dxa"/>
            <w:vMerge w:val="continue"/>
            <w:noWrap w:val="0"/>
            <w:vAlign w:val="center"/>
          </w:tcPr>
          <w:p w14:paraId="04CA4550">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6D8529B8">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vMerge w:val="continue"/>
            <w:noWrap w:val="0"/>
            <w:vAlign w:val="center"/>
          </w:tcPr>
          <w:p w14:paraId="6B853762">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954" w:type="dxa"/>
            <w:shd w:val="clear" w:color="auto" w:fill="auto"/>
            <w:noWrap w:val="0"/>
            <w:vAlign w:val="center"/>
          </w:tcPr>
          <w:p w14:paraId="67612F0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有效控制保障性住房资源公平使用</w:t>
            </w:r>
          </w:p>
        </w:tc>
        <w:tc>
          <w:tcPr>
            <w:tcW w:w="1040" w:type="dxa"/>
            <w:shd w:val="clear" w:color="auto" w:fill="auto"/>
            <w:noWrap w:val="0"/>
            <w:vAlign w:val="center"/>
          </w:tcPr>
          <w:p w14:paraId="5C94D7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无违法违规使用保障性住房</w:t>
            </w:r>
          </w:p>
        </w:tc>
        <w:tc>
          <w:tcPr>
            <w:tcW w:w="1062" w:type="dxa"/>
            <w:shd w:val="clear" w:color="auto" w:fill="auto"/>
            <w:noWrap w:val="0"/>
            <w:vAlign w:val="center"/>
          </w:tcPr>
          <w:p w14:paraId="6AD83D4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清退不符合条件的承租户9户</w:t>
            </w:r>
          </w:p>
        </w:tc>
        <w:tc>
          <w:tcPr>
            <w:tcW w:w="776" w:type="dxa"/>
            <w:shd w:val="clear" w:color="auto" w:fill="auto"/>
            <w:noWrap w:val="0"/>
            <w:vAlign w:val="center"/>
          </w:tcPr>
          <w:p w14:paraId="3F66FC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kern w:val="0"/>
                <w:sz w:val="20"/>
                <w:szCs w:val="20"/>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46" w:type="dxa"/>
            <w:shd w:val="clear" w:color="auto" w:fill="auto"/>
            <w:noWrap w:val="0"/>
            <w:vAlign w:val="center"/>
          </w:tcPr>
          <w:p w14:paraId="300973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912" w:type="dxa"/>
            <w:shd w:val="clear" w:color="auto" w:fill="auto"/>
            <w:noWrap w:val="0"/>
            <w:vAlign w:val="center"/>
          </w:tcPr>
          <w:p w14:paraId="5188062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p>
        </w:tc>
      </w:tr>
      <w:tr w14:paraId="30D22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53" w:type="dxa"/>
            <w:vMerge w:val="continue"/>
            <w:noWrap w:val="0"/>
            <w:vAlign w:val="center"/>
          </w:tcPr>
          <w:p w14:paraId="6A85CD1C">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032EC674">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noWrap w:val="0"/>
            <w:vAlign w:val="center"/>
          </w:tcPr>
          <w:p w14:paraId="1DC923D2">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时效指标</w:t>
            </w:r>
          </w:p>
        </w:tc>
        <w:tc>
          <w:tcPr>
            <w:tcW w:w="1954" w:type="dxa"/>
            <w:noWrap w:val="0"/>
            <w:vAlign w:val="center"/>
          </w:tcPr>
          <w:p w14:paraId="52469307">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白蚁防治</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保防期</w:t>
            </w:r>
          </w:p>
        </w:tc>
        <w:tc>
          <w:tcPr>
            <w:tcW w:w="1040" w:type="dxa"/>
            <w:noWrap w:val="0"/>
            <w:vAlign w:val="center"/>
          </w:tcPr>
          <w:p w14:paraId="06D2D8AF">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15年</w:t>
            </w:r>
          </w:p>
        </w:tc>
        <w:tc>
          <w:tcPr>
            <w:tcW w:w="1062" w:type="dxa"/>
            <w:noWrap w:val="0"/>
            <w:vAlign w:val="center"/>
          </w:tcPr>
          <w:p w14:paraId="5AB4907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15年</w:t>
            </w:r>
          </w:p>
        </w:tc>
        <w:tc>
          <w:tcPr>
            <w:tcW w:w="776" w:type="dxa"/>
            <w:noWrap w:val="0"/>
            <w:vAlign w:val="center"/>
          </w:tcPr>
          <w:p w14:paraId="34D062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946" w:type="dxa"/>
            <w:noWrap w:val="0"/>
            <w:vAlign w:val="center"/>
          </w:tcPr>
          <w:p w14:paraId="21C34B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912" w:type="dxa"/>
            <w:noWrap w:val="0"/>
            <w:vAlign w:val="center"/>
          </w:tcPr>
          <w:p w14:paraId="6A6277A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1A0C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69EF4282">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01328779">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noWrap w:val="0"/>
            <w:vAlign w:val="center"/>
          </w:tcPr>
          <w:p w14:paraId="69FEF593">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成本指标</w:t>
            </w:r>
          </w:p>
        </w:tc>
        <w:tc>
          <w:tcPr>
            <w:tcW w:w="1954" w:type="dxa"/>
            <w:noWrap w:val="0"/>
            <w:vAlign w:val="center"/>
          </w:tcPr>
          <w:p w14:paraId="697D104B">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项目实施成本</w:t>
            </w:r>
          </w:p>
        </w:tc>
        <w:tc>
          <w:tcPr>
            <w:tcW w:w="1040" w:type="dxa"/>
            <w:noWrap w:val="0"/>
            <w:vAlign w:val="center"/>
          </w:tcPr>
          <w:p w14:paraId="6F109D56">
            <w:pPr>
              <w:keepNext w:val="0"/>
              <w:keepLines w:val="0"/>
              <w:widowControl/>
              <w:suppressLineNumbers w:val="0"/>
              <w:jc w:val="both"/>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114.97</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万元</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内</w:t>
            </w:r>
          </w:p>
        </w:tc>
        <w:tc>
          <w:tcPr>
            <w:tcW w:w="1062" w:type="dxa"/>
            <w:noWrap w:val="0"/>
            <w:vAlign w:val="center"/>
          </w:tcPr>
          <w:p w14:paraId="5EFD00D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113.95万元</w:t>
            </w:r>
          </w:p>
        </w:tc>
        <w:tc>
          <w:tcPr>
            <w:tcW w:w="776" w:type="dxa"/>
            <w:noWrap w:val="0"/>
            <w:vAlign w:val="center"/>
          </w:tcPr>
          <w:p w14:paraId="3F68A8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946" w:type="dxa"/>
            <w:noWrap w:val="0"/>
            <w:vAlign w:val="center"/>
          </w:tcPr>
          <w:p w14:paraId="7F02B9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912" w:type="dxa"/>
            <w:noWrap w:val="0"/>
            <w:vAlign w:val="center"/>
          </w:tcPr>
          <w:p w14:paraId="3B37C4C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3534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24C96844">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restart"/>
            <w:noWrap w:val="0"/>
            <w:vAlign w:val="center"/>
          </w:tcPr>
          <w:p w14:paraId="70FAE81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效益指标</w:t>
            </w:r>
          </w:p>
          <w:p w14:paraId="17ADBD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14:paraId="6A1B552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（30分）</w:t>
            </w:r>
          </w:p>
          <w:p w14:paraId="0CE9860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46" w:type="dxa"/>
            <w:noWrap w:val="0"/>
            <w:vAlign w:val="center"/>
          </w:tcPr>
          <w:p w14:paraId="619CD6A4">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经济效</w:t>
            </w:r>
          </w:p>
          <w:p w14:paraId="182A62C8">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益指标</w:t>
            </w:r>
          </w:p>
        </w:tc>
        <w:tc>
          <w:tcPr>
            <w:tcW w:w="1954" w:type="dxa"/>
            <w:noWrap w:val="0"/>
            <w:vAlign w:val="center"/>
          </w:tcPr>
          <w:p w14:paraId="3B3E134D">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无</w:t>
            </w:r>
          </w:p>
        </w:tc>
        <w:tc>
          <w:tcPr>
            <w:tcW w:w="1040" w:type="dxa"/>
            <w:noWrap w:val="0"/>
            <w:vAlign w:val="center"/>
          </w:tcPr>
          <w:p w14:paraId="7599352C">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062" w:type="dxa"/>
            <w:noWrap w:val="0"/>
            <w:vAlign w:val="center"/>
          </w:tcPr>
          <w:p w14:paraId="7EDBDB9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776" w:type="dxa"/>
            <w:noWrap w:val="0"/>
            <w:vAlign w:val="center"/>
          </w:tcPr>
          <w:p w14:paraId="2D162B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c>
          <w:tcPr>
            <w:tcW w:w="946" w:type="dxa"/>
            <w:noWrap w:val="0"/>
            <w:vAlign w:val="center"/>
          </w:tcPr>
          <w:p w14:paraId="425131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c>
          <w:tcPr>
            <w:tcW w:w="912" w:type="dxa"/>
            <w:noWrap w:val="0"/>
            <w:vAlign w:val="center"/>
          </w:tcPr>
          <w:p w14:paraId="54100AF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14:paraId="5C2E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53" w:type="dxa"/>
            <w:vMerge w:val="continue"/>
            <w:noWrap w:val="0"/>
            <w:vAlign w:val="center"/>
          </w:tcPr>
          <w:p w14:paraId="2757F66D">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751ECB4E">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noWrap w:val="0"/>
            <w:vAlign w:val="center"/>
          </w:tcPr>
          <w:p w14:paraId="6D97D89A">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社会效</w:t>
            </w:r>
          </w:p>
          <w:p w14:paraId="6922FD8D">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益指标</w:t>
            </w:r>
          </w:p>
        </w:tc>
        <w:tc>
          <w:tcPr>
            <w:tcW w:w="1954" w:type="dxa"/>
            <w:noWrap w:val="0"/>
            <w:vAlign w:val="center"/>
          </w:tcPr>
          <w:p w14:paraId="52D8964D">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城区多个园林单位以及城区主干道行道树木逐渐消除蚁害。</w:t>
            </w:r>
          </w:p>
        </w:tc>
        <w:tc>
          <w:tcPr>
            <w:tcW w:w="1040" w:type="dxa"/>
            <w:noWrap w:val="0"/>
            <w:vAlign w:val="center"/>
          </w:tcPr>
          <w:p w14:paraId="2F930525">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达到良好的社会效益</w:t>
            </w:r>
          </w:p>
        </w:tc>
        <w:tc>
          <w:tcPr>
            <w:tcW w:w="1062" w:type="dxa"/>
            <w:noWrap w:val="0"/>
            <w:vAlign w:val="center"/>
          </w:tcPr>
          <w:p w14:paraId="03B3D40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已取得良好的社会效益</w:t>
            </w:r>
          </w:p>
        </w:tc>
        <w:tc>
          <w:tcPr>
            <w:tcW w:w="776" w:type="dxa"/>
            <w:noWrap w:val="0"/>
            <w:vAlign w:val="center"/>
          </w:tcPr>
          <w:p w14:paraId="40B0E2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946" w:type="dxa"/>
            <w:noWrap w:val="0"/>
            <w:vAlign w:val="center"/>
          </w:tcPr>
          <w:p w14:paraId="0B4FF8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912" w:type="dxa"/>
            <w:shd w:val="clear" w:color="auto" w:fill="auto"/>
            <w:noWrap w:val="0"/>
            <w:vAlign w:val="center"/>
          </w:tcPr>
          <w:p w14:paraId="788049B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p>
        </w:tc>
      </w:tr>
      <w:tr w14:paraId="02EA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299C1F29">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7CA5E781">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vMerge w:val="restart"/>
            <w:noWrap w:val="0"/>
            <w:vAlign w:val="center"/>
          </w:tcPr>
          <w:p w14:paraId="367F0295">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生态效</w:t>
            </w:r>
          </w:p>
          <w:p w14:paraId="23744F59">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益指标</w:t>
            </w:r>
          </w:p>
        </w:tc>
        <w:tc>
          <w:tcPr>
            <w:tcW w:w="1954" w:type="dxa"/>
            <w:noWrap w:val="0"/>
            <w:vAlign w:val="center"/>
          </w:tcPr>
          <w:p w14:paraId="3DE267CD">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逐渐消除城市园林绿地蚁害</w:t>
            </w:r>
          </w:p>
        </w:tc>
        <w:tc>
          <w:tcPr>
            <w:tcW w:w="1040" w:type="dxa"/>
            <w:noWrap w:val="0"/>
            <w:vAlign w:val="center"/>
          </w:tcPr>
          <w:p w14:paraId="1B862151">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环境好</w:t>
            </w:r>
          </w:p>
        </w:tc>
        <w:tc>
          <w:tcPr>
            <w:tcW w:w="1062" w:type="dxa"/>
            <w:noWrap w:val="0"/>
            <w:vAlign w:val="center"/>
          </w:tcPr>
          <w:p w14:paraId="2134764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环境好</w:t>
            </w:r>
          </w:p>
        </w:tc>
        <w:tc>
          <w:tcPr>
            <w:tcW w:w="776" w:type="dxa"/>
            <w:noWrap w:val="0"/>
            <w:vAlign w:val="center"/>
          </w:tcPr>
          <w:p w14:paraId="59E3BB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46" w:type="dxa"/>
            <w:noWrap w:val="0"/>
            <w:vAlign w:val="center"/>
          </w:tcPr>
          <w:p w14:paraId="0FA8B7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912" w:type="dxa"/>
            <w:shd w:val="clear" w:color="auto" w:fill="auto"/>
            <w:noWrap w:val="0"/>
            <w:vAlign w:val="center"/>
          </w:tcPr>
          <w:p w14:paraId="349744A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p>
        </w:tc>
      </w:tr>
      <w:tr w14:paraId="2DF22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4F044F69">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28C5244A">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vMerge w:val="continue"/>
            <w:noWrap w:val="0"/>
            <w:vAlign w:val="center"/>
          </w:tcPr>
          <w:p w14:paraId="2349D0A7">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954" w:type="dxa"/>
            <w:noWrap w:val="0"/>
            <w:vAlign w:val="center"/>
          </w:tcPr>
          <w:p w14:paraId="46680D26">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降低城市房屋白蚁危害</w:t>
            </w:r>
          </w:p>
        </w:tc>
        <w:tc>
          <w:tcPr>
            <w:tcW w:w="1040" w:type="dxa"/>
            <w:noWrap w:val="0"/>
            <w:vAlign w:val="center"/>
          </w:tcPr>
          <w:p w14:paraId="0C97A0ED">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居住安全</w:t>
            </w:r>
          </w:p>
        </w:tc>
        <w:tc>
          <w:tcPr>
            <w:tcW w:w="1062" w:type="dxa"/>
            <w:noWrap w:val="0"/>
            <w:vAlign w:val="center"/>
          </w:tcPr>
          <w:p w14:paraId="3180F49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居住安全</w:t>
            </w:r>
          </w:p>
        </w:tc>
        <w:tc>
          <w:tcPr>
            <w:tcW w:w="776" w:type="dxa"/>
            <w:noWrap w:val="0"/>
            <w:vAlign w:val="center"/>
          </w:tcPr>
          <w:p w14:paraId="15C5AD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46" w:type="dxa"/>
            <w:noWrap w:val="0"/>
            <w:vAlign w:val="center"/>
          </w:tcPr>
          <w:p w14:paraId="1EB197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912" w:type="dxa"/>
            <w:noWrap w:val="0"/>
            <w:vAlign w:val="center"/>
          </w:tcPr>
          <w:p w14:paraId="1530A7E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14:paraId="47B9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7C1031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0D8A63E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vMerge w:val="restart"/>
            <w:noWrap w:val="0"/>
            <w:vAlign w:val="center"/>
          </w:tcPr>
          <w:p w14:paraId="3F6EDBC9">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可持续影响指标</w:t>
            </w:r>
          </w:p>
        </w:tc>
        <w:tc>
          <w:tcPr>
            <w:tcW w:w="1954" w:type="dxa"/>
            <w:noWrap w:val="0"/>
            <w:vAlign w:val="center"/>
          </w:tcPr>
          <w:p w14:paraId="405A2CC2">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城市园林绿化</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蚁害逐年递减</w:t>
            </w:r>
          </w:p>
        </w:tc>
        <w:tc>
          <w:tcPr>
            <w:tcW w:w="1040" w:type="dxa"/>
            <w:noWrap w:val="0"/>
            <w:vAlign w:val="center"/>
          </w:tcPr>
          <w:p w14:paraId="21F17B78">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有可持续影响</w:t>
            </w:r>
          </w:p>
        </w:tc>
        <w:tc>
          <w:tcPr>
            <w:tcW w:w="1062" w:type="dxa"/>
            <w:noWrap w:val="0"/>
            <w:vAlign w:val="center"/>
          </w:tcPr>
          <w:p w14:paraId="633E8BB7">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蚁害持续可控</w:t>
            </w:r>
          </w:p>
        </w:tc>
        <w:tc>
          <w:tcPr>
            <w:tcW w:w="776" w:type="dxa"/>
            <w:noWrap w:val="0"/>
            <w:vAlign w:val="center"/>
          </w:tcPr>
          <w:p w14:paraId="14CED5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46" w:type="dxa"/>
            <w:noWrap w:val="0"/>
            <w:vAlign w:val="center"/>
          </w:tcPr>
          <w:p w14:paraId="2F2D55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12" w:type="dxa"/>
            <w:noWrap w:val="0"/>
            <w:vAlign w:val="center"/>
          </w:tcPr>
          <w:p w14:paraId="50A56E1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0E0AE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19E7AE47">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vMerge w:val="continue"/>
            <w:noWrap w:val="0"/>
            <w:vAlign w:val="center"/>
          </w:tcPr>
          <w:p w14:paraId="2E149D9E">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46" w:type="dxa"/>
            <w:vMerge w:val="continue"/>
            <w:noWrap w:val="0"/>
            <w:vAlign w:val="center"/>
          </w:tcPr>
          <w:p w14:paraId="2F8B8AC5">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954" w:type="dxa"/>
            <w:noWrap w:val="0"/>
            <w:vAlign w:val="center"/>
          </w:tcPr>
          <w:p w14:paraId="715A4F19">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城市房屋15年保防期内</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有效控制</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蚁害发生</w:t>
            </w:r>
          </w:p>
        </w:tc>
        <w:tc>
          <w:tcPr>
            <w:tcW w:w="1040" w:type="dxa"/>
            <w:noWrap w:val="0"/>
            <w:vAlign w:val="center"/>
          </w:tcPr>
          <w:p w14:paraId="7864D3B2">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有效控制蚁害</w:t>
            </w:r>
          </w:p>
        </w:tc>
        <w:tc>
          <w:tcPr>
            <w:tcW w:w="1062" w:type="dxa"/>
            <w:noWrap w:val="0"/>
            <w:vAlign w:val="center"/>
          </w:tcPr>
          <w:p w14:paraId="278A32EA">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有效控制蚁害</w:t>
            </w:r>
          </w:p>
        </w:tc>
        <w:tc>
          <w:tcPr>
            <w:tcW w:w="776" w:type="dxa"/>
            <w:noWrap w:val="0"/>
            <w:vAlign w:val="center"/>
          </w:tcPr>
          <w:p w14:paraId="3A0475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46" w:type="dxa"/>
            <w:noWrap w:val="0"/>
            <w:vAlign w:val="center"/>
          </w:tcPr>
          <w:p w14:paraId="029BC3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12" w:type="dxa"/>
            <w:noWrap w:val="0"/>
            <w:vAlign w:val="center"/>
          </w:tcPr>
          <w:p w14:paraId="7D72F1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1BB2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14:paraId="35D425FB">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62" w:type="dxa"/>
            <w:noWrap w:val="0"/>
            <w:vAlign w:val="center"/>
          </w:tcPr>
          <w:p w14:paraId="5C5123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满意度</w:t>
            </w:r>
          </w:p>
          <w:p w14:paraId="266BE2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指标</w:t>
            </w:r>
          </w:p>
          <w:p w14:paraId="616F60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（10分）</w:t>
            </w:r>
          </w:p>
        </w:tc>
        <w:tc>
          <w:tcPr>
            <w:tcW w:w="1046" w:type="dxa"/>
            <w:noWrap w:val="0"/>
            <w:vAlign w:val="center"/>
          </w:tcPr>
          <w:p w14:paraId="1EC6BD59">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服务对象满意度指标</w:t>
            </w:r>
          </w:p>
        </w:tc>
        <w:tc>
          <w:tcPr>
            <w:tcW w:w="1954" w:type="dxa"/>
            <w:noWrap w:val="0"/>
            <w:vAlign w:val="center"/>
          </w:tcPr>
          <w:p w14:paraId="58E72E33">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施工验收后</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住户</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满意度</w:t>
            </w:r>
          </w:p>
        </w:tc>
        <w:tc>
          <w:tcPr>
            <w:tcW w:w="1040" w:type="dxa"/>
            <w:noWrap w:val="0"/>
            <w:vAlign w:val="center"/>
          </w:tcPr>
          <w:p w14:paraId="34B72DD4">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90%</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以上</w:t>
            </w:r>
          </w:p>
        </w:tc>
        <w:tc>
          <w:tcPr>
            <w:tcW w:w="1062" w:type="dxa"/>
            <w:noWrap w:val="0"/>
            <w:vAlign w:val="center"/>
          </w:tcPr>
          <w:p w14:paraId="60BD16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90%</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以上</w:t>
            </w:r>
          </w:p>
        </w:tc>
        <w:tc>
          <w:tcPr>
            <w:tcW w:w="776" w:type="dxa"/>
            <w:noWrap w:val="0"/>
            <w:vAlign w:val="center"/>
          </w:tcPr>
          <w:p w14:paraId="2AEF69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946" w:type="dxa"/>
            <w:noWrap w:val="0"/>
            <w:vAlign w:val="center"/>
          </w:tcPr>
          <w:p w14:paraId="7A14E4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912" w:type="dxa"/>
            <w:noWrap w:val="0"/>
            <w:vAlign w:val="center"/>
          </w:tcPr>
          <w:p w14:paraId="29D1928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663A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7" w:type="dxa"/>
            <w:gridSpan w:val="6"/>
            <w:noWrap w:val="0"/>
            <w:vAlign w:val="center"/>
          </w:tcPr>
          <w:p w14:paraId="76291B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总分</w:t>
            </w:r>
          </w:p>
        </w:tc>
        <w:tc>
          <w:tcPr>
            <w:tcW w:w="776" w:type="dxa"/>
            <w:noWrap w:val="0"/>
            <w:vAlign w:val="center"/>
          </w:tcPr>
          <w:p w14:paraId="49C8DB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100</w:t>
            </w:r>
          </w:p>
        </w:tc>
        <w:tc>
          <w:tcPr>
            <w:tcW w:w="946" w:type="dxa"/>
            <w:noWrap w:val="0"/>
            <w:vAlign w:val="center"/>
          </w:tcPr>
          <w:p w14:paraId="6C39F22C">
            <w:pPr>
              <w:keepNext w:val="0"/>
              <w:keepLines w:val="0"/>
              <w:pageBreakBefore w:val="0"/>
              <w:widowControl/>
              <w:kinsoku/>
              <w:wordWrap/>
              <w:overflowPunct/>
              <w:topLinePunct w:val="0"/>
              <w:autoSpaceDE/>
              <w:autoSpaceDN/>
              <w:bidi w:val="0"/>
              <w:adjustRightInd/>
              <w:snapToGrid/>
              <w:spacing w:line="260" w:lineRule="exact"/>
              <w:ind w:firstLine="200" w:firstLineChars="100"/>
              <w:jc w:val="both"/>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96.08</w:t>
            </w:r>
          </w:p>
        </w:tc>
        <w:tc>
          <w:tcPr>
            <w:tcW w:w="912" w:type="dxa"/>
            <w:noWrap w:val="0"/>
            <w:vAlign w:val="center"/>
          </w:tcPr>
          <w:p w14:paraId="114B5D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bl>
    <w:p w14:paraId="262DB43B">
      <w:pPr>
        <w:keepNext w:val="0"/>
        <w:keepLines w:val="0"/>
        <w:pageBreakBefore w:val="0"/>
        <w:widowControl w:val="0"/>
        <w:kinsoku/>
        <w:wordWrap/>
        <w:overflowPunct/>
        <w:topLinePunct w:val="0"/>
        <w:autoSpaceDE/>
        <w:autoSpaceDN/>
        <w:bidi w:val="0"/>
        <w:adjustRightInd/>
        <w:snapToGrid/>
        <w:spacing w:afterLines="0" w:line="240" w:lineRule="auto"/>
        <w:ind w:right="0" w:rightChars="0"/>
        <w:jc w:val="both"/>
        <w:textAlignment w:val="auto"/>
        <w:rPr>
          <w:rFonts w:hint="default" w:ascii="Times New Roman" w:hAnsi="Times New Roman" w:eastAsia="仿宋_GB2312" w:cs="Times New Roman"/>
          <w:color w:val="000000" w:themeColor="text1"/>
          <w:sz w:val="22"/>
          <w:szCs w:val="22"/>
          <w:highlight w:val="none"/>
          <w14:textFill>
            <w14:solidFill>
              <w14:schemeClr w14:val="tx1"/>
            </w14:solidFill>
          </w14:textFill>
        </w:rPr>
      </w:pPr>
    </w:p>
    <w:p w14:paraId="0CE4709D">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33FBAD58">
      <w:pPr>
        <w:keepNext w:val="0"/>
        <w:keepLines w:val="0"/>
        <w:pageBreakBefore w:val="0"/>
        <w:widowControl w:val="0"/>
        <w:kinsoku/>
        <w:wordWrap/>
        <w:overflowPunct/>
        <w:topLinePunct w:val="0"/>
        <w:autoSpaceDE/>
        <w:autoSpaceDN/>
        <w:bidi w:val="0"/>
        <w:adjustRightInd/>
        <w:snapToGrid/>
        <w:spacing w:afterLines="0" w:line="240" w:lineRule="auto"/>
        <w:ind w:right="0" w:rightChars="0"/>
        <w:jc w:val="both"/>
        <w:textAlignment w:val="auto"/>
        <w:rPr>
          <w:rFonts w:hint="default" w:ascii="Times New Roman" w:hAnsi="Times New Roman" w:eastAsia="仿宋_GB2312" w:cs="Times New Roman"/>
          <w:color w:val="000000" w:themeColor="text1"/>
          <w:sz w:val="22"/>
          <w:szCs w:val="22"/>
          <w:highlight w:val="none"/>
          <w14:textFill>
            <w14:solidFill>
              <w14:schemeClr w14:val="tx1"/>
            </w14:solidFill>
          </w14:textFill>
        </w:rPr>
      </w:pPr>
    </w:p>
    <w:p w14:paraId="44D75A51">
      <w:pPr>
        <w:keepNext w:val="0"/>
        <w:keepLines w:val="0"/>
        <w:pageBreakBefore w:val="0"/>
        <w:widowControl w:val="0"/>
        <w:kinsoku/>
        <w:wordWrap/>
        <w:overflowPunct/>
        <w:topLinePunct w:val="0"/>
        <w:autoSpaceDE/>
        <w:autoSpaceDN/>
        <w:bidi w:val="0"/>
        <w:adjustRightInd/>
        <w:snapToGrid/>
        <w:spacing w:afterLines="0" w:line="240" w:lineRule="auto"/>
        <w:ind w:right="0" w:rightChars="0"/>
        <w:jc w:val="both"/>
        <w:textAlignment w:val="auto"/>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default" w:ascii="Times New Roman" w:hAnsi="Times New Roman" w:eastAsia="仿宋_GB2312" w:cs="Times New Roman"/>
          <w:color w:val="000000" w:themeColor="text1"/>
          <w:sz w:val="22"/>
          <w:szCs w:val="22"/>
          <w:highlight w:val="none"/>
          <w14:textFill>
            <w14:solidFill>
              <w14:schemeClr w14:val="tx1"/>
            </w14:solidFill>
          </w14:textFill>
        </w:rPr>
        <w:t>填表人：</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李青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填报日期：</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2026.4.2</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 xml:space="preserve"> </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联系电话：</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13873083020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单位</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负责人签字：</w:t>
      </w:r>
      <w:r>
        <w:rPr>
          <w:rFonts w:hint="eastAsia" w:ascii="Times New Roman" w:hAnsi="Times New Roman" w:eastAsia="仿宋_GB2312" w:cs="Times New Roman"/>
          <w:sz w:val="22"/>
          <w:highlight w:val="none"/>
          <w:lang w:val="en-US" w:eastAsia="zh-CN"/>
        </w:rPr>
        <w:t>黎朝晖</w:t>
      </w:r>
    </w:p>
    <w:p w14:paraId="0198BD5A">
      <w:pPr>
        <w:widowControl/>
        <w:spacing w:line="600" w:lineRule="exact"/>
        <w:jc w:val="left"/>
        <w:rPr>
          <w:rFonts w:hint="eastAsia" w:ascii="黑体" w:hAnsi="黑体" w:eastAsia="黑体" w:cs="黑体"/>
          <w:sz w:val="32"/>
          <w:szCs w:val="32"/>
          <w:highlight w:val="none"/>
        </w:rPr>
      </w:pPr>
    </w:p>
    <w:p w14:paraId="7B08204F">
      <w:pPr>
        <w:widowControl/>
        <w:spacing w:line="600" w:lineRule="exact"/>
        <w:jc w:val="left"/>
        <w:rPr>
          <w:rFonts w:hint="default" w:ascii="Times New Roman" w:hAnsi="Times New Roman" w:eastAsia="黑体" w:cs="Times New Roman"/>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w:t>
      </w:r>
    </w:p>
    <w:p w14:paraId="5B939771">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963" w:type="dxa"/>
        <w:jc w:val="center"/>
        <w:tblLayout w:type="fixed"/>
        <w:tblCellMar>
          <w:top w:w="0" w:type="dxa"/>
          <w:left w:w="108" w:type="dxa"/>
          <w:bottom w:w="0" w:type="dxa"/>
          <w:right w:w="108" w:type="dxa"/>
        </w:tblCellMar>
      </w:tblPr>
      <w:tblGrid>
        <w:gridCol w:w="1049"/>
        <w:gridCol w:w="1024"/>
        <w:gridCol w:w="1395"/>
        <w:gridCol w:w="1987"/>
        <w:gridCol w:w="907"/>
        <w:gridCol w:w="1021"/>
        <w:gridCol w:w="615"/>
        <w:gridCol w:w="660"/>
        <w:gridCol w:w="1305"/>
      </w:tblGrid>
      <w:tr w14:paraId="376DFF09">
        <w:tblPrEx>
          <w:tblCellMar>
            <w:top w:w="0" w:type="dxa"/>
            <w:left w:w="108" w:type="dxa"/>
            <w:bottom w:w="0" w:type="dxa"/>
            <w:right w:w="108" w:type="dxa"/>
          </w:tblCellMar>
        </w:tblPrEx>
        <w:trPr>
          <w:jc w:val="center"/>
        </w:trPr>
        <w:tc>
          <w:tcPr>
            <w:tcW w:w="1049" w:type="dxa"/>
            <w:tcBorders>
              <w:top w:val="single" w:color="auto" w:sz="4" w:space="0"/>
              <w:left w:val="single" w:color="auto" w:sz="4" w:space="0"/>
              <w:bottom w:val="single" w:color="auto" w:sz="4" w:space="0"/>
              <w:right w:val="single" w:color="auto" w:sz="4" w:space="0"/>
            </w:tcBorders>
            <w:noWrap w:val="0"/>
            <w:vAlign w:val="center"/>
          </w:tcPr>
          <w:p w14:paraId="4FA446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5242B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914" w:type="dxa"/>
            <w:gridSpan w:val="8"/>
            <w:tcBorders>
              <w:top w:val="single" w:color="auto" w:sz="4" w:space="0"/>
              <w:left w:val="nil"/>
              <w:bottom w:val="single" w:color="auto" w:sz="4" w:space="0"/>
              <w:right w:val="single" w:color="auto" w:sz="4" w:space="0"/>
            </w:tcBorders>
            <w:noWrap w:val="0"/>
            <w:vAlign w:val="center"/>
          </w:tcPr>
          <w:p w14:paraId="009524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运行维护经费（非税收入征收成本）</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　</w:t>
            </w:r>
          </w:p>
        </w:tc>
      </w:tr>
      <w:tr w14:paraId="09E9B0FE">
        <w:tblPrEx>
          <w:tblCellMar>
            <w:top w:w="0" w:type="dxa"/>
            <w:left w:w="108" w:type="dxa"/>
            <w:bottom w:w="0" w:type="dxa"/>
            <w:right w:w="108" w:type="dxa"/>
          </w:tblCellMar>
        </w:tblPrEx>
        <w:trPr>
          <w:jc w:val="center"/>
        </w:trPr>
        <w:tc>
          <w:tcPr>
            <w:tcW w:w="1049" w:type="dxa"/>
            <w:tcBorders>
              <w:top w:val="nil"/>
              <w:left w:val="single" w:color="auto" w:sz="4" w:space="0"/>
              <w:bottom w:val="single" w:color="auto" w:sz="4" w:space="0"/>
              <w:right w:val="single" w:color="auto" w:sz="4" w:space="0"/>
            </w:tcBorders>
            <w:noWrap w:val="0"/>
            <w:vAlign w:val="center"/>
          </w:tcPr>
          <w:p w14:paraId="4C78363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5313" w:type="dxa"/>
            <w:gridSpan w:val="4"/>
            <w:tcBorders>
              <w:top w:val="single" w:color="auto" w:sz="4" w:space="0"/>
              <w:left w:val="nil"/>
              <w:bottom w:val="single" w:color="auto" w:sz="4" w:space="0"/>
              <w:right w:val="single" w:color="auto" w:sz="4" w:space="0"/>
            </w:tcBorders>
            <w:noWrap w:val="0"/>
            <w:vAlign w:val="center"/>
          </w:tcPr>
          <w:p w14:paraId="198D20F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岳阳市住房和城乡建设局</w:t>
            </w:r>
          </w:p>
        </w:tc>
        <w:tc>
          <w:tcPr>
            <w:tcW w:w="1021" w:type="dxa"/>
            <w:tcBorders>
              <w:top w:val="single" w:color="auto" w:sz="4" w:space="0"/>
              <w:left w:val="nil"/>
              <w:bottom w:val="single" w:color="auto" w:sz="4" w:space="0"/>
              <w:right w:val="single" w:color="000000" w:sz="4" w:space="0"/>
            </w:tcBorders>
            <w:noWrap w:val="0"/>
            <w:vAlign w:val="center"/>
          </w:tcPr>
          <w:p w14:paraId="095EDE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2580" w:type="dxa"/>
            <w:gridSpan w:val="3"/>
            <w:tcBorders>
              <w:top w:val="single" w:color="auto" w:sz="4" w:space="0"/>
              <w:left w:val="nil"/>
              <w:bottom w:val="single" w:color="auto" w:sz="4" w:space="0"/>
              <w:right w:val="single" w:color="auto" w:sz="4" w:space="0"/>
            </w:tcBorders>
            <w:noWrap w:val="0"/>
            <w:vAlign w:val="center"/>
          </w:tcPr>
          <w:p w14:paraId="301385C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岳阳市住房保障服务中心</w:t>
            </w:r>
          </w:p>
        </w:tc>
      </w:tr>
      <w:tr w14:paraId="5204CDDF">
        <w:tblPrEx>
          <w:tblCellMar>
            <w:top w:w="0" w:type="dxa"/>
            <w:left w:w="108" w:type="dxa"/>
            <w:bottom w:w="0" w:type="dxa"/>
            <w:right w:w="108" w:type="dxa"/>
          </w:tblCellMar>
        </w:tblPrEx>
        <w:trPr>
          <w:jc w:val="center"/>
        </w:trPr>
        <w:tc>
          <w:tcPr>
            <w:tcW w:w="1049" w:type="dxa"/>
            <w:vMerge w:val="restart"/>
            <w:tcBorders>
              <w:top w:val="nil"/>
              <w:left w:val="single" w:color="auto" w:sz="4" w:space="0"/>
              <w:bottom w:val="single" w:color="000000" w:sz="4" w:space="0"/>
              <w:right w:val="single" w:color="auto" w:sz="4" w:space="0"/>
            </w:tcBorders>
            <w:noWrap w:val="0"/>
            <w:vAlign w:val="center"/>
          </w:tcPr>
          <w:p w14:paraId="5F440E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项目资金</w:t>
            </w:r>
          </w:p>
          <w:p w14:paraId="4E51BE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（万元）</w:t>
            </w:r>
          </w:p>
        </w:tc>
        <w:tc>
          <w:tcPr>
            <w:tcW w:w="2419" w:type="dxa"/>
            <w:gridSpan w:val="2"/>
            <w:tcBorders>
              <w:top w:val="nil"/>
              <w:left w:val="nil"/>
              <w:bottom w:val="single" w:color="auto" w:sz="4" w:space="0"/>
              <w:right w:val="single" w:color="auto" w:sz="4" w:space="0"/>
            </w:tcBorders>
            <w:noWrap w:val="0"/>
            <w:vAlign w:val="center"/>
          </w:tcPr>
          <w:p w14:paraId="3B51ED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987" w:type="dxa"/>
            <w:tcBorders>
              <w:top w:val="nil"/>
              <w:left w:val="nil"/>
              <w:bottom w:val="single" w:color="auto" w:sz="4" w:space="0"/>
              <w:right w:val="single" w:color="auto" w:sz="4" w:space="0"/>
            </w:tcBorders>
            <w:noWrap w:val="0"/>
            <w:vAlign w:val="center"/>
          </w:tcPr>
          <w:p w14:paraId="191773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5F0905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907" w:type="dxa"/>
            <w:tcBorders>
              <w:top w:val="nil"/>
              <w:left w:val="nil"/>
              <w:bottom w:val="single" w:color="auto" w:sz="4" w:space="0"/>
              <w:right w:val="single" w:color="auto" w:sz="4" w:space="0"/>
            </w:tcBorders>
            <w:noWrap w:val="0"/>
            <w:vAlign w:val="center"/>
          </w:tcPr>
          <w:p w14:paraId="229CC1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10FD6E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21" w:type="dxa"/>
            <w:tcBorders>
              <w:top w:val="nil"/>
              <w:left w:val="nil"/>
              <w:bottom w:val="single" w:color="auto" w:sz="4" w:space="0"/>
              <w:right w:val="single" w:color="auto" w:sz="4" w:space="0"/>
            </w:tcBorders>
            <w:noWrap w:val="0"/>
            <w:vAlign w:val="center"/>
          </w:tcPr>
          <w:p w14:paraId="73C4CD7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2590991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615" w:type="dxa"/>
            <w:tcBorders>
              <w:top w:val="nil"/>
              <w:left w:val="nil"/>
              <w:bottom w:val="single" w:color="auto" w:sz="4" w:space="0"/>
              <w:right w:val="single" w:color="auto" w:sz="4" w:space="0"/>
            </w:tcBorders>
            <w:noWrap w:val="0"/>
            <w:vAlign w:val="center"/>
          </w:tcPr>
          <w:p w14:paraId="20ABECA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660" w:type="dxa"/>
            <w:tcBorders>
              <w:top w:val="nil"/>
              <w:left w:val="nil"/>
              <w:bottom w:val="single" w:color="auto" w:sz="4" w:space="0"/>
              <w:right w:val="single" w:color="auto" w:sz="4" w:space="0"/>
            </w:tcBorders>
            <w:noWrap w:val="0"/>
            <w:vAlign w:val="center"/>
          </w:tcPr>
          <w:p w14:paraId="08B6FD8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05" w:type="dxa"/>
            <w:tcBorders>
              <w:top w:val="nil"/>
              <w:left w:val="nil"/>
              <w:bottom w:val="single" w:color="auto" w:sz="4" w:space="0"/>
              <w:right w:val="single" w:color="auto" w:sz="4" w:space="0"/>
            </w:tcBorders>
            <w:noWrap w:val="0"/>
            <w:vAlign w:val="center"/>
          </w:tcPr>
          <w:p w14:paraId="0B47D1E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22A263E2">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0736A51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419" w:type="dxa"/>
            <w:gridSpan w:val="2"/>
            <w:tcBorders>
              <w:top w:val="nil"/>
              <w:left w:val="nil"/>
              <w:bottom w:val="single" w:color="auto" w:sz="4" w:space="0"/>
              <w:right w:val="single" w:color="auto" w:sz="4" w:space="0"/>
            </w:tcBorders>
            <w:noWrap w:val="0"/>
            <w:vAlign w:val="center"/>
          </w:tcPr>
          <w:p w14:paraId="4215E88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987" w:type="dxa"/>
            <w:tcBorders>
              <w:top w:val="nil"/>
              <w:left w:val="nil"/>
              <w:bottom w:val="single" w:color="auto" w:sz="4" w:space="0"/>
              <w:right w:val="single" w:color="auto" w:sz="4" w:space="0"/>
            </w:tcBorders>
            <w:shd w:val="clear" w:color="auto" w:fill="auto"/>
            <w:noWrap w:val="0"/>
            <w:vAlign w:val="center"/>
          </w:tcPr>
          <w:p w14:paraId="6944563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23.73</w:t>
            </w:r>
          </w:p>
        </w:tc>
        <w:tc>
          <w:tcPr>
            <w:tcW w:w="907" w:type="dxa"/>
            <w:tcBorders>
              <w:top w:val="nil"/>
              <w:left w:val="nil"/>
              <w:bottom w:val="single" w:color="auto" w:sz="4" w:space="0"/>
              <w:right w:val="single" w:color="auto" w:sz="4" w:space="0"/>
            </w:tcBorders>
            <w:shd w:val="clear" w:color="auto" w:fill="auto"/>
            <w:noWrap w:val="0"/>
            <w:vAlign w:val="center"/>
          </w:tcPr>
          <w:p w14:paraId="5601798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38.59</w:t>
            </w:r>
          </w:p>
        </w:tc>
        <w:tc>
          <w:tcPr>
            <w:tcW w:w="1021" w:type="dxa"/>
            <w:tcBorders>
              <w:top w:val="nil"/>
              <w:left w:val="nil"/>
              <w:bottom w:val="single" w:color="auto" w:sz="4" w:space="0"/>
              <w:right w:val="single" w:color="auto" w:sz="4" w:space="0"/>
            </w:tcBorders>
            <w:shd w:val="clear" w:color="auto" w:fill="auto"/>
            <w:noWrap w:val="0"/>
            <w:vAlign w:val="center"/>
          </w:tcPr>
          <w:p w14:paraId="6966493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38.59</w:t>
            </w:r>
          </w:p>
        </w:tc>
        <w:tc>
          <w:tcPr>
            <w:tcW w:w="615" w:type="dxa"/>
            <w:tcBorders>
              <w:top w:val="nil"/>
              <w:left w:val="nil"/>
              <w:bottom w:val="single" w:color="auto" w:sz="4" w:space="0"/>
              <w:right w:val="single" w:color="auto" w:sz="4" w:space="0"/>
            </w:tcBorders>
            <w:shd w:val="clear" w:color="auto" w:fill="auto"/>
            <w:noWrap w:val="0"/>
            <w:vAlign w:val="center"/>
          </w:tcPr>
          <w:p w14:paraId="7446A87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10</w:t>
            </w:r>
          </w:p>
        </w:tc>
        <w:tc>
          <w:tcPr>
            <w:tcW w:w="660" w:type="dxa"/>
            <w:tcBorders>
              <w:top w:val="nil"/>
              <w:left w:val="nil"/>
              <w:bottom w:val="single" w:color="auto" w:sz="4" w:space="0"/>
              <w:right w:val="single" w:color="auto" w:sz="4" w:space="0"/>
            </w:tcBorders>
            <w:shd w:val="clear" w:color="auto" w:fill="auto"/>
            <w:noWrap w:val="0"/>
            <w:vAlign w:val="center"/>
          </w:tcPr>
          <w:p w14:paraId="5D4A0A1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1305" w:type="dxa"/>
            <w:tcBorders>
              <w:top w:val="nil"/>
              <w:left w:val="nil"/>
              <w:bottom w:val="single" w:color="auto" w:sz="4" w:space="0"/>
              <w:right w:val="single" w:color="auto" w:sz="4" w:space="0"/>
            </w:tcBorders>
            <w:noWrap w:val="0"/>
            <w:vAlign w:val="center"/>
          </w:tcPr>
          <w:p w14:paraId="21825A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10A35869">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725DC8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419" w:type="dxa"/>
            <w:gridSpan w:val="2"/>
            <w:tcBorders>
              <w:top w:val="nil"/>
              <w:left w:val="nil"/>
              <w:bottom w:val="single" w:color="auto" w:sz="4" w:space="0"/>
              <w:right w:val="single" w:color="auto" w:sz="4" w:space="0"/>
            </w:tcBorders>
            <w:noWrap w:val="0"/>
            <w:vAlign w:val="center"/>
          </w:tcPr>
          <w:p w14:paraId="78099C0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987" w:type="dxa"/>
            <w:tcBorders>
              <w:top w:val="nil"/>
              <w:left w:val="nil"/>
              <w:bottom w:val="single" w:color="auto" w:sz="4" w:space="0"/>
              <w:right w:val="single" w:color="auto" w:sz="4" w:space="0"/>
            </w:tcBorders>
            <w:noWrap w:val="0"/>
            <w:vAlign w:val="center"/>
          </w:tcPr>
          <w:p w14:paraId="68A4A6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907" w:type="dxa"/>
            <w:tcBorders>
              <w:top w:val="nil"/>
              <w:left w:val="nil"/>
              <w:bottom w:val="single" w:color="auto" w:sz="4" w:space="0"/>
              <w:right w:val="single" w:color="auto" w:sz="4" w:space="0"/>
            </w:tcBorders>
            <w:noWrap w:val="0"/>
            <w:vAlign w:val="center"/>
          </w:tcPr>
          <w:p w14:paraId="266E26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1021" w:type="dxa"/>
            <w:tcBorders>
              <w:top w:val="nil"/>
              <w:left w:val="nil"/>
              <w:bottom w:val="single" w:color="auto" w:sz="4" w:space="0"/>
              <w:right w:val="single" w:color="auto" w:sz="4" w:space="0"/>
            </w:tcBorders>
            <w:noWrap w:val="0"/>
            <w:vAlign w:val="center"/>
          </w:tcPr>
          <w:p w14:paraId="70D2C2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615" w:type="dxa"/>
            <w:tcBorders>
              <w:top w:val="nil"/>
              <w:left w:val="nil"/>
              <w:bottom w:val="single" w:color="auto" w:sz="4" w:space="0"/>
              <w:right w:val="single" w:color="auto" w:sz="4" w:space="0"/>
            </w:tcBorders>
            <w:noWrap w:val="0"/>
            <w:vAlign w:val="center"/>
          </w:tcPr>
          <w:p w14:paraId="502E88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660" w:type="dxa"/>
            <w:tcBorders>
              <w:top w:val="nil"/>
              <w:left w:val="nil"/>
              <w:bottom w:val="single" w:color="auto" w:sz="4" w:space="0"/>
              <w:right w:val="single" w:color="auto" w:sz="4" w:space="0"/>
            </w:tcBorders>
            <w:noWrap w:val="0"/>
            <w:vAlign w:val="center"/>
          </w:tcPr>
          <w:p w14:paraId="03F42C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1305" w:type="dxa"/>
            <w:tcBorders>
              <w:top w:val="nil"/>
              <w:left w:val="nil"/>
              <w:bottom w:val="single" w:color="auto" w:sz="4" w:space="0"/>
              <w:right w:val="single" w:color="auto" w:sz="4" w:space="0"/>
            </w:tcBorders>
            <w:noWrap w:val="0"/>
            <w:vAlign w:val="center"/>
          </w:tcPr>
          <w:p w14:paraId="3B1D91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14:paraId="4515C737">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6F246D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419" w:type="dxa"/>
            <w:gridSpan w:val="2"/>
            <w:tcBorders>
              <w:top w:val="nil"/>
              <w:left w:val="nil"/>
              <w:bottom w:val="single" w:color="auto" w:sz="4" w:space="0"/>
              <w:right w:val="single" w:color="auto" w:sz="4" w:space="0"/>
            </w:tcBorders>
            <w:noWrap w:val="0"/>
            <w:vAlign w:val="center"/>
          </w:tcPr>
          <w:p w14:paraId="0424A5C5">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987" w:type="dxa"/>
            <w:tcBorders>
              <w:top w:val="nil"/>
              <w:left w:val="nil"/>
              <w:bottom w:val="single" w:color="auto" w:sz="4" w:space="0"/>
              <w:right w:val="single" w:color="auto" w:sz="4" w:space="0"/>
            </w:tcBorders>
            <w:noWrap w:val="0"/>
            <w:vAlign w:val="center"/>
          </w:tcPr>
          <w:p w14:paraId="2468609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907" w:type="dxa"/>
            <w:tcBorders>
              <w:top w:val="nil"/>
              <w:left w:val="nil"/>
              <w:bottom w:val="single" w:color="auto" w:sz="4" w:space="0"/>
              <w:right w:val="single" w:color="auto" w:sz="4" w:space="0"/>
            </w:tcBorders>
            <w:noWrap w:val="0"/>
            <w:vAlign w:val="center"/>
          </w:tcPr>
          <w:p w14:paraId="572DB64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1" w:type="dxa"/>
            <w:tcBorders>
              <w:top w:val="nil"/>
              <w:left w:val="nil"/>
              <w:bottom w:val="single" w:color="auto" w:sz="4" w:space="0"/>
              <w:right w:val="single" w:color="auto" w:sz="4" w:space="0"/>
            </w:tcBorders>
            <w:noWrap w:val="0"/>
            <w:vAlign w:val="center"/>
          </w:tcPr>
          <w:p w14:paraId="782BF76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15" w:type="dxa"/>
            <w:tcBorders>
              <w:top w:val="nil"/>
              <w:left w:val="nil"/>
              <w:bottom w:val="single" w:color="auto" w:sz="4" w:space="0"/>
              <w:right w:val="single" w:color="auto" w:sz="4" w:space="0"/>
            </w:tcBorders>
            <w:noWrap w:val="0"/>
            <w:vAlign w:val="center"/>
          </w:tcPr>
          <w:p w14:paraId="66F2D27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69E049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05" w:type="dxa"/>
            <w:tcBorders>
              <w:top w:val="nil"/>
              <w:left w:val="nil"/>
              <w:bottom w:val="single" w:color="auto" w:sz="4" w:space="0"/>
              <w:right w:val="single" w:color="auto" w:sz="4" w:space="0"/>
            </w:tcBorders>
            <w:noWrap w:val="0"/>
            <w:vAlign w:val="center"/>
          </w:tcPr>
          <w:p w14:paraId="68892F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A7CF715">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4FF213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419" w:type="dxa"/>
            <w:gridSpan w:val="2"/>
            <w:tcBorders>
              <w:top w:val="nil"/>
              <w:left w:val="nil"/>
              <w:bottom w:val="single" w:color="auto" w:sz="4" w:space="0"/>
              <w:right w:val="single" w:color="auto" w:sz="4" w:space="0"/>
            </w:tcBorders>
            <w:noWrap w:val="0"/>
            <w:vAlign w:val="center"/>
          </w:tcPr>
          <w:p w14:paraId="32587DA9">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987" w:type="dxa"/>
            <w:tcBorders>
              <w:top w:val="nil"/>
              <w:left w:val="nil"/>
              <w:bottom w:val="single" w:color="auto" w:sz="4" w:space="0"/>
              <w:right w:val="single" w:color="auto" w:sz="4" w:space="0"/>
            </w:tcBorders>
            <w:noWrap w:val="0"/>
            <w:vAlign w:val="center"/>
          </w:tcPr>
          <w:p w14:paraId="3BF9A69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907" w:type="dxa"/>
            <w:tcBorders>
              <w:top w:val="nil"/>
              <w:left w:val="nil"/>
              <w:bottom w:val="single" w:color="auto" w:sz="4" w:space="0"/>
              <w:right w:val="single" w:color="auto" w:sz="4" w:space="0"/>
            </w:tcBorders>
            <w:noWrap w:val="0"/>
            <w:vAlign w:val="center"/>
          </w:tcPr>
          <w:p w14:paraId="67D6D8B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1" w:type="dxa"/>
            <w:tcBorders>
              <w:top w:val="nil"/>
              <w:left w:val="nil"/>
              <w:bottom w:val="single" w:color="auto" w:sz="4" w:space="0"/>
              <w:right w:val="single" w:color="auto" w:sz="4" w:space="0"/>
            </w:tcBorders>
            <w:noWrap w:val="0"/>
            <w:vAlign w:val="center"/>
          </w:tcPr>
          <w:p w14:paraId="73468CD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15" w:type="dxa"/>
            <w:tcBorders>
              <w:top w:val="nil"/>
              <w:left w:val="nil"/>
              <w:bottom w:val="single" w:color="auto" w:sz="4" w:space="0"/>
              <w:right w:val="single" w:color="auto" w:sz="4" w:space="0"/>
            </w:tcBorders>
            <w:noWrap w:val="0"/>
            <w:vAlign w:val="center"/>
          </w:tcPr>
          <w:p w14:paraId="21A64F2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1A7603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05" w:type="dxa"/>
            <w:tcBorders>
              <w:top w:val="nil"/>
              <w:left w:val="nil"/>
              <w:bottom w:val="single" w:color="auto" w:sz="4" w:space="0"/>
              <w:right w:val="single" w:color="auto" w:sz="4" w:space="0"/>
            </w:tcBorders>
            <w:noWrap w:val="0"/>
            <w:vAlign w:val="center"/>
          </w:tcPr>
          <w:p w14:paraId="6A84DCB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E86AB69">
        <w:tblPrEx>
          <w:tblCellMar>
            <w:top w:w="0" w:type="dxa"/>
            <w:left w:w="108" w:type="dxa"/>
            <w:bottom w:w="0" w:type="dxa"/>
            <w:right w:w="108" w:type="dxa"/>
          </w:tblCellMar>
        </w:tblPrEx>
        <w:trPr>
          <w:jc w:val="center"/>
        </w:trPr>
        <w:tc>
          <w:tcPr>
            <w:tcW w:w="1049" w:type="dxa"/>
            <w:vMerge w:val="restart"/>
            <w:tcBorders>
              <w:top w:val="nil"/>
              <w:left w:val="single" w:color="auto" w:sz="4" w:space="0"/>
              <w:bottom w:val="single" w:color="000000" w:sz="4" w:space="0"/>
              <w:right w:val="single" w:color="auto" w:sz="4" w:space="0"/>
            </w:tcBorders>
            <w:noWrap w:val="0"/>
            <w:vAlign w:val="center"/>
          </w:tcPr>
          <w:p w14:paraId="15F0E0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5313" w:type="dxa"/>
            <w:gridSpan w:val="4"/>
            <w:tcBorders>
              <w:top w:val="single" w:color="auto" w:sz="4" w:space="0"/>
              <w:left w:val="nil"/>
              <w:bottom w:val="single" w:color="auto" w:sz="4" w:space="0"/>
              <w:right w:val="single" w:color="000000" w:sz="4" w:space="0"/>
            </w:tcBorders>
            <w:noWrap w:val="0"/>
            <w:vAlign w:val="center"/>
          </w:tcPr>
          <w:p w14:paraId="22248F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3601" w:type="dxa"/>
            <w:gridSpan w:val="4"/>
            <w:tcBorders>
              <w:top w:val="single" w:color="auto" w:sz="4" w:space="0"/>
              <w:left w:val="nil"/>
              <w:bottom w:val="single" w:color="auto" w:sz="4" w:space="0"/>
              <w:right w:val="single" w:color="auto" w:sz="4" w:space="0"/>
            </w:tcBorders>
            <w:noWrap w:val="0"/>
            <w:vAlign w:val="center"/>
          </w:tcPr>
          <w:p w14:paraId="6CC465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38F43D6C">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00163B3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5313" w:type="dxa"/>
            <w:gridSpan w:val="4"/>
            <w:tcBorders>
              <w:top w:val="single" w:color="auto" w:sz="4" w:space="0"/>
              <w:left w:val="nil"/>
              <w:bottom w:val="single" w:color="auto" w:sz="4" w:space="0"/>
              <w:right w:val="single" w:color="000000" w:sz="4" w:space="0"/>
            </w:tcBorders>
            <w:noWrap w:val="0"/>
            <w:vAlign w:val="center"/>
          </w:tcPr>
          <w:p w14:paraId="6C987844">
            <w:pPr>
              <w:keepNext w:val="0"/>
              <w:keepLines w:val="0"/>
              <w:pageBreakBefore w:val="0"/>
              <w:widowControl/>
              <w:numPr>
                <w:ilvl w:val="0"/>
                <w:numId w:val="12"/>
              </w:numPr>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按时完成并及时足额上缴非税征收任务-收缴市本级公租房小区东井嘉园房租收入。</w:t>
            </w:r>
          </w:p>
          <w:p w14:paraId="577753AA">
            <w:pPr>
              <w:keepNext w:val="0"/>
              <w:keepLines w:val="0"/>
              <w:pageBreakBefore w:val="0"/>
              <w:widowControl/>
              <w:numPr>
                <w:ilvl w:val="0"/>
                <w:numId w:val="12"/>
              </w:numPr>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保障低收入家庭住房安全。</w:t>
            </w:r>
          </w:p>
          <w:p w14:paraId="3BB56063">
            <w:pPr>
              <w:keepNext w:val="0"/>
              <w:keepLines w:val="0"/>
              <w:pageBreakBefore w:val="0"/>
              <w:widowControl/>
              <w:numPr>
                <w:ilvl w:val="0"/>
                <w:numId w:val="12"/>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对东井岭公租房小区物业、维护修缮和文明创建等进行良好的管理，创建宜居小区。　</w:t>
            </w:r>
          </w:p>
          <w:p w14:paraId="0C28AA08">
            <w:pPr>
              <w:keepNext w:val="0"/>
              <w:keepLines w:val="0"/>
              <w:pageBreakBefore w:val="0"/>
              <w:widowControl/>
              <w:numPr>
                <w:ilvl w:val="0"/>
                <w:numId w:val="12"/>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做好人才公寓运营管理工作。</w:t>
            </w:r>
          </w:p>
        </w:tc>
        <w:tc>
          <w:tcPr>
            <w:tcW w:w="3601" w:type="dxa"/>
            <w:gridSpan w:val="4"/>
            <w:tcBorders>
              <w:top w:val="single" w:color="auto" w:sz="4" w:space="0"/>
              <w:left w:val="nil"/>
              <w:bottom w:val="single" w:color="auto" w:sz="4" w:space="0"/>
              <w:right w:val="single" w:color="auto" w:sz="4" w:space="0"/>
            </w:tcBorders>
            <w:noWrap w:val="0"/>
            <w:vAlign w:val="center"/>
          </w:tcPr>
          <w:p w14:paraId="2D66C2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年度总体目标全部完成</w:t>
            </w:r>
          </w:p>
        </w:tc>
      </w:tr>
      <w:tr w14:paraId="21A07C7D">
        <w:tblPrEx>
          <w:tblCellMar>
            <w:top w:w="0" w:type="dxa"/>
            <w:left w:w="108" w:type="dxa"/>
            <w:bottom w:w="0" w:type="dxa"/>
            <w:right w:w="108" w:type="dxa"/>
          </w:tblCellMar>
        </w:tblPrEx>
        <w:trPr>
          <w:jc w:val="center"/>
        </w:trPr>
        <w:tc>
          <w:tcPr>
            <w:tcW w:w="1049" w:type="dxa"/>
            <w:vMerge w:val="restart"/>
            <w:tcBorders>
              <w:top w:val="nil"/>
              <w:left w:val="single" w:color="auto" w:sz="4" w:space="0"/>
              <w:right w:val="single" w:color="auto" w:sz="4" w:space="0"/>
            </w:tcBorders>
            <w:noWrap w:val="0"/>
            <w:vAlign w:val="center"/>
          </w:tcPr>
          <w:p w14:paraId="4EF911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38BF82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FF93B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6A8572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24" w:type="dxa"/>
            <w:tcBorders>
              <w:top w:val="nil"/>
              <w:left w:val="nil"/>
              <w:bottom w:val="single" w:color="auto" w:sz="4" w:space="0"/>
              <w:right w:val="single" w:color="auto" w:sz="4" w:space="0"/>
            </w:tcBorders>
            <w:noWrap w:val="0"/>
            <w:vAlign w:val="center"/>
          </w:tcPr>
          <w:p w14:paraId="66A69A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395" w:type="dxa"/>
            <w:tcBorders>
              <w:top w:val="nil"/>
              <w:left w:val="nil"/>
              <w:bottom w:val="single" w:color="auto" w:sz="4" w:space="0"/>
              <w:right w:val="single" w:color="auto" w:sz="4" w:space="0"/>
            </w:tcBorders>
            <w:noWrap w:val="0"/>
            <w:vAlign w:val="center"/>
          </w:tcPr>
          <w:p w14:paraId="6EBB11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987" w:type="dxa"/>
            <w:tcBorders>
              <w:top w:val="nil"/>
              <w:left w:val="nil"/>
              <w:bottom w:val="single" w:color="auto" w:sz="4" w:space="0"/>
              <w:right w:val="single" w:color="auto" w:sz="4" w:space="0"/>
            </w:tcBorders>
            <w:noWrap w:val="0"/>
            <w:vAlign w:val="center"/>
          </w:tcPr>
          <w:p w14:paraId="345BCF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907" w:type="dxa"/>
            <w:tcBorders>
              <w:top w:val="nil"/>
              <w:left w:val="nil"/>
              <w:bottom w:val="single" w:color="auto" w:sz="4" w:space="0"/>
              <w:right w:val="single" w:color="auto" w:sz="4" w:space="0"/>
            </w:tcBorders>
            <w:noWrap w:val="0"/>
            <w:vAlign w:val="center"/>
          </w:tcPr>
          <w:p w14:paraId="212277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2E1966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021" w:type="dxa"/>
            <w:tcBorders>
              <w:top w:val="nil"/>
              <w:left w:val="nil"/>
              <w:bottom w:val="single" w:color="auto" w:sz="4" w:space="0"/>
              <w:right w:val="single" w:color="auto" w:sz="4" w:space="0"/>
            </w:tcBorders>
            <w:noWrap w:val="0"/>
            <w:vAlign w:val="center"/>
          </w:tcPr>
          <w:p w14:paraId="001FC2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55F277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615" w:type="dxa"/>
            <w:tcBorders>
              <w:top w:val="nil"/>
              <w:left w:val="nil"/>
              <w:bottom w:val="single" w:color="auto" w:sz="4" w:space="0"/>
              <w:right w:val="single" w:color="auto" w:sz="4" w:space="0"/>
            </w:tcBorders>
            <w:noWrap w:val="0"/>
            <w:vAlign w:val="center"/>
          </w:tcPr>
          <w:p w14:paraId="2F68DC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660" w:type="dxa"/>
            <w:tcBorders>
              <w:top w:val="nil"/>
              <w:left w:val="nil"/>
              <w:bottom w:val="single" w:color="auto" w:sz="4" w:space="0"/>
              <w:right w:val="single" w:color="auto" w:sz="4" w:space="0"/>
            </w:tcBorders>
            <w:noWrap w:val="0"/>
            <w:vAlign w:val="center"/>
          </w:tcPr>
          <w:p w14:paraId="78FB0D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05" w:type="dxa"/>
            <w:tcBorders>
              <w:top w:val="nil"/>
              <w:left w:val="nil"/>
              <w:bottom w:val="single" w:color="auto" w:sz="4" w:space="0"/>
              <w:right w:val="single" w:color="auto" w:sz="4" w:space="0"/>
            </w:tcBorders>
            <w:noWrap w:val="0"/>
            <w:vAlign w:val="center"/>
          </w:tcPr>
          <w:p w14:paraId="0A3DEE5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068176D2">
        <w:tblPrEx>
          <w:tblCellMar>
            <w:top w:w="0" w:type="dxa"/>
            <w:left w:w="108" w:type="dxa"/>
            <w:bottom w:w="0" w:type="dxa"/>
            <w:right w:w="108" w:type="dxa"/>
          </w:tblCellMar>
        </w:tblPrEx>
        <w:trPr>
          <w:trHeight w:val="448" w:hRule="atLeast"/>
          <w:jc w:val="center"/>
        </w:trPr>
        <w:tc>
          <w:tcPr>
            <w:tcW w:w="1049" w:type="dxa"/>
            <w:vMerge w:val="continue"/>
            <w:tcBorders>
              <w:left w:val="single" w:color="auto" w:sz="4" w:space="0"/>
              <w:right w:val="single" w:color="auto" w:sz="4" w:space="0"/>
            </w:tcBorders>
            <w:noWrap w:val="0"/>
            <w:vAlign w:val="center"/>
          </w:tcPr>
          <w:p w14:paraId="7025F2E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restart"/>
            <w:tcBorders>
              <w:top w:val="single" w:color="auto" w:sz="4" w:space="0"/>
              <w:left w:val="single" w:color="auto" w:sz="4" w:space="0"/>
              <w:bottom w:val="single" w:color="auto" w:sz="4" w:space="0"/>
              <w:right w:val="single" w:color="auto" w:sz="4" w:space="0"/>
            </w:tcBorders>
            <w:noWrap w:val="0"/>
            <w:vAlign w:val="center"/>
          </w:tcPr>
          <w:p w14:paraId="568D2F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6011C4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50CCA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729B00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u w:val="none"/>
              </w:rPr>
            </w:pPr>
            <w:r>
              <w:rPr>
                <w:rFonts w:hint="eastAsia" w:ascii="仿宋_GB2312" w:hAnsi="仿宋_GB2312" w:eastAsia="仿宋_GB2312" w:cs="仿宋_GB2312"/>
                <w:color w:val="000000"/>
                <w:sz w:val="20"/>
                <w:szCs w:val="20"/>
                <w:highlight w:val="none"/>
                <w:u w:val="none"/>
              </w:rPr>
              <w:t>数量指标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0517C4C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u w:val="none"/>
                <w:lang w:val="en-US" w:eastAsia="zh-CN"/>
              </w:rPr>
            </w:pPr>
            <w:r>
              <w:rPr>
                <w:rFonts w:hint="eastAsia" w:ascii="仿宋_GB2312" w:hAnsi="仿宋_GB2312" w:eastAsia="仿宋_GB2312" w:cs="仿宋_GB2312"/>
                <w:color w:val="000000"/>
                <w:sz w:val="20"/>
                <w:szCs w:val="20"/>
                <w:highlight w:val="none"/>
                <w:u w:val="none"/>
                <w:lang w:val="en-US" w:eastAsia="zh-CN"/>
              </w:rPr>
              <w:t>小区管理户数</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0AEDFC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496户</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607174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496户</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53836B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2CFBDD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6A7C8E6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10E9A4C4">
        <w:tblPrEx>
          <w:tblCellMar>
            <w:top w:w="0" w:type="dxa"/>
            <w:left w:w="108" w:type="dxa"/>
            <w:bottom w:w="0" w:type="dxa"/>
            <w:right w:w="108" w:type="dxa"/>
          </w:tblCellMar>
        </w:tblPrEx>
        <w:trPr>
          <w:trHeight w:val="438" w:hRule="atLeast"/>
          <w:jc w:val="center"/>
        </w:trPr>
        <w:tc>
          <w:tcPr>
            <w:tcW w:w="1049" w:type="dxa"/>
            <w:vMerge w:val="continue"/>
            <w:tcBorders>
              <w:left w:val="single" w:color="auto" w:sz="4" w:space="0"/>
              <w:right w:val="single" w:color="auto" w:sz="4" w:space="0"/>
            </w:tcBorders>
            <w:noWrap w:val="0"/>
            <w:vAlign w:val="center"/>
          </w:tcPr>
          <w:p w14:paraId="0B79BB7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7F1E2A8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restart"/>
            <w:tcBorders>
              <w:top w:val="single" w:color="auto" w:sz="4" w:space="0"/>
              <w:left w:val="single" w:color="auto" w:sz="4" w:space="0"/>
              <w:right w:val="single" w:color="auto" w:sz="4" w:space="0"/>
            </w:tcBorders>
            <w:noWrap w:val="0"/>
            <w:vAlign w:val="center"/>
          </w:tcPr>
          <w:p w14:paraId="668326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16C6AA7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小区</w:t>
            </w:r>
            <w:r>
              <w:rPr>
                <w:rFonts w:hint="default" w:ascii="仿宋_GB2312" w:hAnsi="仿宋_GB2312" w:eastAsia="仿宋_GB2312" w:cs="仿宋_GB2312"/>
                <w:color w:val="000000"/>
                <w:sz w:val="20"/>
                <w:szCs w:val="20"/>
                <w:highlight w:val="none"/>
                <w:lang w:val="en-US" w:eastAsia="zh-CN"/>
              </w:rPr>
              <w:t>入住管理规范</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610B1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4F6224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42C052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2BB992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E2C67E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17D28446">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0381337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6F83F58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continue"/>
            <w:tcBorders>
              <w:left w:val="single" w:color="auto" w:sz="4" w:space="0"/>
              <w:right w:val="single" w:color="auto" w:sz="4" w:space="0"/>
            </w:tcBorders>
            <w:noWrap w:val="0"/>
            <w:vAlign w:val="center"/>
          </w:tcPr>
          <w:p w14:paraId="35F3283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987" w:type="dxa"/>
            <w:tcBorders>
              <w:top w:val="single" w:color="auto" w:sz="4" w:space="0"/>
              <w:left w:val="single" w:color="auto" w:sz="4" w:space="0"/>
              <w:bottom w:val="single" w:color="auto" w:sz="4" w:space="0"/>
              <w:right w:val="single" w:color="auto" w:sz="4" w:space="0"/>
            </w:tcBorders>
            <w:noWrap w:val="0"/>
            <w:vAlign w:val="center"/>
          </w:tcPr>
          <w:p w14:paraId="6D8283B7">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保持小区清洁卫生</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66D06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开展城市爱卫行动</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717A70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已开展</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22F0A6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265773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0DED51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0DBA2C36">
        <w:tblPrEx>
          <w:tblCellMar>
            <w:top w:w="0" w:type="dxa"/>
            <w:left w:w="108" w:type="dxa"/>
            <w:bottom w:w="0" w:type="dxa"/>
            <w:right w:w="108" w:type="dxa"/>
          </w:tblCellMar>
        </w:tblPrEx>
        <w:trPr>
          <w:trHeight w:val="426" w:hRule="atLeast"/>
          <w:jc w:val="center"/>
        </w:trPr>
        <w:tc>
          <w:tcPr>
            <w:tcW w:w="1049" w:type="dxa"/>
            <w:vMerge w:val="continue"/>
            <w:tcBorders>
              <w:left w:val="single" w:color="auto" w:sz="4" w:space="0"/>
              <w:right w:val="single" w:color="auto" w:sz="4" w:space="0"/>
            </w:tcBorders>
            <w:noWrap w:val="0"/>
            <w:vAlign w:val="center"/>
          </w:tcPr>
          <w:p w14:paraId="2749975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619E15D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continue"/>
            <w:tcBorders>
              <w:left w:val="single" w:color="auto" w:sz="4" w:space="0"/>
              <w:bottom w:val="single" w:color="auto" w:sz="4" w:space="0"/>
              <w:right w:val="single" w:color="auto" w:sz="4" w:space="0"/>
            </w:tcBorders>
            <w:noWrap w:val="0"/>
            <w:vAlign w:val="center"/>
          </w:tcPr>
          <w:p w14:paraId="7CFBCD9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987" w:type="dxa"/>
            <w:tcBorders>
              <w:top w:val="single" w:color="auto" w:sz="4" w:space="0"/>
              <w:left w:val="single" w:color="auto" w:sz="4" w:space="0"/>
              <w:bottom w:val="single" w:color="auto" w:sz="4" w:space="0"/>
              <w:right w:val="single" w:color="auto" w:sz="4" w:space="0"/>
            </w:tcBorders>
            <w:noWrap w:val="0"/>
            <w:vAlign w:val="center"/>
          </w:tcPr>
          <w:p w14:paraId="1C07157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小区物业服务规范</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69F5F9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签订物业合同</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463F8A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已续签</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554B92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744000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02D8BD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14:paraId="44A713F3">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727E239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3244178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restart"/>
            <w:tcBorders>
              <w:top w:val="single" w:color="auto" w:sz="4" w:space="0"/>
              <w:left w:val="single" w:color="auto" w:sz="4" w:space="0"/>
              <w:bottom w:val="single" w:color="auto" w:sz="4" w:space="0"/>
              <w:right w:val="single" w:color="auto" w:sz="4" w:space="0"/>
            </w:tcBorders>
            <w:noWrap w:val="0"/>
            <w:vAlign w:val="center"/>
          </w:tcPr>
          <w:p w14:paraId="529CC3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7813A40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房屋维修维护</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2D6721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报修及时响应</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78C4978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已处理65起</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537232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52AF89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2DC5CB1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6EAE80C1">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10F123C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22AA1A6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continue"/>
            <w:tcBorders>
              <w:top w:val="single" w:color="auto" w:sz="4" w:space="0"/>
              <w:left w:val="single" w:color="auto" w:sz="4" w:space="0"/>
              <w:bottom w:val="single" w:color="auto" w:sz="4" w:space="0"/>
              <w:right w:val="single" w:color="auto" w:sz="4" w:space="0"/>
            </w:tcBorders>
            <w:noWrap w:val="0"/>
            <w:vAlign w:val="center"/>
          </w:tcPr>
          <w:p w14:paraId="21BB95AE">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987" w:type="dxa"/>
            <w:tcBorders>
              <w:top w:val="single" w:color="auto" w:sz="4" w:space="0"/>
              <w:left w:val="single" w:color="auto" w:sz="4" w:space="0"/>
              <w:bottom w:val="single" w:color="auto" w:sz="4" w:space="0"/>
              <w:right w:val="single" w:color="auto" w:sz="4" w:space="0"/>
            </w:tcBorders>
            <w:noWrap w:val="0"/>
            <w:vAlign w:val="center"/>
          </w:tcPr>
          <w:p w14:paraId="559423F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信访投诉</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188B967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投诉及时处理</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079B09A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已处理8件</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0C8CCB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6A9ED1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463BE1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442C7756">
        <w:tblPrEx>
          <w:tblCellMar>
            <w:top w:w="0" w:type="dxa"/>
            <w:left w:w="108" w:type="dxa"/>
            <w:bottom w:w="0" w:type="dxa"/>
            <w:right w:w="108" w:type="dxa"/>
          </w:tblCellMar>
        </w:tblPrEx>
        <w:trPr>
          <w:trHeight w:val="600" w:hRule="atLeast"/>
          <w:jc w:val="center"/>
        </w:trPr>
        <w:tc>
          <w:tcPr>
            <w:tcW w:w="1049" w:type="dxa"/>
            <w:vMerge w:val="continue"/>
            <w:tcBorders>
              <w:left w:val="single" w:color="auto" w:sz="4" w:space="0"/>
              <w:right w:val="single" w:color="auto" w:sz="4" w:space="0"/>
            </w:tcBorders>
            <w:noWrap w:val="0"/>
            <w:vAlign w:val="center"/>
          </w:tcPr>
          <w:p w14:paraId="35B1234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7331DFB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534787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11AAE3AE">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项目实施成本</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43E67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38.59万</w:t>
            </w:r>
            <w:r>
              <w:rPr>
                <w:rFonts w:hint="eastAsia" w:ascii="仿宋_GB2312" w:hAnsi="仿宋_GB2312" w:eastAsia="仿宋_GB2312" w:cs="仿宋_GB2312"/>
                <w:color w:val="auto"/>
                <w:sz w:val="20"/>
                <w:szCs w:val="20"/>
                <w:highlight w:val="none"/>
              </w:rPr>
              <w:t>内</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2449D7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38.59万</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7EA7D1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5A6C4C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77172CD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auto"/>
                <w:sz w:val="20"/>
                <w:szCs w:val="20"/>
                <w:highlight w:val="none"/>
                <w:lang w:val="en-US" w:eastAsia="zh-CN"/>
              </w:rPr>
            </w:pPr>
          </w:p>
        </w:tc>
      </w:tr>
      <w:tr w14:paraId="753AA8D3">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4DDE8CC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restart"/>
            <w:tcBorders>
              <w:top w:val="single" w:color="auto" w:sz="4" w:space="0"/>
              <w:left w:val="single" w:color="auto" w:sz="4" w:space="0"/>
              <w:bottom w:val="single" w:color="auto" w:sz="4" w:space="0"/>
              <w:right w:val="single" w:color="auto" w:sz="4" w:space="0"/>
            </w:tcBorders>
            <w:noWrap w:val="0"/>
            <w:vAlign w:val="center"/>
          </w:tcPr>
          <w:p w14:paraId="72D244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517845D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223C26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26F22B5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6BFB47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6981B5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660C8A2C">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非税收入</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22BD4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99.9万</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10F65E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102.73</w:t>
            </w:r>
            <w:r>
              <w:rPr>
                <w:rFonts w:hint="eastAsia" w:ascii="仿宋_GB2312" w:hAnsi="仿宋_GB2312" w:eastAsia="仿宋_GB2312" w:cs="仿宋_GB2312"/>
                <w:color w:val="000000"/>
                <w:sz w:val="20"/>
                <w:szCs w:val="20"/>
                <w:highlight w:val="none"/>
              </w:rPr>
              <w:t>万元</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594CED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735BA3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5335D86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r>
      <w:tr w14:paraId="6D6A105C">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64E9FE5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57BF5F4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551FAC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228051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2EDD9DE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保障低收入</w:t>
            </w:r>
            <w:r>
              <w:rPr>
                <w:rFonts w:hint="eastAsia" w:ascii="仿宋_GB2312" w:hAnsi="仿宋_GB2312" w:eastAsia="仿宋_GB2312" w:cs="仿宋_GB2312"/>
                <w:color w:val="000000"/>
                <w:sz w:val="20"/>
                <w:szCs w:val="20"/>
                <w:highlight w:val="none"/>
                <w:lang w:val="en-US" w:eastAsia="zh-CN"/>
              </w:rPr>
              <w:t>家庭</w:t>
            </w:r>
            <w:r>
              <w:rPr>
                <w:rFonts w:hint="eastAsia" w:ascii="仿宋_GB2312" w:hAnsi="仿宋_GB2312" w:eastAsia="仿宋_GB2312" w:cs="仿宋_GB2312"/>
                <w:color w:val="000000"/>
                <w:sz w:val="20"/>
                <w:szCs w:val="20"/>
                <w:highlight w:val="none"/>
              </w:rPr>
              <w:t>住</w:t>
            </w:r>
            <w:r>
              <w:rPr>
                <w:rFonts w:hint="eastAsia" w:ascii="仿宋_GB2312" w:hAnsi="仿宋_GB2312" w:eastAsia="仿宋_GB2312" w:cs="仿宋_GB2312"/>
                <w:color w:val="000000"/>
                <w:sz w:val="20"/>
                <w:szCs w:val="20"/>
                <w:highlight w:val="none"/>
                <w:lang w:val="en-US" w:eastAsia="zh-CN"/>
              </w:rPr>
              <w:t>有所居</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3C6EF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496户</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42803E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496户</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1A27EE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0C941E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6E9CD1A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4B9B4F3E">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29E5355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332FDA8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59287B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491383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72E1D39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改善</w:t>
            </w:r>
            <w:r>
              <w:rPr>
                <w:rFonts w:hint="eastAsia" w:ascii="仿宋_GB2312" w:hAnsi="仿宋_GB2312" w:eastAsia="仿宋_GB2312" w:cs="仿宋_GB2312"/>
                <w:color w:val="000000"/>
                <w:sz w:val="20"/>
                <w:szCs w:val="20"/>
                <w:highlight w:val="none"/>
                <w:lang w:val="en-US" w:eastAsia="zh-CN"/>
              </w:rPr>
              <w:t>低收入家庭居住环境</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70450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创建宜居小区</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7AB3AD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宜居小区</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15AF09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5F4D96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2CDF39A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r>
      <w:tr w14:paraId="0FB2AEF5">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30AE7D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16354E6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19FAF2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2AC0E88E">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实现公租房长效管护</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F66B4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不出现闲置、毁损</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18766C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未出现闲置、毁损</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759981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5DADF2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23FC84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162CE0DF">
        <w:tblPrEx>
          <w:tblCellMar>
            <w:top w:w="0" w:type="dxa"/>
            <w:left w:w="108" w:type="dxa"/>
            <w:bottom w:w="0" w:type="dxa"/>
            <w:right w:w="108" w:type="dxa"/>
          </w:tblCellMar>
        </w:tblPrEx>
        <w:trPr>
          <w:trHeight w:val="754" w:hRule="atLeast"/>
          <w:jc w:val="center"/>
        </w:trPr>
        <w:tc>
          <w:tcPr>
            <w:tcW w:w="1049" w:type="dxa"/>
            <w:vMerge w:val="continue"/>
            <w:tcBorders>
              <w:left w:val="single" w:color="auto" w:sz="4" w:space="0"/>
              <w:right w:val="single" w:color="auto" w:sz="4" w:space="0"/>
            </w:tcBorders>
            <w:noWrap w:val="0"/>
            <w:vAlign w:val="center"/>
          </w:tcPr>
          <w:p w14:paraId="0E08FB6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tcBorders>
              <w:top w:val="single" w:color="auto" w:sz="4" w:space="0"/>
              <w:left w:val="single" w:color="auto" w:sz="4" w:space="0"/>
              <w:bottom w:val="single" w:color="auto" w:sz="4" w:space="0"/>
              <w:right w:val="single" w:color="auto" w:sz="4" w:space="0"/>
            </w:tcBorders>
            <w:noWrap w:val="0"/>
            <w:vAlign w:val="center"/>
          </w:tcPr>
          <w:p w14:paraId="3B7651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7869E2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69F2EA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684BF7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319ECC9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租赁户满意率</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CE270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90%以上</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58BE1E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90%以上</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7B433D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3F4CD2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6185DA9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5FB346B1">
        <w:tblPrEx>
          <w:tblCellMar>
            <w:top w:w="0" w:type="dxa"/>
            <w:left w:w="108" w:type="dxa"/>
            <w:bottom w:w="0" w:type="dxa"/>
            <w:right w:w="108" w:type="dxa"/>
          </w:tblCellMar>
        </w:tblPrEx>
        <w:trPr>
          <w:jc w:val="center"/>
        </w:trPr>
        <w:tc>
          <w:tcPr>
            <w:tcW w:w="7383" w:type="dxa"/>
            <w:gridSpan w:val="6"/>
            <w:tcBorders>
              <w:top w:val="single" w:color="auto" w:sz="4" w:space="0"/>
              <w:left w:val="single" w:color="auto" w:sz="4" w:space="0"/>
              <w:bottom w:val="single" w:color="auto" w:sz="4" w:space="0"/>
              <w:right w:val="single" w:color="000000" w:sz="4" w:space="0"/>
            </w:tcBorders>
            <w:noWrap w:val="0"/>
            <w:vAlign w:val="center"/>
          </w:tcPr>
          <w:p w14:paraId="67B8B60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615" w:type="dxa"/>
            <w:tcBorders>
              <w:top w:val="nil"/>
              <w:left w:val="nil"/>
              <w:bottom w:val="single" w:color="auto" w:sz="4" w:space="0"/>
              <w:right w:val="single" w:color="auto" w:sz="4" w:space="0"/>
            </w:tcBorders>
            <w:noWrap w:val="0"/>
            <w:vAlign w:val="center"/>
          </w:tcPr>
          <w:p w14:paraId="129871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660" w:type="dxa"/>
            <w:tcBorders>
              <w:top w:val="nil"/>
              <w:left w:val="nil"/>
              <w:bottom w:val="single" w:color="auto" w:sz="4" w:space="0"/>
              <w:right w:val="single" w:color="auto" w:sz="4" w:space="0"/>
            </w:tcBorders>
            <w:noWrap w:val="0"/>
            <w:vAlign w:val="center"/>
          </w:tcPr>
          <w:p w14:paraId="6FB8EC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305" w:type="dxa"/>
            <w:tcBorders>
              <w:top w:val="nil"/>
              <w:left w:val="nil"/>
              <w:bottom w:val="single" w:color="auto" w:sz="4" w:space="0"/>
              <w:right w:val="single" w:color="auto" w:sz="4" w:space="0"/>
            </w:tcBorders>
            <w:noWrap w:val="0"/>
            <w:vAlign w:val="center"/>
          </w:tcPr>
          <w:p w14:paraId="289B6E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6C71A2DB">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03D111EF">
      <w:pPr>
        <w:widowControl/>
        <w:spacing w:line="240" w:lineRule="auto"/>
        <w:jc w:val="left"/>
        <w:rPr>
          <w:rFonts w:hint="eastAsia" w:ascii="Times New Roman" w:hAnsi="Times New Roman" w:eastAsia="仿宋_GB2312" w:cs="Times New Roman"/>
          <w:sz w:val="22"/>
          <w:szCs w:val="22"/>
          <w:highlight w:val="none"/>
          <w:lang w:val="en-US" w:eastAsia="zh-CN"/>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 xml:space="preserve">李青 </w:t>
      </w:r>
      <w:r>
        <w:rPr>
          <w:rFonts w:hint="default" w:ascii="Times New Roman" w:hAnsi="Times New Roman" w:eastAsia="仿宋_GB2312" w:cs="Times New Roman"/>
          <w:sz w:val="22"/>
          <w:szCs w:val="22"/>
          <w:highlight w:val="none"/>
        </w:rPr>
        <w:t>填报日期：</w:t>
      </w:r>
      <w:r>
        <w:rPr>
          <w:rFonts w:hint="eastAsia" w:ascii="Times New Roman" w:hAnsi="Times New Roman" w:eastAsia="仿宋_GB2312" w:cs="Times New Roman"/>
          <w:sz w:val="22"/>
          <w:szCs w:val="22"/>
          <w:highlight w:val="none"/>
          <w:lang w:val="en-US" w:eastAsia="zh-CN"/>
        </w:rPr>
        <w:t xml:space="preserve">2026.4.2 </w:t>
      </w:r>
      <w:r>
        <w:rPr>
          <w:rFonts w:hint="default" w:ascii="Times New Roman" w:hAnsi="Times New Roman" w:eastAsia="仿宋_GB2312" w:cs="Times New Roman"/>
          <w:sz w:val="22"/>
          <w:szCs w:val="22"/>
          <w:highlight w:val="none"/>
        </w:rPr>
        <w:t xml:space="preserve"> 联系电话：</w:t>
      </w:r>
      <w:r>
        <w:rPr>
          <w:rFonts w:hint="eastAsia" w:ascii="Times New Roman" w:hAnsi="Times New Roman" w:eastAsia="仿宋_GB2312" w:cs="Times New Roman"/>
          <w:sz w:val="22"/>
          <w:szCs w:val="22"/>
          <w:highlight w:val="none"/>
          <w:lang w:val="en-US" w:eastAsia="zh-CN"/>
        </w:rPr>
        <w:t xml:space="preserve">13873083020 </w:t>
      </w:r>
      <w:r>
        <w:rPr>
          <w:rFonts w:hint="default" w:ascii="Times New Roman" w:hAnsi="Times New Roman" w:eastAsia="仿宋_GB2312" w:cs="Times New Roman"/>
          <w:sz w:val="22"/>
          <w:szCs w:val="22"/>
          <w:highlight w:val="none"/>
        </w:rPr>
        <w:t>单位负责</w:t>
      </w:r>
      <w:r>
        <w:rPr>
          <w:rFonts w:hint="eastAsia" w:ascii="Times New Roman" w:hAnsi="Times New Roman" w:eastAsia="仿宋_GB2312" w:cs="Times New Roman"/>
          <w:sz w:val="22"/>
          <w:szCs w:val="22"/>
          <w:highlight w:val="none"/>
          <w:lang w:val="en-US" w:eastAsia="zh-CN"/>
        </w:rPr>
        <w:t>人签字：</w:t>
      </w:r>
      <w:r>
        <w:rPr>
          <w:rFonts w:hint="eastAsia" w:ascii="Times New Roman" w:hAnsi="Times New Roman" w:eastAsia="仿宋_GB2312" w:cs="Times New Roman"/>
          <w:sz w:val="22"/>
          <w:highlight w:val="none"/>
          <w:lang w:val="en-US" w:eastAsia="zh-CN"/>
        </w:rPr>
        <w:t>黎朝晖</w:t>
      </w:r>
    </w:p>
    <w:p w14:paraId="6BDD50DB">
      <w:pPr>
        <w:pStyle w:val="2"/>
        <w:ind w:left="0" w:leftChars="0" w:firstLine="0" w:firstLineChars="0"/>
        <w:rPr>
          <w:rFonts w:hint="eastAsia" w:ascii="Times New Roman" w:hAnsi="Times New Roman" w:eastAsia="仿宋_GB2312" w:cs="Times New Roman"/>
          <w:sz w:val="22"/>
          <w:szCs w:val="22"/>
          <w:highlight w:val="none"/>
          <w:lang w:val="en-US" w:eastAsia="zh-CN"/>
        </w:rPr>
      </w:pPr>
    </w:p>
    <w:p w14:paraId="628EE639">
      <w:pPr>
        <w:pStyle w:val="2"/>
        <w:ind w:left="0" w:leftChars="0" w:firstLine="0" w:firstLineChars="0"/>
        <w:rPr>
          <w:rFonts w:hint="eastAsia" w:ascii="Times New Roman" w:hAnsi="Times New Roman" w:eastAsia="仿宋_GB2312" w:cs="Times New Roman"/>
          <w:sz w:val="22"/>
          <w:szCs w:val="22"/>
          <w:highlight w:val="none"/>
          <w:lang w:val="en-US" w:eastAsia="zh-CN"/>
        </w:rPr>
      </w:pPr>
    </w:p>
    <w:p w14:paraId="6F6E8CD0">
      <w:pPr>
        <w:widowControl/>
        <w:spacing w:line="60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3-3</w:t>
      </w:r>
    </w:p>
    <w:p w14:paraId="0B54609E">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57"/>
        <w:gridCol w:w="1064"/>
        <w:gridCol w:w="1051"/>
        <w:gridCol w:w="1184"/>
        <w:gridCol w:w="1216"/>
        <w:gridCol w:w="1216"/>
        <w:gridCol w:w="813"/>
        <w:gridCol w:w="870"/>
        <w:gridCol w:w="1380"/>
      </w:tblGrid>
      <w:tr w14:paraId="7717BF0A">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0434F4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B9F56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7B919B0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枫桥湖廉租房小区经济适用房办证费</w:t>
            </w:r>
          </w:p>
        </w:tc>
      </w:tr>
      <w:tr w14:paraId="3A01AE37">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6E4015E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28BD077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14:paraId="43030F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3B703EA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岳阳市住房保障服务中心</w:t>
            </w:r>
          </w:p>
        </w:tc>
      </w:tr>
      <w:tr w14:paraId="361B11E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3CCD261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13B6D0D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1635BE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3847552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2988E6A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4A8642E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706CCE9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169A0D1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0E2C2FA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680A94D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7A525C5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019808D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7008FA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0CA45EA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192FC0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14:paraId="5A51870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13.70</w:t>
            </w:r>
          </w:p>
        </w:tc>
        <w:tc>
          <w:tcPr>
            <w:tcW w:w="1134" w:type="dxa"/>
            <w:tcBorders>
              <w:top w:val="nil"/>
              <w:left w:val="nil"/>
              <w:bottom w:val="single" w:color="auto" w:sz="4" w:space="0"/>
              <w:right w:val="single" w:color="auto" w:sz="4" w:space="0"/>
            </w:tcBorders>
            <w:noWrap w:val="0"/>
            <w:vAlign w:val="center"/>
          </w:tcPr>
          <w:p w14:paraId="0460ACC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13.18</w:t>
            </w:r>
          </w:p>
        </w:tc>
        <w:tc>
          <w:tcPr>
            <w:tcW w:w="828" w:type="dxa"/>
            <w:tcBorders>
              <w:top w:val="nil"/>
              <w:left w:val="nil"/>
              <w:bottom w:val="single" w:color="auto" w:sz="4" w:space="0"/>
              <w:right w:val="single" w:color="auto" w:sz="4" w:space="0"/>
            </w:tcBorders>
            <w:noWrap w:val="0"/>
            <w:vAlign w:val="center"/>
          </w:tcPr>
          <w:p w14:paraId="0633E71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19DDE7F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96.20%</w:t>
            </w: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68DDD42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9.62</w:t>
            </w:r>
          </w:p>
        </w:tc>
      </w:tr>
      <w:tr w14:paraId="2656666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82ABA5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035462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55380E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14:paraId="446AC7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13.70</w:t>
            </w:r>
          </w:p>
        </w:tc>
        <w:tc>
          <w:tcPr>
            <w:tcW w:w="1134" w:type="dxa"/>
            <w:tcBorders>
              <w:top w:val="nil"/>
              <w:left w:val="nil"/>
              <w:bottom w:val="single" w:color="auto" w:sz="4" w:space="0"/>
              <w:right w:val="single" w:color="auto" w:sz="4" w:space="0"/>
            </w:tcBorders>
            <w:noWrap w:val="0"/>
            <w:vAlign w:val="center"/>
          </w:tcPr>
          <w:p w14:paraId="7F7054F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13.18</w:t>
            </w:r>
          </w:p>
        </w:tc>
        <w:tc>
          <w:tcPr>
            <w:tcW w:w="828" w:type="dxa"/>
            <w:tcBorders>
              <w:top w:val="nil"/>
              <w:left w:val="nil"/>
              <w:bottom w:val="single" w:color="auto" w:sz="4" w:space="0"/>
              <w:right w:val="single" w:color="auto" w:sz="4" w:space="0"/>
            </w:tcBorders>
            <w:noWrap w:val="0"/>
            <w:vAlign w:val="center"/>
          </w:tcPr>
          <w:p w14:paraId="7FD4702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498FD4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7A30CB1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348CC61">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261994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4B9A501">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72D84BF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7DDF39E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434124A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355EBB5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3626103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445B76E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4295F4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0CC3B0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1B4BFC34">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739CD8E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0A7192D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57C78F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20AEC66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700169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6648D6A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2BEED84">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20F98C6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12D9A3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760064E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32C2874A">
        <w:tblPrEx>
          <w:tblCellMar>
            <w:top w:w="0" w:type="dxa"/>
            <w:left w:w="108" w:type="dxa"/>
            <w:bottom w:w="0" w:type="dxa"/>
            <w:right w:w="108" w:type="dxa"/>
          </w:tblCellMar>
        </w:tblPrEx>
        <w:trPr>
          <w:trHeight w:val="536"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F69139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4766CA8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为枫桥湖廉租房小区住户办理不动产产权证</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nil"/>
              <w:bottom w:val="single" w:color="auto" w:sz="4" w:space="0"/>
              <w:right w:val="single" w:color="auto" w:sz="4" w:space="0"/>
            </w:tcBorders>
            <w:noWrap w:val="0"/>
            <w:vAlign w:val="center"/>
          </w:tcPr>
          <w:p w14:paraId="18BF05B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已完成办证</w:t>
            </w:r>
          </w:p>
        </w:tc>
      </w:tr>
      <w:tr w14:paraId="58CDCAE8">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57BE36F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5DC6047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539A264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3DBE779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000000" w:sz="4" w:space="0"/>
              <w:right w:val="single" w:color="auto" w:sz="4" w:space="0"/>
            </w:tcBorders>
            <w:noWrap w:val="0"/>
            <w:vAlign w:val="center"/>
          </w:tcPr>
          <w:p w14:paraId="1C9048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000000" w:sz="4" w:space="0"/>
              <w:right w:val="single" w:color="auto" w:sz="4" w:space="0"/>
            </w:tcBorders>
            <w:noWrap w:val="0"/>
            <w:vAlign w:val="center"/>
          </w:tcPr>
          <w:p w14:paraId="70614D8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51F7179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5A517C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67CD3C7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47EB05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0D42DCA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5F333D7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378BF8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2D99BCBB">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782943E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000000" w:sz="4" w:space="0"/>
            </w:tcBorders>
            <w:noWrap w:val="0"/>
            <w:vAlign w:val="center"/>
          </w:tcPr>
          <w:p w14:paraId="2493B2E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61D7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02F427C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FF7588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single" w:color="000000" w:sz="4" w:space="0"/>
              <w:bottom w:val="single" w:color="auto" w:sz="4" w:space="0"/>
              <w:right w:val="single" w:color="auto" w:sz="4" w:space="0"/>
            </w:tcBorders>
            <w:noWrap w:val="0"/>
            <w:vAlign w:val="center"/>
          </w:tcPr>
          <w:p w14:paraId="124C666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办证户数</w:t>
            </w:r>
          </w:p>
        </w:tc>
        <w:tc>
          <w:tcPr>
            <w:tcW w:w="1134" w:type="dxa"/>
            <w:tcBorders>
              <w:top w:val="nil"/>
              <w:left w:val="nil"/>
              <w:bottom w:val="single" w:color="auto" w:sz="4" w:space="0"/>
              <w:right w:val="single" w:color="auto" w:sz="4" w:space="0"/>
            </w:tcBorders>
            <w:noWrap w:val="0"/>
            <w:vAlign w:val="center"/>
          </w:tcPr>
          <w:p w14:paraId="49E5059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15户</w:t>
            </w:r>
          </w:p>
        </w:tc>
        <w:tc>
          <w:tcPr>
            <w:tcW w:w="1134" w:type="dxa"/>
            <w:tcBorders>
              <w:top w:val="nil"/>
              <w:left w:val="nil"/>
              <w:bottom w:val="single" w:color="auto" w:sz="4" w:space="0"/>
              <w:right w:val="single" w:color="auto" w:sz="4" w:space="0"/>
            </w:tcBorders>
            <w:noWrap w:val="0"/>
            <w:vAlign w:val="center"/>
          </w:tcPr>
          <w:p w14:paraId="450FCA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15户</w:t>
            </w:r>
          </w:p>
        </w:tc>
        <w:tc>
          <w:tcPr>
            <w:tcW w:w="828" w:type="dxa"/>
            <w:tcBorders>
              <w:top w:val="nil"/>
              <w:left w:val="nil"/>
              <w:bottom w:val="single" w:color="auto" w:sz="4" w:space="0"/>
              <w:right w:val="single" w:color="auto" w:sz="4" w:space="0"/>
            </w:tcBorders>
            <w:noWrap w:val="0"/>
            <w:vAlign w:val="center"/>
          </w:tcPr>
          <w:p w14:paraId="3658493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873" w:type="dxa"/>
            <w:tcBorders>
              <w:top w:val="nil"/>
              <w:left w:val="nil"/>
              <w:bottom w:val="single" w:color="auto" w:sz="4" w:space="0"/>
              <w:right w:val="single" w:color="auto" w:sz="4" w:space="0"/>
            </w:tcBorders>
            <w:noWrap w:val="0"/>
            <w:vAlign w:val="center"/>
          </w:tcPr>
          <w:p w14:paraId="76CB48A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418" w:type="dxa"/>
            <w:tcBorders>
              <w:top w:val="nil"/>
              <w:left w:val="nil"/>
              <w:bottom w:val="single" w:color="auto" w:sz="4" w:space="0"/>
              <w:right w:val="single" w:color="auto" w:sz="4" w:space="0"/>
            </w:tcBorders>
            <w:noWrap w:val="0"/>
            <w:vAlign w:val="center"/>
          </w:tcPr>
          <w:p w14:paraId="60F8FB0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14:paraId="72A0D37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000000" w:sz="4" w:space="0"/>
            </w:tcBorders>
            <w:noWrap w:val="0"/>
            <w:vAlign w:val="center"/>
          </w:tcPr>
          <w:p w14:paraId="7C90BD8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BE46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F5DE63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single" w:color="000000" w:sz="4" w:space="0"/>
              <w:bottom w:val="single" w:color="auto" w:sz="4" w:space="0"/>
              <w:right w:val="single" w:color="auto" w:sz="4" w:space="0"/>
            </w:tcBorders>
            <w:noWrap w:val="0"/>
            <w:vAlign w:val="center"/>
          </w:tcPr>
          <w:p w14:paraId="09F6F5E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noWrap w:val="0"/>
            <w:vAlign w:val="center"/>
          </w:tcPr>
          <w:p w14:paraId="47FCA52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2272A47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7B0DD28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6D8802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7E00811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F8602E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000000" w:sz="4" w:space="0"/>
            </w:tcBorders>
            <w:noWrap w:val="0"/>
            <w:vAlign w:val="center"/>
          </w:tcPr>
          <w:p w14:paraId="2AE4D5E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B315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6CFC44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single" w:color="000000" w:sz="4" w:space="0"/>
              <w:bottom w:val="single" w:color="auto" w:sz="4" w:space="0"/>
              <w:right w:val="single" w:color="auto" w:sz="4" w:space="0"/>
            </w:tcBorders>
            <w:noWrap w:val="0"/>
            <w:vAlign w:val="center"/>
          </w:tcPr>
          <w:p w14:paraId="12D83FF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办证时间</w:t>
            </w:r>
          </w:p>
        </w:tc>
        <w:tc>
          <w:tcPr>
            <w:tcW w:w="1134" w:type="dxa"/>
            <w:tcBorders>
              <w:top w:val="nil"/>
              <w:left w:val="nil"/>
              <w:bottom w:val="single" w:color="auto" w:sz="4" w:space="0"/>
              <w:right w:val="single" w:color="auto" w:sz="4" w:space="0"/>
            </w:tcBorders>
            <w:noWrap w:val="0"/>
            <w:vAlign w:val="center"/>
          </w:tcPr>
          <w:p w14:paraId="168C98F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2025.12.31日前</w:t>
            </w:r>
          </w:p>
        </w:tc>
        <w:tc>
          <w:tcPr>
            <w:tcW w:w="1134" w:type="dxa"/>
            <w:tcBorders>
              <w:top w:val="nil"/>
              <w:left w:val="nil"/>
              <w:bottom w:val="single" w:color="auto" w:sz="4" w:space="0"/>
              <w:right w:val="single" w:color="auto" w:sz="4" w:space="0"/>
            </w:tcBorders>
            <w:noWrap w:val="0"/>
            <w:vAlign w:val="center"/>
          </w:tcPr>
          <w:p w14:paraId="5EA5295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2025.12.31日前</w:t>
            </w:r>
          </w:p>
        </w:tc>
        <w:tc>
          <w:tcPr>
            <w:tcW w:w="828" w:type="dxa"/>
            <w:tcBorders>
              <w:top w:val="nil"/>
              <w:left w:val="nil"/>
              <w:bottom w:val="single" w:color="auto" w:sz="4" w:space="0"/>
              <w:right w:val="single" w:color="auto" w:sz="4" w:space="0"/>
            </w:tcBorders>
            <w:noWrap w:val="0"/>
            <w:vAlign w:val="center"/>
          </w:tcPr>
          <w:p w14:paraId="09796E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873" w:type="dxa"/>
            <w:tcBorders>
              <w:top w:val="nil"/>
              <w:left w:val="nil"/>
              <w:bottom w:val="single" w:color="auto" w:sz="4" w:space="0"/>
              <w:right w:val="single" w:color="auto" w:sz="4" w:space="0"/>
            </w:tcBorders>
            <w:noWrap w:val="0"/>
            <w:vAlign w:val="center"/>
          </w:tcPr>
          <w:p w14:paraId="7BCFBFC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418" w:type="dxa"/>
            <w:tcBorders>
              <w:top w:val="nil"/>
              <w:left w:val="nil"/>
              <w:bottom w:val="single" w:color="auto" w:sz="4" w:space="0"/>
              <w:right w:val="single" w:color="auto" w:sz="4" w:space="0"/>
            </w:tcBorders>
            <w:noWrap w:val="0"/>
            <w:vAlign w:val="center"/>
          </w:tcPr>
          <w:p w14:paraId="1DCC92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14:paraId="13E5519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000000" w:sz="4" w:space="0"/>
            </w:tcBorders>
            <w:noWrap w:val="0"/>
            <w:vAlign w:val="center"/>
          </w:tcPr>
          <w:p w14:paraId="2F78575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15FE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074A38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single" w:color="000000" w:sz="4" w:space="0"/>
              <w:bottom w:val="single" w:color="auto" w:sz="4" w:space="0"/>
              <w:right w:val="single" w:color="auto" w:sz="4" w:space="0"/>
            </w:tcBorders>
            <w:noWrap w:val="0"/>
            <w:vAlign w:val="center"/>
          </w:tcPr>
          <w:p w14:paraId="394B053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办证费</w:t>
            </w:r>
          </w:p>
        </w:tc>
        <w:tc>
          <w:tcPr>
            <w:tcW w:w="1134" w:type="dxa"/>
            <w:tcBorders>
              <w:top w:val="nil"/>
              <w:left w:val="nil"/>
              <w:bottom w:val="single" w:color="auto" w:sz="4" w:space="0"/>
              <w:right w:val="single" w:color="auto" w:sz="4" w:space="0"/>
            </w:tcBorders>
            <w:noWrap w:val="0"/>
            <w:vAlign w:val="center"/>
          </w:tcPr>
          <w:p w14:paraId="0D8D980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13.70万内</w:t>
            </w:r>
          </w:p>
        </w:tc>
        <w:tc>
          <w:tcPr>
            <w:tcW w:w="1134" w:type="dxa"/>
            <w:tcBorders>
              <w:top w:val="nil"/>
              <w:left w:val="nil"/>
              <w:bottom w:val="single" w:color="auto" w:sz="4" w:space="0"/>
              <w:right w:val="single" w:color="auto" w:sz="4" w:space="0"/>
            </w:tcBorders>
            <w:noWrap w:val="0"/>
            <w:vAlign w:val="center"/>
          </w:tcPr>
          <w:p w14:paraId="7BFF226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13.18万</w:t>
            </w:r>
          </w:p>
        </w:tc>
        <w:tc>
          <w:tcPr>
            <w:tcW w:w="828" w:type="dxa"/>
            <w:tcBorders>
              <w:top w:val="nil"/>
              <w:left w:val="nil"/>
              <w:bottom w:val="single" w:color="auto" w:sz="4" w:space="0"/>
              <w:right w:val="single" w:color="auto" w:sz="4" w:space="0"/>
            </w:tcBorders>
            <w:noWrap w:val="0"/>
            <w:vAlign w:val="center"/>
          </w:tcPr>
          <w:p w14:paraId="327C127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18B425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7C1B336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r>
      <w:tr w14:paraId="2A70738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000000" w:sz="4" w:space="0"/>
            </w:tcBorders>
            <w:noWrap w:val="0"/>
            <w:vAlign w:val="center"/>
          </w:tcPr>
          <w:p w14:paraId="3376FEB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08A9D3A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1E6DD6C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EE187B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48BAD8E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single" w:color="000000" w:sz="4" w:space="0"/>
              <w:bottom w:val="single" w:color="auto" w:sz="4" w:space="0"/>
              <w:right w:val="single" w:color="auto" w:sz="4" w:space="0"/>
            </w:tcBorders>
            <w:noWrap w:val="0"/>
            <w:vAlign w:val="center"/>
          </w:tcPr>
          <w:p w14:paraId="0BA106D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w:t>
            </w:r>
          </w:p>
        </w:tc>
        <w:tc>
          <w:tcPr>
            <w:tcW w:w="1134" w:type="dxa"/>
            <w:tcBorders>
              <w:top w:val="nil"/>
              <w:left w:val="nil"/>
              <w:bottom w:val="single" w:color="auto" w:sz="4" w:space="0"/>
              <w:right w:val="single" w:color="auto" w:sz="4" w:space="0"/>
            </w:tcBorders>
            <w:noWrap w:val="0"/>
            <w:vAlign w:val="center"/>
          </w:tcPr>
          <w:p w14:paraId="0E88F1B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14:paraId="1436011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c>
          <w:tcPr>
            <w:tcW w:w="828" w:type="dxa"/>
            <w:tcBorders>
              <w:top w:val="nil"/>
              <w:left w:val="nil"/>
              <w:bottom w:val="single" w:color="auto" w:sz="4" w:space="0"/>
              <w:right w:val="single" w:color="auto" w:sz="4" w:space="0"/>
            </w:tcBorders>
            <w:noWrap w:val="0"/>
            <w:vAlign w:val="center"/>
          </w:tcPr>
          <w:p w14:paraId="42D29A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873" w:type="dxa"/>
            <w:tcBorders>
              <w:top w:val="nil"/>
              <w:left w:val="nil"/>
              <w:bottom w:val="single" w:color="auto" w:sz="4" w:space="0"/>
              <w:right w:val="single" w:color="auto" w:sz="4" w:space="0"/>
            </w:tcBorders>
            <w:noWrap w:val="0"/>
            <w:vAlign w:val="center"/>
          </w:tcPr>
          <w:p w14:paraId="1C19F6A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418" w:type="dxa"/>
            <w:tcBorders>
              <w:top w:val="nil"/>
              <w:left w:val="nil"/>
              <w:bottom w:val="single" w:color="auto" w:sz="4" w:space="0"/>
              <w:right w:val="single" w:color="auto" w:sz="4" w:space="0"/>
            </w:tcBorders>
            <w:noWrap w:val="0"/>
            <w:vAlign w:val="center"/>
          </w:tcPr>
          <w:p w14:paraId="6F9595A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7E71B3C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000000" w:sz="4" w:space="0"/>
            </w:tcBorders>
            <w:noWrap w:val="0"/>
            <w:vAlign w:val="center"/>
          </w:tcPr>
          <w:p w14:paraId="2C07C2B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399D5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5792F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505D48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single" w:color="000000" w:sz="4" w:space="0"/>
              <w:bottom w:val="single" w:color="auto" w:sz="4" w:space="0"/>
              <w:right w:val="single" w:color="auto" w:sz="4" w:space="0"/>
            </w:tcBorders>
            <w:noWrap w:val="0"/>
            <w:vAlign w:val="center"/>
          </w:tcPr>
          <w:p w14:paraId="718B9BC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解决办证信访问题</w:t>
            </w:r>
          </w:p>
        </w:tc>
        <w:tc>
          <w:tcPr>
            <w:tcW w:w="1134" w:type="dxa"/>
            <w:tcBorders>
              <w:top w:val="nil"/>
              <w:left w:val="nil"/>
              <w:bottom w:val="single" w:color="auto" w:sz="4" w:space="0"/>
              <w:right w:val="single" w:color="auto" w:sz="4" w:space="0"/>
            </w:tcBorders>
            <w:noWrap w:val="0"/>
            <w:vAlign w:val="center"/>
          </w:tcPr>
          <w:p w14:paraId="1544428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为</w:t>
            </w:r>
            <w:r>
              <w:rPr>
                <w:rFonts w:hint="eastAsia" w:ascii="仿宋_GB2312" w:hAnsi="仿宋_GB2312" w:eastAsia="仿宋_GB2312" w:cs="仿宋_GB2312"/>
                <w:color w:val="000000"/>
                <w:sz w:val="20"/>
                <w:szCs w:val="20"/>
                <w:highlight w:val="none"/>
                <w:lang w:val="en-US" w:eastAsia="zh-CN"/>
              </w:rPr>
              <w:t>15户经适房住户扫清办证障碍。</w:t>
            </w:r>
          </w:p>
        </w:tc>
        <w:tc>
          <w:tcPr>
            <w:tcW w:w="1134" w:type="dxa"/>
            <w:tcBorders>
              <w:top w:val="nil"/>
              <w:left w:val="nil"/>
              <w:bottom w:val="single" w:color="auto" w:sz="4" w:space="0"/>
              <w:right w:val="single" w:color="auto" w:sz="4" w:space="0"/>
            </w:tcBorders>
            <w:noWrap w:val="0"/>
            <w:vAlign w:val="center"/>
          </w:tcPr>
          <w:p w14:paraId="66DDB40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已办证</w:t>
            </w:r>
          </w:p>
        </w:tc>
        <w:tc>
          <w:tcPr>
            <w:tcW w:w="828" w:type="dxa"/>
            <w:tcBorders>
              <w:top w:val="nil"/>
              <w:left w:val="nil"/>
              <w:bottom w:val="single" w:color="auto" w:sz="4" w:space="0"/>
              <w:right w:val="single" w:color="auto" w:sz="4" w:space="0"/>
            </w:tcBorders>
            <w:noWrap w:val="0"/>
            <w:vAlign w:val="center"/>
          </w:tcPr>
          <w:p w14:paraId="193D1C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w:t>
            </w:r>
          </w:p>
        </w:tc>
        <w:tc>
          <w:tcPr>
            <w:tcW w:w="873" w:type="dxa"/>
            <w:tcBorders>
              <w:top w:val="nil"/>
              <w:left w:val="nil"/>
              <w:bottom w:val="single" w:color="auto" w:sz="4" w:space="0"/>
              <w:right w:val="single" w:color="auto" w:sz="4" w:space="0"/>
            </w:tcBorders>
            <w:noWrap w:val="0"/>
            <w:vAlign w:val="center"/>
          </w:tcPr>
          <w:p w14:paraId="5D517C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w:t>
            </w:r>
          </w:p>
        </w:tc>
        <w:tc>
          <w:tcPr>
            <w:tcW w:w="1418" w:type="dxa"/>
            <w:tcBorders>
              <w:top w:val="nil"/>
              <w:left w:val="nil"/>
              <w:bottom w:val="single" w:color="auto" w:sz="4" w:space="0"/>
              <w:right w:val="single" w:color="auto" w:sz="4" w:space="0"/>
            </w:tcBorders>
            <w:noWrap w:val="0"/>
            <w:vAlign w:val="center"/>
          </w:tcPr>
          <w:p w14:paraId="70A2A80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14:paraId="4D73AC4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000000" w:sz="4" w:space="0"/>
            </w:tcBorders>
            <w:noWrap w:val="0"/>
            <w:vAlign w:val="center"/>
          </w:tcPr>
          <w:p w14:paraId="3603404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E0EC1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29D864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7931F58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single" w:color="000000" w:sz="4" w:space="0"/>
              <w:bottom w:val="single" w:color="auto" w:sz="4" w:space="0"/>
              <w:right w:val="single" w:color="auto" w:sz="4" w:space="0"/>
            </w:tcBorders>
            <w:noWrap w:val="0"/>
            <w:vAlign w:val="center"/>
          </w:tcPr>
          <w:p w14:paraId="105B1A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noWrap w:val="0"/>
            <w:vAlign w:val="center"/>
          </w:tcPr>
          <w:p w14:paraId="6F4D824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71BF8A5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4A65701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113B053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34FAC2D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D1922A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000000" w:sz="4" w:space="0"/>
            </w:tcBorders>
            <w:noWrap w:val="0"/>
            <w:vAlign w:val="center"/>
          </w:tcPr>
          <w:p w14:paraId="04F85B1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312E9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A932B6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000000" w:sz="4" w:space="0"/>
              <w:bottom w:val="single" w:color="auto" w:sz="4" w:space="0"/>
              <w:right w:val="single" w:color="auto" w:sz="4" w:space="0"/>
            </w:tcBorders>
            <w:noWrap w:val="0"/>
            <w:vAlign w:val="center"/>
          </w:tcPr>
          <w:p w14:paraId="388CB81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75BD16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716C21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054247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07249A2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ABF83E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45B076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000000" w:sz="4" w:space="0"/>
            </w:tcBorders>
            <w:noWrap w:val="0"/>
            <w:vAlign w:val="center"/>
          </w:tcPr>
          <w:p w14:paraId="4748784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4B173C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6D80FD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64ACD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4B4ED6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single" w:color="000000" w:sz="4" w:space="0"/>
              <w:bottom w:val="single" w:color="auto" w:sz="4" w:space="0"/>
              <w:right w:val="single" w:color="auto" w:sz="4" w:space="0"/>
            </w:tcBorders>
            <w:noWrap w:val="0"/>
            <w:vAlign w:val="center"/>
          </w:tcPr>
          <w:p w14:paraId="7DB5C93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val="en-US" w:eastAsia="zh-CN"/>
              </w:rPr>
              <w:t>住户</w:t>
            </w:r>
            <w:r>
              <w:rPr>
                <w:rFonts w:hint="eastAsia" w:ascii="仿宋_GB2312" w:hAnsi="仿宋_GB2312" w:eastAsia="仿宋_GB2312" w:cs="仿宋_GB2312"/>
                <w:color w:val="000000"/>
                <w:sz w:val="20"/>
                <w:szCs w:val="20"/>
                <w:highlight w:val="none"/>
                <w:lang w:eastAsia="zh-CN"/>
              </w:rPr>
              <w:t>满意度</w:t>
            </w:r>
          </w:p>
        </w:tc>
        <w:tc>
          <w:tcPr>
            <w:tcW w:w="1134" w:type="dxa"/>
            <w:tcBorders>
              <w:top w:val="nil"/>
              <w:left w:val="nil"/>
              <w:bottom w:val="single" w:color="auto" w:sz="4" w:space="0"/>
              <w:right w:val="single" w:color="auto" w:sz="4" w:space="0"/>
            </w:tcBorders>
            <w:noWrap w:val="0"/>
            <w:vAlign w:val="center"/>
          </w:tcPr>
          <w:p w14:paraId="5DC41AB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90%以上</w:t>
            </w:r>
          </w:p>
        </w:tc>
        <w:tc>
          <w:tcPr>
            <w:tcW w:w="1134" w:type="dxa"/>
            <w:tcBorders>
              <w:top w:val="nil"/>
              <w:left w:val="nil"/>
              <w:bottom w:val="single" w:color="auto" w:sz="4" w:space="0"/>
              <w:right w:val="single" w:color="auto" w:sz="4" w:space="0"/>
            </w:tcBorders>
            <w:noWrap w:val="0"/>
            <w:vAlign w:val="center"/>
          </w:tcPr>
          <w:p w14:paraId="611268E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90%以上</w:t>
            </w:r>
          </w:p>
        </w:tc>
        <w:tc>
          <w:tcPr>
            <w:tcW w:w="828" w:type="dxa"/>
            <w:tcBorders>
              <w:top w:val="nil"/>
              <w:left w:val="nil"/>
              <w:bottom w:val="single" w:color="auto" w:sz="4" w:space="0"/>
              <w:right w:val="single" w:color="auto" w:sz="4" w:space="0"/>
            </w:tcBorders>
            <w:noWrap w:val="0"/>
            <w:vAlign w:val="center"/>
          </w:tcPr>
          <w:p w14:paraId="12D17A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691BEFC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6574D92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14:paraId="3DD0F318">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692CF4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50E57C2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1C8E62A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99.62</w:t>
            </w:r>
          </w:p>
        </w:tc>
        <w:tc>
          <w:tcPr>
            <w:tcW w:w="1418" w:type="dxa"/>
            <w:tcBorders>
              <w:top w:val="nil"/>
              <w:left w:val="nil"/>
              <w:bottom w:val="single" w:color="auto" w:sz="4" w:space="0"/>
              <w:right w:val="single" w:color="auto" w:sz="4" w:space="0"/>
            </w:tcBorders>
            <w:noWrap w:val="0"/>
            <w:vAlign w:val="center"/>
          </w:tcPr>
          <w:p w14:paraId="5B9D882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r>
    </w:tbl>
    <w:p w14:paraId="19F067E7">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6FE8386B">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14:paraId="2E698697">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李青</w:t>
      </w:r>
      <w:r>
        <w:rPr>
          <w:rFonts w:hint="default" w:ascii="Times New Roman" w:hAnsi="Times New Roman" w:eastAsia="仿宋_GB2312" w:cs="Times New Roman"/>
          <w:sz w:val="22"/>
          <w:szCs w:val="22"/>
          <w:highlight w:val="none"/>
        </w:rPr>
        <w:t xml:space="preserve"> 填报日期：</w:t>
      </w:r>
      <w:r>
        <w:rPr>
          <w:rFonts w:hint="eastAsia" w:ascii="Times New Roman" w:hAnsi="Times New Roman" w:eastAsia="仿宋_GB2312" w:cs="Times New Roman"/>
          <w:sz w:val="22"/>
          <w:szCs w:val="22"/>
          <w:highlight w:val="none"/>
          <w:lang w:val="en-US" w:eastAsia="zh-CN"/>
        </w:rPr>
        <w:t xml:space="preserve">2026.4.2 </w:t>
      </w:r>
      <w:r>
        <w:rPr>
          <w:rFonts w:hint="default" w:ascii="Times New Roman" w:hAnsi="Times New Roman" w:eastAsia="仿宋_GB2312" w:cs="Times New Roman"/>
          <w:sz w:val="22"/>
          <w:szCs w:val="22"/>
          <w:highlight w:val="none"/>
        </w:rPr>
        <w:t>联系电话：</w:t>
      </w:r>
      <w:r>
        <w:rPr>
          <w:rFonts w:hint="eastAsia" w:ascii="Times New Roman" w:hAnsi="Times New Roman" w:eastAsia="仿宋_GB2312" w:cs="Times New Roman"/>
          <w:sz w:val="22"/>
          <w:szCs w:val="22"/>
          <w:highlight w:val="none"/>
          <w:lang w:val="en-US" w:eastAsia="zh-CN"/>
        </w:rPr>
        <w:t xml:space="preserve">13873083020 </w:t>
      </w:r>
      <w:r>
        <w:rPr>
          <w:rFonts w:hint="default" w:ascii="Times New Roman" w:hAnsi="Times New Roman" w:eastAsia="仿宋_GB2312" w:cs="Times New Roman"/>
          <w:sz w:val="22"/>
          <w:szCs w:val="22"/>
          <w:highlight w:val="none"/>
        </w:rPr>
        <w:t xml:space="preserve"> 单位负责人签字：</w:t>
      </w:r>
      <w:r>
        <w:rPr>
          <w:rFonts w:hint="eastAsia" w:ascii="Times New Roman" w:hAnsi="Times New Roman" w:eastAsia="仿宋_GB2312" w:cs="Times New Roman"/>
          <w:sz w:val="22"/>
          <w:highlight w:val="none"/>
          <w:lang w:val="en-US" w:eastAsia="zh-CN"/>
        </w:rPr>
        <w:t>黎朝晖</w:t>
      </w:r>
    </w:p>
    <w:p w14:paraId="3C9D94CA">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rPr>
      </w:pPr>
    </w:p>
    <w:p w14:paraId="2DBA41AF">
      <w:pPr>
        <w:widowControl/>
        <w:spacing w:line="600" w:lineRule="exact"/>
        <w:jc w:val="left"/>
        <w:rPr>
          <w:rFonts w:hint="default" w:ascii="黑体" w:hAnsi="黑体" w:eastAsia="黑体" w:cs="黑体"/>
          <w:sz w:val="32"/>
          <w:szCs w:val="32"/>
          <w:highlight w:val="none"/>
          <w:lang w:val="en-US" w:eastAsia="zh-CN"/>
        </w:rPr>
      </w:pPr>
    </w:p>
    <w:p w14:paraId="5947160D">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rPr>
      </w:pPr>
    </w:p>
    <w:p w14:paraId="05B9415C">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rPr>
      </w:pPr>
    </w:p>
    <w:p w14:paraId="34343D3B">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rPr>
      </w:pPr>
    </w:p>
    <w:p w14:paraId="5091D7F0">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3-4</w:t>
      </w:r>
    </w:p>
    <w:p w14:paraId="5E71183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27EC38F0">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fixed"/>
        <w:tblCellMar>
          <w:top w:w="0" w:type="dxa"/>
          <w:left w:w="108" w:type="dxa"/>
          <w:bottom w:w="0" w:type="dxa"/>
          <w:right w:w="108" w:type="dxa"/>
        </w:tblCellMar>
      </w:tblPr>
      <w:tblGrid>
        <w:gridCol w:w="1058"/>
        <w:gridCol w:w="1065"/>
        <w:gridCol w:w="1053"/>
        <w:gridCol w:w="1306"/>
        <w:gridCol w:w="1164"/>
        <w:gridCol w:w="1158"/>
        <w:gridCol w:w="814"/>
        <w:gridCol w:w="861"/>
        <w:gridCol w:w="1372"/>
      </w:tblGrid>
      <w:tr w14:paraId="00CFFE71">
        <w:tblPrEx>
          <w:tblCellMar>
            <w:top w:w="0" w:type="dxa"/>
            <w:left w:w="108" w:type="dxa"/>
            <w:bottom w:w="0" w:type="dxa"/>
            <w:right w:w="108" w:type="dxa"/>
          </w:tblCellMar>
        </w:tblPrEx>
        <w:trPr>
          <w:jc w:val="center"/>
        </w:trPr>
        <w:tc>
          <w:tcPr>
            <w:tcW w:w="1058" w:type="dxa"/>
            <w:tcBorders>
              <w:top w:val="single" w:color="auto" w:sz="4" w:space="0"/>
              <w:left w:val="single" w:color="auto" w:sz="4" w:space="0"/>
              <w:bottom w:val="single" w:color="auto" w:sz="4" w:space="0"/>
              <w:right w:val="single" w:color="auto" w:sz="4" w:space="0"/>
            </w:tcBorders>
            <w:noWrap w:val="0"/>
            <w:vAlign w:val="center"/>
          </w:tcPr>
          <w:p w14:paraId="4928DE6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780059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93" w:type="dxa"/>
            <w:gridSpan w:val="8"/>
            <w:tcBorders>
              <w:top w:val="single" w:color="auto" w:sz="4" w:space="0"/>
              <w:left w:val="nil"/>
              <w:bottom w:val="single" w:color="auto" w:sz="4" w:space="0"/>
              <w:right w:val="single" w:color="auto" w:sz="4" w:space="0"/>
            </w:tcBorders>
            <w:noWrap w:val="0"/>
            <w:vAlign w:val="center"/>
          </w:tcPr>
          <w:p w14:paraId="6DB24E0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其他资金支出（收购恒大商品房用作保障性住房购置资金）</w:t>
            </w:r>
          </w:p>
        </w:tc>
      </w:tr>
      <w:tr w14:paraId="07DE239E">
        <w:tblPrEx>
          <w:tblCellMar>
            <w:top w:w="0" w:type="dxa"/>
            <w:left w:w="108" w:type="dxa"/>
            <w:bottom w:w="0" w:type="dxa"/>
            <w:right w:w="108" w:type="dxa"/>
          </w:tblCellMar>
        </w:tblPrEx>
        <w:trPr>
          <w:jc w:val="center"/>
        </w:trPr>
        <w:tc>
          <w:tcPr>
            <w:tcW w:w="1058" w:type="dxa"/>
            <w:tcBorders>
              <w:top w:val="nil"/>
              <w:left w:val="single" w:color="auto" w:sz="4" w:space="0"/>
              <w:bottom w:val="single" w:color="auto" w:sz="4" w:space="0"/>
              <w:right w:val="single" w:color="auto" w:sz="4" w:space="0"/>
            </w:tcBorders>
            <w:noWrap w:val="0"/>
            <w:vAlign w:val="center"/>
          </w:tcPr>
          <w:p w14:paraId="2562B86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88" w:type="dxa"/>
            <w:gridSpan w:val="4"/>
            <w:tcBorders>
              <w:top w:val="single" w:color="auto" w:sz="4" w:space="0"/>
              <w:left w:val="nil"/>
              <w:bottom w:val="single" w:color="auto" w:sz="4" w:space="0"/>
              <w:right w:val="single" w:color="auto" w:sz="4" w:space="0"/>
            </w:tcBorders>
            <w:noWrap w:val="0"/>
            <w:vAlign w:val="center"/>
          </w:tcPr>
          <w:p w14:paraId="6CAB763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岳阳市住房和城乡建设局</w:t>
            </w:r>
          </w:p>
        </w:tc>
        <w:tc>
          <w:tcPr>
            <w:tcW w:w="1158" w:type="dxa"/>
            <w:tcBorders>
              <w:top w:val="single" w:color="auto" w:sz="4" w:space="0"/>
              <w:left w:val="nil"/>
              <w:bottom w:val="single" w:color="auto" w:sz="4" w:space="0"/>
              <w:right w:val="single" w:color="000000" w:sz="4" w:space="0"/>
            </w:tcBorders>
            <w:noWrap w:val="0"/>
            <w:vAlign w:val="center"/>
          </w:tcPr>
          <w:p w14:paraId="0BE2CC2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047" w:type="dxa"/>
            <w:gridSpan w:val="3"/>
            <w:tcBorders>
              <w:top w:val="single" w:color="auto" w:sz="4" w:space="0"/>
              <w:left w:val="nil"/>
              <w:bottom w:val="single" w:color="auto" w:sz="4" w:space="0"/>
              <w:right w:val="single" w:color="auto" w:sz="4" w:space="0"/>
            </w:tcBorders>
            <w:noWrap w:val="0"/>
            <w:vAlign w:val="center"/>
          </w:tcPr>
          <w:p w14:paraId="422ED21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岳阳市住房保障服务中心</w:t>
            </w:r>
          </w:p>
        </w:tc>
      </w:tr>
      <w:tr w14:paraId="2CA6D460">
        <w:tblPrEx>
          <w:tblCellMar>
            <w:top w:w="0" w:type="dxa"/>
            <w:left w:w="108" w:type="dxa"/>
            <w:bottom w:w="0" w:type="dxa"/>
            <w:right w:w="108" w:type="dxa"/>
          </w:tblCellMar>
        </w:tblPrEx>
        <w:trPr>
          <w:jc w:val="center"/>
        </w:trPr>
        <w:tc>
          <w:tcPr>
            <w:tcW w:w="1058" w:type="dxa"/>
            <w:vMerge w:val="restart"/>
            <w:tcBorders>
              <w:top w:val="nil"/>
              <w:left w:val="single" w:color="auto" w:sz="4" w:space="0"/>
              <w:bottom w:val="single" w:color="000000" w:sz="4" w:space="0"/>
              <w:right w:val="single" w:color="auto" w:sz="4" w:space="0"/>
            </w:tcBorders>
            <w:noWrap w:val="0"/>
            <w:vAlign w:val="center"/>
          </w:tcPr>
          <w:p w14:paraId="3E890C5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8" w:type="dxa"/>
            <w:gridSpan w:val="2"/>
            <w:tcBorders>
              <w:top w:val="nil"/>
              <w:left w:val="nil"/>
              <w:bottom w:val="single" w:color="auto" w:sz="4" w:space="0"/>
              <w:right w:val="single" w:color="auto" w:sz="4" w:space="0"/>
            </w:tcBorders>
            <w:noWrap w:val="0"/>
            <w:vAlign w:val="center"/>
          </w:tcPr>
          <w:p w14:paraId="68FE4F8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06" w:type="dxa"/>
            <w:tcBorders>
              <w:top w:val="nil"/>
              <w:left w:val="nil"/>
              <w:bottom w:val="single" w:color="auto" w:sz="4" w:space="0"/>
              <w:right w:val="single" w:color="auto" w:sz="4" w:space="0"/>
            </w:tcBorders>
            <w:noWrap w:val="0"/>
            <w:vAlign w:val="center"/>
          </w:tcPr>
          <w:p w14:paraId="0C5815F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7CCB3BF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64" w:type="dxa"/>
            <w:tcBorders>
              <w:top w:val="nil"/>
              <w:left w:val="nil"/>
              <w:bottom w:val="single" w:color="auto" w:sz="4" w:space="0"/>
              <w:right w:val="single" w:color="auto" w:sz="4" w:space="0"/>
            </w:tcBorders>
            <w:noWrap w:val="0"/>
            <w:vAlign w:val="center"/>
          </w:tcPr>
          <w:p w14:paraId="4387E09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36D0A6C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58" w:type="dxa"/>
            <w:tcBorders>
              <w:top w:val="nil"/>
              <w:left w:val="nil"/>
              <w:bottom w:val="single" w:color="auto" w:sz="4" w:space="0"/>
              <w:right w:val="single" w:color="auto" w:sz="4" w:space="0"/>
            </w:tcBorders>
            <w:noWrap w:val="0"/>
            <w:vAlign w:val="center"/>
          </w:tcPr>
          <w:p w14:paraId="44AA3A8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758E4F0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14" w:type="dxa"/>
            <w:tcBorders>
              <w:top w:val="nil"/>
              <w:left w:val="nil"/>
              <w:bottom w:val="single" w:color="auto" w:sz="4" w:space="0"/>
              <w:right w:val="single" w:color="auto" w:sz="4" w:space="0"/>
            </w:tcBorders>
            <w:noWrap w:val="0"/>
            <w:vAlign w:val="center"/>
          </w:tcPr>
          <w:p w14:paraId="5A09428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61" w:type="dxa"/>
            <w:tcBorders>
              <w:top w:val="nil"/>
              <w:left w:val="nil"/>
              <w:bottom w:val="single" w:color="auto" w:sz="4" w:space="0"/>
              <w:right w:val="single" w:color="auto" w:sz="4" w:space="0"/>
            </w:tcBorders>
            <w:noWrap w:val="0"/>
            <w:vAlign w:val="center"/>
          </w:tcPr>
          <w:p w14:paraId="6277CF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72" w:type="dxa"/>
            <w:tcBorders>
              <w:top w:val="nil"/>
              <w:left w:val="nil"/>
              <w:bottom w:val="single" w:color="auto" w:sz="4" w:space="0"/>
              <w:right w:val="single" w:color="auto" w:sz="4" w:space="0"/>
            </w:tcBorders>
            <w:noWrap w:val="0"/>
            <w:vAlign w:val="center"/>
          </w:tcPr>
          <w:p w14:paraId="2A0F3B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374DF0F5">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2806127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8" w:type="dxa"/>
            <w:gridSpan w:val="2"/>
            <w:tcBorders>
              <w:top w:val="nil"/>
              <w:left w:val="nil"/>
              <w:bottom w:val="single" w:color="auto" w:sz="4" w:space="0"/>
              <w:right w:val="single" w:color="auto" w:sz="4" w:space="0"/>
            </w:tcBorders>
            <w:noWrap w:val="0"/>
            <w:vAlign w:val="center"/>
          </w:tcPr>
          <w:p w14:paraId="74386A7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306" w:type="dxa"/>
            <w:tcBorders>
              <w:top w:val="nil"/>
              <w:left w:val="nil"/>
              <w:bottom w:val="single" w:color="auto" w:sz="4" w:space="0"/>
              <w:right w:val="single" w:color="auto" w:sz="4" w:space="0"/>
            </w:tcBorders>
            <w:noWrap w:val="0"/>
            <w:vAlign w:val="center"/>
          </w:tcPr>
          <w:p w14:paraId="6B0C05C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64" w:type="dxa"/>
            <w:tcBorders>
              <w:top w:val="nil"/>
              <w:left w:val="nil"/>
              <w:bottom w:val="single" w:color="auto" w:sz="4" w:space="0"/>
              <w:right w:val="single" w:color="auto" w:sz="4" w:space="0"/>
            </w:tcBorders>
            <w:noWrap w:val="0"/>
            <w:vAlign w:val="center"/>
          </w:tcPr>
          <w:p w14:paraId="0312CFE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4287.58</w:t>
            </w:r>
          </w:p>
        </w:tc>
        <w:tc>
          <w:tcPr>
            <w:tcW w:w="1158" w:type="dxa"/>
            <w:tcBorders>
              <w:top w:val="nil"/>
              <w:left w:val="nil"/>
              <w:bottom w:val="single" w:color="auto" w:sz="4" w:space="0"/>
              <w:right w:val="single" w:color="auto" w:sz="4" w:space="0"/>
            </w:tcBorders>
            <w:noWrap w:val="0"/>
            <w:vAlign w:val="center"/>
          </w:tcPr>
          <w:p w14:paraId="135F41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4287.58</w:t>
            </w:r>
          </w:p>
        </w:tc>
        <w:tc>
          <w:tcPr>
            <w:tcW w:w="814" w:type="dxa"/>
            <w:tcBorders>
              <w:top w:val="nil"/>
              <w:left w:val="nil"/>
              <w:bottom w:val="single" w:color="auto" w:sz="4" w:space="0"/>
              <w:right w:val="single" w:color="auto" w:sz="4" w:space="0"/>
            </w:tcBorders>
            <w:noWrap w:val="0"/>
            <w:vAlign w:val="center"/>
          </w:tcPr>
          <w:p w14:paraId="3CAA331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61" w:type="dxa"/>
            <w:tcBorders>
              <w:top w:val="nil"/>
              <w:left w:val="nil"/>
              <w:bottom w:val="single" w:color="auto" w:sz="4" w:space="0"/>
              <w:right w:val="single" w:color="auto" w:sz="4" w:space="0"/>
            </w:tcBorders>
            <w:noWrap w:val="0"/>
            <w:vAlign w:val="center"/>
          </w:tcPr>
          <w:p w14:paraId="3D75A78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372" w:type="dxa"/>
            <w:tcBorders>
              <w:top w:val="nil"/>
              <w:left w:val="nil"/>
              <w:bottom w:val="single" w:color="auto" w:sz="4" w:space="0"/>
              <w:right w:val="single" w:color="auto" w:sz="4" w:space="0"/>
            </w:tcBorders>
            <w:noWrap w:val="0"/>
            <w:vAlign w:val="center"/>
          </w:tcPr>
          <w:p w14:paraId="7FF36B8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28A7CCDB">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0D98784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8" w:type="dxa"/>
            <w:gridSpan w:val="2"/>
            <w:tcBorders>
              <w:top w:val="nil"/>
              <w:left w:val="nil"/>
              <w:bottom w:val="single" w:color="auto" w:sz="4" w:space="0"/>
              <w:right w:val="single" w:color="auto" w:sz="4" w:space="0"/>
            </w:tcBorders>
            <w:noWrap w:val="0"/>
            <w:vAlign w:val="center"/>
          </w:tcPr>
          <w:p w14:paraId="04322D8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306" w:type="dxa"/>
            <w:tcBorders>
              <w:top w:val="nil"/>
              <w:left w:val="nil"/>
              <w:bottom w:val="single" w:color="auto" w:sz="4" w:space="0"/>
              <w:right w:val="single" w:color="auto" w:sz="4" w:space="0"/>
            </w:tcBorders>
            <w:noWrap w:val="0"/>
            <w:vAlign w:val="center"/>
          </w:tcPr>
          <w:p w14:paraId="2BAE360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64" w:type="dxa"/>
            <w:tcBorders>
              <w:top w:val="nil"/>
              <w:left w:val="nil"/>
              <w:bottom w:val="single" w:color="auto" w:sz="4" w:space="0"/>
              <w:right w:val="single" w:color="auto" w:sz="4" w:space="0"/>
            </w:tcBorders>
            <w:noWrap w:val="0"/>
            <w:vAlign w:val="center"/>
          </w:tcPr>
          <w:p w14:paraId="3414D64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58" w:type="dxa"/>
            <w:tcBorders>
              <w:top w:val="nil"/>
              <w:left w:val="nil"/>
              <w:bottom w:val="single" w:color="auto" w:sz="4" w:space="0"/>
              <w:right w:val="single" w:color="auto" w:sz="4" w:space="0"/>
            </w:tcBorders>
            <w:noWrap w:val="0"/>
            <w:vAlign w:val="center"/>
          </w:tcPr>
          <w:p w14:paraId="43EAE20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4" w:type="dxa"/>
            <w:tcBorders>
              <w:top w:val="nil"/>
              <w:left w:val="nil"/>
              <w:bottom w:val="single" w:color="auto" w:sz="4" w:space="0"/>
              <w:right w:val="single" w:color="auto" w:sz="4" w:space="0"/>
            </w:tcBorders>
            <w:noWrap w:val="0"/>
            <w:vAlign w:val="center"/>
          </w:tcPr>
          <w:p w14:paraId="0334E12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1" w:type="dxa"/>
            <w:tcBorders>
              <w:top w:val="nil"/>
              <w:left w:val="nil"/>
              <w:bottom w:val="single" w:color="auto" w:sz="4" w:space="0"/>
              <w:right w:val="single" w:color="auto" w:sz="4" w:space="0"/>
            </w:tcBorders>
            <w:noWrap w:val="0"/>
            <w:vAlign w:val="center"/>
          </w:tcPr>
          <w:p w14:paraId="0746E12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2" w:type="dxa"/>
            <w:tcBorders>
              <w:top w:val="nil"/>
              <w:left w:val="nil"/>
              <w:bottom w:val="single" w:color="auto" w:sz="4" w:space="0"/>
              <w:right w:val="single" w:color="auto" w:sz="4" w:space="0"/>
            </w:tcBorders>
            <w:noWrap w:val="0"/>
            <w:vAlign w:val="center"/>
          </w:tcPr>
          <w:p w14:paraId="5BAC876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514B56A">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2529C92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8" w:type="dxa"/>
            <w:gridSpan w:val="2"/>
            <w:tcBorders>
              <w:top w:val="nil"/>
              <w:left w:val="nil"/>
              <w:bottom w:val="single" w:color="auto" w:sz="4" w:space="0"/>
              <w:right w:val="single" w:color="auto" w:sz="4" w:space="0"/>
            </w:tcBorders>
            <w:noWrap w:val="0"/>
            <w:vAlign w:val="center"/>
          </w:tcPr>
          <w:p w14:paraId="41A8B7E3">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306" w:type="dxa"/>
            <w:tcBorders>
              <w:top w:val="nil"/>
              <w:left w:val="nil"/>
              <w:bottom w:val="single" w:color="auto" w:sz="4" w:space="0"/>
              <w:right w:val="single" w:color="auto" w:sz="4" w:space="0"/>
            </w:tcBorders>
            <w:noWrap w:val="0"/>
            <w:vAlign w:val="center"/>
          </w:tcPr>
          <w:p w14:paraId="0076D82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64" w:type="dxa"/>
            <w:tcBorders>
              <w:top w:val="nil"/>
              <w:left w:val="nil"/>
              <w:bottom w:val="single" w:color="auto" w:sz="4" w:space="0"/>
              <w:right w:val="single" w:color="auto" w:sz="4" w:space="0"/>
            </w:tcBorders>
            <w:noWrap w:val="0"/>
            <w:vAlign w:val="center"/>
          </w:tcPr>
          <w:p w14:paraId="6A6399B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58" w:type="dxa"/>
            <w:tcBorders>
              <w:top w:val="nil"/>
              <w:left w:val="nil"/>
              <w:bottom w:val="single" w:color="auto" w:sz="4" w:space="0"/>
              <w:right w:val="single" w:color="auto" w:sz="4" w:space="0"/>
            </w:tcBorders>
            <w:noWrap w:val="0"/>
            <w:vAlign w:val="center"/>
          </w:tcPr>
          <w:p w14:paraId="057F9A3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4" w:type="dxa"/>
            <w:tcBorders>
              <w:top w:val="nil"/>
              <w:left w:val="nil"/>
              <w:bottom w:val="single" w:color="auto" w:sz="4" w:space="0"/>
              <w:right w:val="single" w:color="auto" w:sz="4" w:space="0"/>
            </w:tcBorders>
            <w:noWrap w:val="0"/>
            <w:vAlign w:val="center"/>
          </w:tcPr>
          <w:p w14:paraId="2D1C469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1" w:type="dxa"/>
            <w:tcBorders>
              <w:top w:val="nil"/>
              <w:left w:val="nil"/>
              <w:bottom w:val="single" w:color="auto" w:sz="4" w:space="0"/>
              <w:right w:val="single" w:color="auto" w:sz="4" w:space="0"/>
            </w:tcBorders>
            <w:noWrap w:val="0"/>
            <w:vAlign w:val="center"/>
          </w:tcPr>
          <w:p w14:paraId="1FD096B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2" w:type="dxa"/>
            <w:tcBorders>
              <w:top w:val="nil"/>
              <w:left w:val="nil"/>
              <w:bottom w:val="single" w:color="auto" w:sz="4" w:space="0"/>
              <w:right w:val="single" w:color="auto" w:sz="4" w:space="0"/>
            </w:tcBorders>
            <w:noWrap w:val="0"/>
            <w:vAlign w:val="center"/>
          </w:tcPr>
          <w:p w14:paraId="5A0E0B8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FB37FB8">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29115B1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8" w:type="dxa"/>
            <w:gridSpan w:val="2"/>
            <w:tcBorders>
              <w:top w:val="nil"/>
              <w:left w:val="nil"/>
              <w:bottom w:val="single" w:color="auto" w:sz="4" w:space="0"/>
              <w:right w:val="single" w:color="auto" w:sz="4" w:space="0"/>
            </w:tcBorders>
            <w:noWrap w:val="0"/>
            <w:vAlign w:val="center"/>
          </w:tcPr>
          <w:p w14:paraId="0DEF50AE">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306" w:type="dxa"/>
            <w:tcBorders>
              <w:top w:val="nil"/>
              <w:left w:val="nil"/>
              <w:bottom w:val="single" w:color="auto" w:sz="4" w:space="0"/>
              <w:right w:val="single" w:color="auto" w:sz="4" w:space="0"/>
            </w:tcBorders>
            <w:noWrap w:val="0"/>
            <w:vAlign w:val="center"/>
          </w:tcPr>
          <w:p w14:paraId="4671E4B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64" w:type="dxa"/>
            <w:tcBorders>
              <w:top w:val="nil"/>
              <w:left w:val="nil"/>
              <w:bottom w:val="single" w:color="auto" w:sz="4" w:space="0"/>
              <w:right w:val="single" w:color="auto" w:sz="4" w:space="0"/>
            </w:tcBorders>
            <w:noWrap w:val="0"/>
            <w:vAlign w:val="center"/>
          </w:tcPr>
          <w:p w14:paraId="4E6FCFB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4287.58</w:t>
            </w:r>
          </w:p>
        </w:tc>
        <w:tc>
          <w:tcPr>
            <w:tcW w:w="1158" w:type="dxa"/>
            <w:tcBorders>
              <w:top w:val="nil"/>
              <w:left w:val="nil"/>
              <w:bottom w:val="single" w:color="auto" w:sz="4" w:space="0"/>
              <w:right w:val="single" w:color="auto" w:sz="4" w:space="0"/>
            </w:tcBorders>
            <w:noWrap w:val="0"/>
            <w:vAlign w:val="center"/>
          </w:tcPr>
          <w:p w14:paraId="55AF42B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4287.58</w:t>
            </w:r>
          </w:p>
        </w:tc>
        <w:tc>
          <w:tcPr>
            <w:tcW w:w="814" w:type="dxa"/>
            <w:tcBorders>
              <w:top w:val="nil"/>
              <w:left w:val="nil"/>
              <w:bottom w:val="single" w:color="auto" w:sz="4" w:space="0"/>
              <w:right w:val="single" w:color="auto" w:sz="4" w:space="0"/>
            </w:tcBorders>
            <w:noWrap w:val="0"/>
            <w:vAlign w:val="center"/>
          </w:tcPr>
          <w:p w14:paraId="47F7328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1" w:type="dxa"/>
            <w:tcBorders>
              <w:top w:val="nil"/>
              <w:left w:val="nil"/>
              <w:bottom w:val="single" w:color="auto" w:sz="4" w:space="0"/>
              <w:right w:val="single" w:color="auto" w:sz="4" w:space="0"/>
            </w:tcBorders>
            <w:noWrap w:val="0"/>
            <w:vAlign w:val="center"/>
          </w:tcPr>
          <w:p w14:paraId="2B2F137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2" w:type="dxa"/>
            <w:tcBorders>
              <w:top w:val="nil"/>
              <w:left w:val="nil"/>
              <w:bottom w:val="single" w:color="auto" w:sz="4" w:space="0"/>
              <w:right w:val="single" w:color="auto" w:sz="4" w:space="0"/>
            </w:tcBorders>
            <w:noWrap w:val="0"/>
            <w:vAlign w:val="center"/>
          </w:tcPr>
          <w:p w14:paraId="28A19F3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01D4F66">
        <w:tblPrEx>
          <w:tblCellMar>
            <w:top w:w="0" w:type="dxa"/>
            <w:left w:w="108" w:type="dxa"/>
            <w:bottom w:w="0" w:type="dxa"/>
            <w:right w:w="108" w:type="dxa"/>
          </w:tblCellMar>
        </w:tblPrEx>
        <w:trPr>
          <w:jc w:val="center"/>
        </w:trPr>
        <w:tc>
          <w:tcPr>
            <w:tcW w:w="1058" w:type="dxa"/>
            <w:vMerge w:val="restart"/>
            <w:tcBorders>
              <w:top w:val="nil"/>
              <w:left w:val="single" w:color="auto" w:sz="4" w:space="0"/>
              <w:bottom w:val="single" w:color="000000" w:sz="4" w:space="0"/>
              <w:right w:val="single" w:color="auto" w:sz="4" w:space="0"/>
            </w:tcBorders>
            <w:noWrap w:val="0"/>
            <w:vAlign w:val="center"/>
          </w:tcPr>
          <w:p w14:paraId="6179ACD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88" w:type="dxa"/>
            <w:gridSpan w:val="4"/>
            <w:tcBorders>
              <w:top w:val="single" w:color="auto" w:sz="4" w:space="0"/>
              <w:left w:val="nil"/>
              <w:bottom w:val="single" w:color="auto" w:sz="4" w:space="0"/>
              <w:right w:val="single" w:color="000000" w:sz="4" w:space="0"/>
            </w:tcBorders>
            <w:noWrap w:val="0"/>
            <w:vAlign w:val="center"/>
          </w:tcPr>
          <w:p w14:paraId="575383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05" w:type="dxa"/>
            <w:gridSpan w:val="4"/>
            <w:tcBorders>
              <w:top w:val="single" w:color="auto" w:sz="4" w:space="0"/>
              <w:left w:val="nil"/>
              <w:bottom w:val="single" w:color="auto" w:sz="4" w:space="0"/>
              <w:right w:val="single" w:color="auto" w:sz="4" w:space="0"/>
            </w:tcBorders>
            <w:noWrap w:val="0"/>
            <w:vAlign w:val="center"/>
          </w:tcPr>
          <w:p w14:paraId="0ED37B3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01299D70">
        <w:tblPrEx>
          <w:tblCellMar>
            <w:top w:w="0" w:type="dxa"/>
            <w:left w:w="108" w:type="dxa"/>
            <w:bottom w:w="0" w:type="dxa"/>
            <w:right w:w="108" w:type="dxa"/>
          </w:tblCellMar>
        </w:tblPrEx>
        <w:trPr>
          <w:trHeight w:val="620" w:hRule="atLeast"/>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2859AD1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88" w:type="dxa"/>
            <w:gridSpan w:val="4"/>
            <w:tcBorders>
              <w:top w:val="single" w:color="auto" w:sz="4" w:space="0"/>
              <w:left w:val="nil"/>
              <w:bottom w:val="single" w:color="auto" w:sz="4" w:space="0"/>
              <w:right w:val="single" w:color="000000" w:sz="4" w:space="0"/>
            </w:tcBorders>
            <w:shd w:val="clear" w:color="auto" w:fill="auto"/>
            <w:noWrap w:val="0"/>
            <w:vAlign w:val="center"/>
          </w:tcPr>
          <w:p w14:paraId="02FF3E5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收购</w:t>
            </w:r>
            <w:r>
              <w:rPr>
                <w:rFonts w:hint="eastAsia" w:ascii="仿宋_GB2312" w:hAnsi="仿宋_GB2312" w:eastAsia="仿宋_GB2312" w:cs="仿宋_GB2312"/>
                <w:color w:val="000000"/>
                <w:sz w:val="20"/>
                <w:szCs w:val="20"/>
                <w:highlight w:val="none"/>
                <w:lang w:val="en-US" w:eastAsia="zh-CN"/>
              </w:rPr>
              <w:t>恒大养生谷129套存量商品房作为保障性住房，暂按3000元/㎡的价格，签订收购框架协议，并支付相应的房款。</w:t>
            </w:r>
          </w:p>
        </w:tc>
        <w:tc>
          <w:tcPr>
            <w:tcW w:w="4205" w:type="dxa"/>
            <w:gridSpan w:val="4"/>
            <w:tcBorders>
              <w:top w:val="single" w:color="auto" w:sz="4" w:space="0"/>
              <w:left w:val="nil"/>
              <w:bottom w:val="single" w:color="auto" w:sz="4" w:space="0"/>
              <w:right w:val="single" w:color="auto" w:sz="4" w:space="0"/>
            </w:tcBorders>
            <w:shd w:val="clear" w:color="auto" w:fill="auto"/>
            <w:noWrap w:val="0"/>
            <w:vAlign w:val="center"/>
          </w:tcPr>
          <w:p w14:paraId="7C09C67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已</w:t>
            </w:r>
            <w:r>
              <w:rPr>
                <w:rFonts w:hint="eastAsia" w:ascii="仿宋_GB2312" w:hAnsi="仿宋_GB2312" w:eastAsia="仿宋_GB2312" w:cs="仿宋_GB2312"/>
                <w:color w:val="000000"/>
                <w:sz w:val="20"/>
                <w:szCs w:val="20"/>
                <w:highlight w:val="none"/>
                <w:lang w:eastAsia="zh-CN"/>
              </w:rPr>
              <w:t>签订收购框架协议，</w:t>
            </w:r>
            <w:r>
              <w:rPr>
                <w:rFonts w:hint="eastAsia" w:ascii="仿宋_GB2312" w:hAnsi="仿宋_GB2312" w:eastAsia="仿宋_GB2312" w:cs="仿宋_GB2312"/>
                <w:color w:val="000000"/>
                <w:sz w:val="20"/>
                <w:szCs w:val="20"/>
                <w:highlight w:val="none"/>
                <w:lang w:val="en-US" w:eastAsia="zh-CN"/>
              </w:rPr>
              <w:t>并支付房款4287.58万元，</w:t>
            </w:r>
            <w:r>
              <w:rPr>
                <w:rFonts w:hint="eastAsia" w:ascii="仿宋_GB2312" w:hAnsi="仿宋_GB2312" w:eastAsia="仿宋_GB2312" w:cs="仿宋_GB2312"/>
                <w:color w:val="000000"/>
                <w:sz w:val="20"/>
                <w:szCs w:val="20"/>
                <w:highlight w:val="none"/>
                <w:lang w:eastAsia="zh-CN"/>
              </w:rPr>
              <w:t>最终收购价格</w:t>
            </w:r>
            <w:r>
              <w:rPr>
                <w:rFonts w:hint="eastAsia" w:ascii="仿宋_GB2312" w:hAnsi="仿宋_GB2312" w:eastAsia="仿宋_GB2312" w:cs="仿宋_GB2312"/>
                <w:color w:val="000000"/>
                <w:sz w:val="20"/>
                <w:szCs w:val="20"/>
                <w:highlight w:val="none"/>
                <w:lang w:val="en-US" w:eastAsia="zh-CN"/>
              </w:rPr>
              <w:t>后续由专业机构进行</w:t>
            </w:r>
            <w:r>
              <w:rPr>
                <w:rFonts w:hint="eastAsia" w:ascii="仿宋_GB2312" w:hAnsi="仿宋_GB2312" w:eastAsia="仿宋_GB2312" w:cs="仿宋_GB2312"/>
                <w:color w:val="000000"/>
                <w:sz w:val="20"/>
                <w:szCs w:val="20"/>
                <w:highlight w:val="none"/>
                <w:lang w:eastAsia="zh-CN"/>
              </w:rPr>
              <w:t>评审</w:t>
            </w:r>
            <w:r>
              <w:rPr>
                <w:rFonts w:hint="eastAsia" w:ascii="仿宋_GB2312" w:hAnsi="仿宋_GB2312" w:eastAsia="仿宋_GB2312" w:cs="仿宋_GB2312"/>
                <w:color w:val="000000"/>
                <w:sz w:val="20"/>
                <w:szCs w:val="20"/>
                <w:highlight w:val="none"/>
                <w:lang w:val="en-US" w:eastAsia="zh-CN"/>
              </w:rPr>
              <w:t>确定</w:t>
            </w:r>
            <w:r>
              <w:rPr>
                <w:rFonts w:hint="eastAsia" w:ascii="仿宋_GB2312" w:hAnsi="仿宋_GB2312" w:eastAsia="仿宋_GB2312" w:cs="仿宋_GB2312"/>
                <w:color w:val="000000"/>
                <w:sz w:val="20"/>
                <w:szCs w:val="20"/>
                <w:highlight w:val="none"/>
                <w:lang w:eastAsia="zh-CN"/>
              </w:rPr>
              <w:t>。</w:t>
            </w:r>
          </w:p>
        </w:tc>
      </w:tr>
      <w:tr w14:paraId="26DB30E3">
        <w:tblPrEx>
          <w:tblCellMar>
            <w:top w:w="0" w:type="dxa"/>
            <w:left w:w="108" w:type="dxa"/>
            <w:bottom w:w="0" w:type="dxa"/>
            <w:right w:w="108" w:type="dxa"/>
          </w:tblCellMar>
        </w:tblPrEx>
        <w:trPr>
          <w:jc w:val="center"/>
        </w:trPr>
        <w:tc>
          <w:tcPr>
            <w:tcW w:w="1058" w:type="dxa"/>
            <w:vMerge w:val="restart"/>
            <w:tcBorders>
              <w:top w:val="nil"/>
              <w:left w:val="single" w:color="auto" w:sz="4" w:space="0"/>
              <w:right w:val="single" w:color="auto" w:sz="4" w:space="0"/>
            </w:tcBorders>
            <w:noWrap w:val="0"/>
            <w:vAlign w:val="center"/>
          </w:tcPr>
          <w:p w14:paraId="719CB9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7F81DF5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25D49FB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11A8BD5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65" w:type="dxa"/>
            <w:tcBorders>
              <w:top w:val="nil"/>
              <w:left w:val="nil"/>
              <w:bottom w:val="single" w:color="000000" w:sz="4" w:space="0"/>
              <w:right w:val="single" w:color="auto" w:sz="4" w:space="0"/>
            </w:tcBorders>
            <w:noWrap w:val="0"/>
            <w:vAlign w:val="center"/>
          </w:tcPr>
          <w:p w14:paraId="4B41165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53" w:type="dxa"/>
            <w:tcBorders>
              <w:top w:val="nil"/>
              <w:left w:val="nil"/>
              <w:bottom w:val="single" w:color="000000" w:sz="4" w:space="0"/>
              <w:right w:val="single" w:color="auto" w:sz="4" w:space="0"/>
            </w:tcBorders>
            <w:noWrap w:val="0"/>
            <w:vAlign w:val="center"/>
          </w:tcPr>
          <w:p w14:paraId="6E95DC7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306" w:type="dxa"/>
            <w:tcBorders>
              <w:top w:val="nil"/>
              <w:left w:val="nil"/>
              <w:bottom w:val="single" w:color="000000" w:sz="4" w:space="0"/>
              <w:right w:val="single" w:color="auto" w:sz="4" w:space="0"/>
            </w:tcBorders>
            <w:noWrap w:val="0"/>
            <w:vAlign w:val="center"/>
          </w:tcPr>
          <w:p w14:paraId="6776EC6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64" w:type="dxa"/>
            <w:tcBorders>
              <w:top w:val="nil"/>
              <w:left w:val="nil"/>
              <w:bottom w:val="single" w:color="auto" w:sz="4" w:space="0"/>
              <w:right w:val="single" w:color="auto" w:sz="4" w:space="0"/>
            </w:tcBorders>
            <w:noWrap w:val="0"/>
            <w:vAlign w:val="center"/>
          </w:tcPr>
          <w:p w14:paraId="22506E4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3736E73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58" w:type="dxa"/>
            <w:tcBorders>
              <w:top w:val="nil"/>
              <w:left w:val="nil"/>
              <w:bottom w:val="single" w:color="auto" w:sz="4" w:space="0"/>
              <w:right w:val="single" w:color="auto" w:sz="4" w:space="0"/>
            </w:tcBorders>
            <w:noWrap w:val="0"/>
            <w:vAlign w:val="center"/>
          </w:tcPr>
          <w:p w14:paraId="4F7EA2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706E239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14" w:type="dxa"/>
            <w:tcBorders>
              <w:top w:val="nil"/>
              <w:left w:val="nil"/>
              <w:bottom w:val="single" w:color="auto" w:sz="4" w:space="0"/>
              <w:right w:val="single" w:color="auto" w:sz="4" w:space="0"/>
            </w:tcBorders>
            <w:noWrap w:val="0"/>
            <w:vAlign w:val="center"/>
          </w:tcPr>
          <w:p w14:paraId="4DFE39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61" w:type="dxa"/>
            <w:tcBorders>
              <w:top w:val="nil"/>
              <w:left w:val="nil"/>
              <w:bottom w:val="single" w:color="auto" w:sz="4" w:space="0"/>
              <w:right w:val="single" w:color="auto" w:sz="4" w:space="0"/>
            </w:tcBorders>
            <w:noWrap w:val="0"/>
            <w:vAlign w:val="center"/>
          </w:tcPr>
          <w:p w14:paraId="4C0760F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72" w:type="dxa"/>
            <w:tcBorders>
              <w:top w:val="nil"/>
              <w:left w:val="nil"/>
              <w:bottom w:val="single" w:color="auto" w:sz="4" w:space="0"/>
              <w:right w:val="single" w:color="auto" w:sz="4" w:space="0"/>
            </w:tcBorders>
            <w:noWrap w:val="0"/>
            <w:vAlign w:val="center"/>
          </w:tcPr>
          <w:p w14:paraId="09A4046C">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5FB3E49A">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14:paraId="3840EF5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restart"/>
            <w:tcBorders>
              <w:top w:val="single" w:color="000000" w:sz="4" w:space="0"/>
              <w:left w:val="single" w:color="000000" w:sz="4" w:space="0"/>
              <w:bottom w:val="single" w:color="000000" w:sz="4" w:space="0"/>
              <w:right w:val="single" w:color="000000" w:sz="4" w:space="0"/>
            </w:tcBorders>
            <w:noWrap w:val="0"/>
            <w:vAlign w:val="center"/>
          </w:tcPr>
          <w:p w14:paraId="0DC633C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15E7F3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31388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53" w:type="dxa"/>
            <w:tcBorders>
              <w:top w:val="single" w:color="000000" w:sz="4" w:space="0"/>
              <w:left w:val="single" w:color="000000" w:sz="4" w:space="0"/>
              <w:bottom w:val="single" w:color="000000" w:sz="4" w:space="0"/>
              <w:right w:val="single" w:color="auto" w:sz="4" w:space="0"/>
            </w:tcBorders>
            <w:noWrap w:val="0"/>
            <w:vAlign w:val="center"/>
          </w:tcPr>
          <w:p w14:paraId="66D3E4C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306" w:type="dxa"/>
            <w:tcBorders>
              <w:top w:val="single" w:color="000000" w:sz="4" w:space="0"/>
              <w:left w:val="nil"/>
              <w:bottom w:val="single" w:color="000000" w:sz="4" w:space="0"/>
              <w:right w:val="single" w:color="000000" w:sz="4" w:space="0"/>
            </w:tcBorders>
            <w:noWrap w:val="0"/>
            <w:vAlign w:val="center"/>
          </w:tcPr>
          <w:p w14:paraId="14989B5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收购存量商品房</w:t>
            </w:r>
            <w:r>
              <w:rPr>
                <w:rFonts w:hint="eastAsia" w:ascii="仿宋_GB2312" w:hAnsi="仿宋_GB2312" w:eastAsia="仿宋_GB2312" w:cs="仿宋_GB2312"/>
                <w:color w:val="000000"/>
                <w:sz w:val="20"/>
                <w:szCs w:val="20"/>
                <w:highlight w:val="none"/>
                <w:lang w:val="en-US" w:eastAsia="zh-CN"/>
              </w:rPr>
              <w:t>套数</w:t>
            </w:r>
          </w:p>
        </w:tc>
        <w:tc>
          <w:tcPr>
            <w:tcW w:w="1164" w:type="dxa"/>
            <w:tcBorders>
              <w:top w:val="nil"/>
              <w:left w:val="single" w:color="000000" w:sz="4" w:space="0"/>
              <w:bottom w:val="single" w:color="auto" w:sz="4" w:space="0"/>
              <w:right w:val="single" w:color="auto" w:sz="4" w:space="0"/>
            </w:tcBorders>
            <w:noWrap w:val="0"/>
            <w:vAlign w:val="center"/>
          </w:tcPr>
          <w:p w14:paraId="4FC7FE4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12</w:t>
            </w:r>
            <w:r>
              <w:rPr>
                <w:rFonts w:hint="eastAsia" w:ascii="仿宋_GB2312" w:hAnsi="仿宋_GB2312" w:eastAsia="仿宋_GB2312" w:cs="仿宋_GB2312"/>
                <w:color w:val="000000"/>
                <w:sz w:val="20"/>
                <w:szCs w:val="20"/>
                <w:highlight w:val="none"/>
                <w:lang w:val="en-US" w:eastAsia="zh-CN"/>
              </w:rPr>
              <w:t>9套</w:t>
            </w:r>
          </w:p>
        </w:tc>
        <w:tc>
          <w:tcPr>
            <w:tcW w:w="1158" w:type="dxa"/>
            <w:tcBorders>
              <w:top w:val="nil"/>
              <w:left w:val="nil"/>
              <w:bottom w:val="single" w:color="auto" w:sz="4" w:space="0"/>
              <w:right w:val="single" w:color="auto" w:sz="4" w:space="0"/>
            </w:tcBorders>
            <w:noWrap w:val="0"/>
            <w:vAlign w:val="center"/>
          </w:tcPr>
          <w:p w14:paraId="3330A39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12</w:t>
            </w:r>
            <w:r>
              <w:rPr>
                <w:rFonts w:hint="eastAsia" w:ascii="仿宋_GB2312" w:hAnsi="仿宋_GB2312" w:eastAsia="仿宋_GB2312" w:cs="仿宋_GB2312"/>
                <w:color w:val="000000"/>
                <w:sz w:val="20"/>
                <w:szCs w:val="20"/>
                <w:highlight w:val="none"/>
                <w:lang w:val="en-US" w:eastAsia="zh-CN"/>
              </w:rPr>
              <w:t>9套</w:t>
            </w:r>
          </w:p>
        </w:tc>
        <w:tc>
          <w:tcPr>
            <w:tcW w:w="814" w:type="dxa"/>
            <w:tcBorders>
              <w:top w:val="nil"/>
              <w:left w:val="nil"/>
              <w:bottom w:val="single" w:color="auto" w:sz="4" w:space="0"/>
              <w:right w:val="single" w:color="auto" w:sz="4" w:space="0"/>
            </w:tcBorders>
            <w:shd w:val="clear" w:color="auto" w:fill="auto"/>
            <w:noWrap w:val="0"/>
            <w:vAlign w:val="center"/>
          </w:tcPr>
          <w:p w14:paraId="68F9AA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w:t>
            </w:r>
          </w:p>
        </w:tc>
        <w:tc>
          <w:tcPr>
            <w:tcW w:w="861" w:type="dxa"/>
            <w:tcBorders>
              <w:top w:val="nil"/>
              <w:left w:val="nil"/>
              <w:bottom w:val="single" w:color="auto" w:sz="4" w:space="0"/>
              <w:right w:val="single" w:color="auto" w:sz="4" w:space="0"/>
            </w:tcBorders>
            <w:noWrap w:val="0"/>
            <w:vAlign w:val="center"/>
          </w:tcPr>
          <w:p w14:paraId="28BEBC4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372" w:type="dxa"/>
            <w:tcBorders>
              <w:top w:val="nil"/>
              <w:left w:val="nil"/>
              <w:bottom w:val="single" w:color="auto" w:sz="4" w:space="0"/>
              <w:right w:val="single" w:color="auto" w:sz="4" w:space="0"/>
            </w:tcBorders>
            <w:noWrap w:val="0"/>
            <w:vAlign w:val="center"/>
          </w:tcPr>
          <w:p w14:paraId="462403E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14:paraId="498792A3">
        <w:tblPrEx>
          <w:tblCellMar>
            <w:top w:w="0" w:type="dxa"/>
            <w:left w:w="108" w:type="dxa"/>
            <w:bottom w:w="0" w:type="dxa"/>
            <w:right w:w="108" w:type="dxa"/>
          </w:tblCellMar>
        </w:tblPrEx>
        <w:trPr>
          <w:trHeight w:val="510" w:hRule="atLeast"/>
          <w:jc w:val="center"/>
        </w:trPr>
        <w:tc>
          <w:tcPr>
            <w:tcW w:w="1058" w:type="dxa"/>
            <w:vMerge w:val="continue"/>
            <w:tcBorders>
              <w:left w:val="single" w:color="auto" w:sz="4" w:space="0"/>
              <w:right w:val="single" w:color="000000" w:sz="4" w:space="0"/>
            </w:tcBorders>
            <w:noWrap w:val="0"/>
            <w:vAlign w:val="center"/>
          </w:tcPr>
          <w:p w14:paraId="535E27A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155B6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000000" w:sz="4" w:space="0"/>
              <w:left w:val="single" w:color="000000" w:sz="4" w:space="0"/>
              <w:bottom w:val="single" w:color="000000" w:sz="4" w:space="0"/>
              <w:right w:val="single" w:color="auto" w:sz="4" w:space="0"/>
            </w:tcBorders>
            <w:noWrap w:val="0"/>
            <w:vAlign w:val="center"/>
          </w:tcPr>
          <w:p w14:paraId="1FF57D6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306" w:type="dxa"/>
            <w:tcBorders>
              <w:top w:val="single" w:color="000000" w:sz="4" w:space="0"/>
              <w:left w:val="nil"/>
              <w:bottom w:val="single" w:color="000000" w:sz="4" w:space="0"/>
              <w:right w:val="single" w:color="000000" w:sz="4" w:space="0"/>
            </w:tcBorders>
            <w:noWrap w:val="0"/>
            <w:vAlign w:val="center"/>
          </w:tcPr>
          <w:p w14:paraId="772C3BB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房源为恒大公司自有产权住宅</w:t>
            </w:r>
          </w:p>
        </w:tc>
        <w:tc>
          <w:tcPr>
            <w:tcW w:w="1164" w:type="dxa"/>
            <w:tcBorders>
              <w:top w:val="nil"/>
              <w:left w:val="single" w:color="000000" w:sz="4" w:space="0"/>
              <w:bottom w:val="single" w:color="auto" w:sz="4" w:space="0"/>
              <w:right w:val="single" w:color="auto" w:sz="4" w:space="0"/>
            </w:tcBorders>
            <w:noWrap w:val="0"/>
            <w:vAlign w:val="center"/>
          </w:tcPr>
          <w:p w14:paraId="1A6AA20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房源无产权纠纷、未抵押、未被查封、未冻结</w:t>
            </w:r>
          </w:p>
        </w:tc>
        <w:tc>
          <w:tcPr>
            <w:tcW w:w="1158" w:type="dxa"/>
            <w:tcBorders>
              <w:top w:val="nil"/>
              <w:left w:val="nil"/>
              <w:bottom w:val="single" w:color="auto" w:sz="4" w:space="0"/>
              <w:right w:val="single" w:color="auto" w:sz="4" w:space="0"/>
            </w:tcBorders>
            <w:noWrap w:val="0"/>
            <w:vAlign w:val="center"/>
          </w:tcPr>
          <w:p w14:paraId="55553FB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房源无产权纠纷、未抵押、未被查封、未冻结</w:t>
            </w:r>
          </w:p>
        </w:tc>
        <w:tc>
          <w:tcPr>
            <w:tcW w:w="814" w:type="dxa"/>
            <w:tcBorders>
              <w:top w:val="nil"/>
              <w:left w:val="nil"/>
              <w:bottom w:val="single" w:color="auto" w:sz="4" w:space="0"/>
              <w:right w:val="single" w:color="auto" w:sz="4" w:space="0"/>
            </w:tcBorders>
            <w:shd w:val="clear" w:color="auto" w:fill="auto"/>
            <w:noWrap w:val="0"/>
            <w:vAlign w:val="center"/>
          </w:tcPr>
          <w:p w14:paraId="6FB2D8D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nil"/>
              <w:left w:val="nil"/>
              <w:bottom w:val="single" w:color="auto" w:sz="4" w:space="0"/>
              <w:right w:val="single" w:color="auto" w:sz="4" w:space="0"/>
            </w:tcBorders>
            <w:noWrap w:val="0"/>
            <w:vAlign w:val="center"/>
          </w:tcPr>
          <w:p w14:paraId="4036C82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nil"/>
              <w:left w:val="nil"/>
              <w:bottom w:val="single" w:color="auto" w:sz="4" w:space="0"/>
              <w:right w:val="single" w:color="auto" w:sz="4" w:space="0"/>
            </w:tcBorders>
            <w:noWrap w:val="0"/>
            <w:vAlign w:val="center"/>
          </w:tcPr>
          <w:p w14:paraId="14DF60D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14:paraId="30A92C64">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14:paraId="2DD766E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5717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000000" w:sz="4" w:space="0"/>
              <w:left w:val="single" w:color="000000" w:sz="4" w:space="0"/>
              <w:bottom w:val="single" w:color="000000" w:sz="4" w:space="0"/>
              <w:right w:val="single" w:color="auto" w:sz="4" w:space="0"/>
            </w:tcBorders>
            <w:noWrap w:val="0"/>
            <w:vAlign w:val="center"/>
          </w:tcPr>
          <w:p w14:paraId="17D5B85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306" w:type="dxa"/>
            <w:tcBorders>
              <w:top w:val="single" w:color="000000" w:sz="4" w:space="0"/>
              <w:left w:val="nil"/>
              <w:bottom w:val="single" w:color="000000" w:sz="4" w:space="0"/>
              <w:right w:val="single" w:color="000000" w:sz="4" w:space="0"/>
            </w:tcBorders>
            <w:noWrap w:val="0"/>
            <w:vAlign w:val="center"/>
          </w:tcPr>
          <w:p w14:paraId="01DB981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签订收购框架协议时间</w:t>
            </w:r>
          </w:p>
        </w:tc>
        <w:tc>
          <w:tcPr>
            <w:tcW w:w="1164" w:type="dxa"/>
            <w:tcBorders>
              <w:top w:val="nil"/>
              <w:left w:val="single" w:color="000000" w:sz="4" w:space="0"/>
              <w:bottom w:val="single" w:color="auto" w:sz="4" w:space="0"/>
              <w:right w:val="single" w:color="auto" w:sz="4" w:space="0"/>
            </w:tcBorders>
            <w:noWrap w:val="0"/>
            <w:vAlign w:val="center"/>
          </w:tcPr>
          <w:p w14:paraId="47EC342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2025.12.31日前</w:t>
            </w:r>
          </w:p>
        </w:tc>
        <w:tc>
          <w:tcPr>
            <w:tcW w:w="1158" w:type="dxa"/>
            <w:tcBorders>
              <w:top w:val="nil"/>
              <w:left w:val="nil"/>
              <w:bottom w:val="single" w:color="auto" w:sz="4" w:space="0"/>
              <w:right w:val="single" w:color="auto" w:sz="4" w:space="0"/>
            </w:tcBorders>
            <w:noWrap w:val="0"/>
            <w:vAlign w:val="center"/>
          </w:tcPr>
          <w:p w14:paraId="4B2C4C2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2025.12.31日前</w:t>
            </w:r>
          </w:p>
        </w:tc>
        <w:tc>
          <w:tcPr>
            <w:tcW w:w="814" w:type="dxa"/>
            <w:tcBorders>
              <w:top w:val="nil"/>
              <w:left w:val="nil"/>
              <w:bottom w:val="single" w:color="auto" w:sz="4" w:space="0"/>
              <w:right w:val="single" w:color="auto" w:sz="4" w:space="0"/>
            </w:tcBorders>
            <w:shd w:val="clear" w:color="auto" w:fill="auto"/>
            <w:noWrap w:val="0"/>
            <w:vAlign w:val="center"/>
          </w:tcPr>
          <w:p w14:paraId="27B8EC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nil"/>
              <w:left w:val="nil"/>
              <w:bottom w:val="single" w:color="auto" w:sz="4" w:space="0"/>
              <w:right w:val="single" w:color="auto" w:sz="4" w:space="0"/>
            </w:tcBorders>
            <w:noWrap w:val="0"/>
            <w:vAlign w:val="center"/>
          </w:tcPr>
          <w:p w14:paraId="673EFD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nil"/>
              <w:left w:val="nil"/>
              <w:bottom w:val="single" w:color="auto" w:sz="4" w:space="0"/>
              <w:right w:val="single" w:color="auto" w:sz="4" w:space="0"/>
            </w:tcBorders>
            <w:noWrap w:val="0"/>
            <w:vAlign w:val="center"/>
          </w:tcPr>
          <w:p w14:paraId="190B6B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14:paraId="48378310">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14:paraId="717B7E6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594E7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000000" w:sz="4" w:space="0"/>
              <w:left w:val="single" w:color="000000" w:sz="4" w:space="0"/>
              <w:bottom w:val="single" w:color="000000" w:sz="4" w:space="0"/>
              <w:right w:val="single" w:color="auto" w:sz="4" w:space="0"/>
            </w:tcBorders>
            <w:noWrap w:val="0"/>
            <w:vAlign w:val="center"/>
          </w:tcPr>
          <w:p w14:paraId="2E52BE1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306" w:type="dxa"/>
            <w:tcBorders>
              <w:top w:val="single" w:color="000000" w:sz="4" w:space="0"/>
              <w:left w:val="nil"/>
              <w:bottom w:val="single" w:color="000000" w:sz="4" w:space="0"/>
              <w:right w:val="single" w:color="000000" w:sz="4" w:space="0"/>
            </w:tcBorders>
            <w:noWrap w:val="0"/>
            <w:vAlign w:val="center"/>
          </w:tcPr>
          <w:p w14:paraId="40E8D42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暂定收购单价</w:t>
            </w:r>
          </w:p>
        </w:tc>
        <w:tc>
          <w:tcPr>
            <w:tcW w:w="1164" w:type="dxa"/>
            <w:tcBorders>
              <w:top w:val="nil"/>
              <w:left w:val="single" w:color="000000" w:sz="4" w:space="0"/>
              <w:bottom w:val="single" w:color="auto" w:sz="4" w:space="0"/>
              <w:right w:val="single" w:color="auto" w:sz="4" w:space="0"/>
            </w:tcBorders>
            <w:noWrap w:val="0"/>
            <w:vAlign w:val="center"/>
          </w:tcPr>
          <w:p w14:paraId="7B6CFF2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3000元/㎡</w:t>
            </w:r>
          </w:p>
        </w:tc>
        <w:tc>
          <w:tcPr>
            <w:tcW w:w="1158" w:type="dxa"/>
            <w:tcBorders>
              <w:top w:val="nil"/>
              <w:left w:val="nil"/>
              <w:bottom w:val="single" w:color="auto" w:sz="4" w:space="0"/>
              <w:right w:val="single" w:color="auto" w:sz="4" w:space="0"/>
            </w:tcBorders>
            <w:noWrap w:val="0"/>
            <w:vAlign w:val="center"/>
          </w:tcPr>
          <w:p w14:paraId="5963C1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3000元/㎡</w:t>
            </w:r>
          </w:p>
        </w:tc>
        <w:tc>
          <w:tcPr>
            <w:tcW w:w="814" w:type="dxa"/>
            <w:tcBorders>
              <w:top w:val="nil"/>
              <w:left w:val="nil"/>
              <w:bottom w:val="single" w:color="auto" w:sz="4" w:space="0"/>
              <w:right w:val="single" w:color="auto" w:sz="4" w:space="0"/>
            </w:tcBorders>
            <w:shd w:val="clear" w:color="auto" w:fill="auto"/>
            <w:noWrap w:val="0"/>
            <w:vAlign w:val="center"/>
          </w:tcPr>
          <w:p w14:paraId="70FFCB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nil"/>
              <w:left w:val="nil"/>
              <w:bottom w:val="single" w:color="auto" w:sz="4" w:space="0"/>
              <w:right w:val="single" w:color="auto" w:sz="4" w:space="0"/>
            </w:tcBorders>
            <w:noWrap w:val="0"/>
            <w:vAlign w:val="center"/>
          </w:tcPr>
          <w:p w14:paraId="56E3CDA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nil"/>
              <w:left w:val="nil"/>
              <w:bottom w:val="single" w:color="auto" w:sz="4" w:space="0"/>
              <w:right w:val="single" w:color="auto" w:sz="4" w:space="0"/>
            </w:tcBorders>
            <w:noWrap w:val="0"/>
            <w:vAlign w:val="center"/>
          </w:tcPr>
          <w:p w14:paraId="5DD5943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14:paraId="011BF8F2">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14:paraId="0292D47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CE3C5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38C7588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796F7FD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60D20FD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53" w:type="dxa"/>
            <w:tcBorders>
              <w:top w:val="single" w:color="000000" w:sz="4" w:space="0"/>
              <w:left w:val="single" w:color="000000" w:sz="4" w:space="0"/>
              <w:bottom w:val="single" w:color="000000" w:sz="4" w:space="0"/>
              <w:right w:val="single" w:color="auto" w:sz="4" w:space="0"/>
            </w:tcBorders>
            <w:noWrap w:val="0"/>
            <w:vAlign w:val="center"/>
          </w:tcPr>
          <w:p w14:paraId="59E735A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653A26E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06" w:type="dxa"/>
            <w:tcBorders>
              <w:top w:val="single" w:color="000000" w:sz="4" w:space="0"/>
              <w:left w:val="nil"/>
              <w:bottom w:val="single" w:color="000000" w:sz="4" w:space="0"/>
              <w:right w:val="single" w:color="000000" w:sz="4" w:space="0"/>
            </w:tcBorders>
            <w:noWrap w:val="0"/>
            <w:vAlign w:val="center"/>
          </w:tcPr>
          <w:p w14:paraId="4B3BC2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164" w:type="dxa"/>
            <w:tcBorders>
              <w:top w:val="nil"/>
              <w:left w:val="single" w:color="000000" w:sz="4" w:space="0"/>
              <w:bottom w:val="single" w:color="auto" w:sz="4" w:space="0"/>
              <w:right w:val="single" w:color="auto" w:sz="4" w:space="0"/>
            </w:tcBorders>
            <w:noWrap w:val="0"/>
            <w:vAlign w:val="center"/>
          </w:tcPr>
          <w:p w14:paraId="7D1D96C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58" w:type="dxa"/>
            <w:tcBorders>
              <w:top w:val="nil"/>
              <w:left w:val="nil"/>
              <w:bottom w:val="single" w:color="auto" w:sz="4" w:space="0"/>
              <w:right w:val="single" w:color="auto" w:sz="4" w:space="0"/>
            </w:tcBorders>
            <w:noWrap w:val="0"/>
            <w:vAlign w:val="center"/>
          </w:tcPr>
          <w:p w14:paraId="4629CC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14" w:type="dxa"/>
            <w:tcBorders>
              <w:top w:val="nil"/>
              <w:left w:val="nil"/>
              <w:bottom w:val="single" w:color="auto" w:sz="4" w:space="0"/>
              <w:right w:val="single" w:color="auto" w:sz="4" w:space="0"/>
            </w:tcBorders>
            <w:shd w:val="clear" w:color="auto" w:fill="auto"/>
            <w:noWrap w:val="0"/>
            <w:vAlign w:val="center"/>
          </w:tcPr>
          <w:p w14:paraId="60DD8F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p>
        </w:tc>
        <w:tc>
          <w:tcPr>
            <w:tcW w:w="861" w:type="dxa"/>
            <w:tcBorders>
              <w:top w:val="nil"/>
              <w:left w:val="nil"/>
              <w:bottom w:val="single" w:color="auto" w:sz="4" w:space="0"/>
              <w:right w:val="single" w:color="auto" w:sz="4" w:space="0"/>
            </w:tcBorders>
            <w:noWrap w:val="0"/>
            <w:vAlign w:val="center"/>
          </w:tcPr>
          <w:p w14:paraId="605FC0B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72" w:type="dxa"/>
            <w:tcBorders>
              <w:top w:val="nil"/>
              <w:left w:val="nil"/>
              <w:bottom w:val="single" w:color="auto" w:sz="4" w:space="0"/>
              <w:right w:val="single" w:color="auto" w:sz="4" w:space="0"/>
            </w:tcBorders>
            <w:noWrap w:val="0"/>
            <w:vAlign w:val="center"/>
          </w:tcPr>
          <w:p w14:paraId="2F4B566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7458E81">
        <w:tblPrEx>
          <w:tblCellMar>
            <w:top w:w="0" w:type="dxa"/>
            <w:left w:w="108" w:type="dxa"/>
            <w:bottom w:w="0" w:type="dxa"/>
            <w:right w:w="108" w:type="dxa"/>
          </w:tblCellMar>
        </w:tblPrEx>
        <w:trPr>
          <w:trHeight w:val="1394" w:hRule="atLeast"/>
          <w:jc w:val="center"/>
        </w:trPr>
        <w:tc>
          <w:tcPr>
            <w:tcW w:w="1058" w:type="dxa"/>
            <w:vMerge w:val="continue"/>
            <w:tcBorders>
              <w:left w:val="single" w:color="auto" w:sz="4" w:space="0"/>
              <w:right w:val="single" w:color="000000" w:sz="4" w:space="0"/>
            </w:tcBorders>
            <w:noWrap w:val="0"/>
            <w:vAlign w:val="center"/>
          </w:tcPr>
          <w:p w14:paraId="39938EB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65C49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000000" w:sz="4" w:space="0"/>
              <w:left w:val="single" w:color="000000" w:sz="4" w:space="0"/>
              <w:bottom w:val="single" w:color="000000" w:sz="4" w:space="0"/>
              <w:right w:val="single" w:color="000000" w:sz="4" w:space="0"/>
            </w:tcBorders>
            <w:noWrap w:val="0"/>
            <w:vAlign w:val="center"/>
          </w:tcPr>
          <w:p w14:paraId="60B452C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574568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FE778F">
            <w:pPr>
              <w:keepNext w:val="0"/>
              <w:keepLines w:val="0"/>
              <w:widowControl/>
              <w:suppressLineNumbers w:val="0"/>
              <w:jc w:val="left"/>
              <w:textAlignment w:val="center"/>
              <w:rPr>
                <w:rFonts w:hint="default" w:ascii="仿宋_GB2312" w:hAnsi="等线" w:eastAsia="仿宋_GB2312" w:cs="仿宋_GB2312"/>
                <w:i w:val="0"/>
                <w:iCs w:val="0"/>
                <w:color w:val="000000"/>
                <w:kern w:val="0"/>
                <w:sz w:val="20"/>
                <w:szCs w:val="20"/>
                <w:u w:val="none"/>
                <w:lang w:val="en-US" w:eastAsia="zh-CN" w:bidi="ar-SA"/>
              </w:rPr>
            </w:pPr>
            <w:r>
              <w:rPr>
                <w:rFonts w:hint="default" w:ascii="仿宋_GB2312" w:hAnsi="等线" w:eastAsia="仿宋_GB2312" w:cs="仿宋_GB2312"/>
                <w:i w:val="0"/>
                <w:iCs w:val="0"/>
                <w:color w:val="000000"/>
                <w:kern w:val="0"/>
                <w:sz w:val="20"/>
                <w:szCs w:val="20"/>
                <w:u w:val="none"/>
                <w:lang w:val="en-US" w:eastAsia="zh-CN" w:bidi="ar-SA"/>
              </w:rPr>
              <w:t>盘活市场存量房源，缓解低收入家庭住房困难</w:t>
            </w:r>
          </w:p>
        </w:tc>
        <w:tc>
          <w:tcPr>
            <w:tcW w:w="1164" w:type="dxa"/>
            <w:tcBorders>
              <w:top w:val="nil"/>
              <w:left w:val="single" w:color="000000" w:sz="4" w:space="0"/>
              <w:bottom w:val="single" w:color="auto" w:sz="4" w:space="0"/>
              <w:right w:val="single" w:color="auto" w:sz="4" w:space="0"/>
            </w:tcBorders>
            <w:noWrap w:val="0"/>
            <w:vAlign w:val="center"/>
          </w:tcPr>
          <w:p w14:paraId="194FB51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盘活存量商品房建筑面积</w:t>
            </w:r>
            <w:r>
              <w:rPr>
                <w:rFonts w:hint="default" w:ascii="仿宋_GB2312" w:hAnsi="仿宋_GB2312" w:eastAsia="仿宋_GB2312" w:cs="仿宋_GB2312"/>
                <w:color w:val="000000"/>
                <w:sz w:val="20"/>
                <w:szCs w:val="20"/>
                <w:highlight w:val="none"/>
                <w:lang w:val="en-US" w:eastAsia="zh-CN"/>
              </w:rPr>
              <w:t>12425.59平米</w:t>
            </w:r>
          </w:p>
        </w:tc>
        <w:tc>
          <w:tcPr>
            <w:tcW w:w="1158" w:type="dxa"/>
            <w:tcBorders>
              <w:top w:val="nil"/>
              <w:left w:val="nil"/>
              <w:bottom w:val="single" w:color="auto" w:sz="4" w:space="0"/>
              <w:right w:val="single" w:color="auto" w:sz="4" w:space="0"/>
            </w:tcBorders>
            <w:noWrap w:val="0"/>
            <w:vAlign w:val="center"/>
          </w:tcPr>
          <w:p w14:paraId="3548201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12425.59平米</w:t>
            </w:r>
          </w:p>
        </w:tc>
        <w:tc>
          <w:tcPr>
            <w:tcW w:w="814" w:type="dxa"/>
            <w:tcBorders>
              <w:top w:val="nil"/>
              <w:left w:val="nil"/>
              <w:bottom w:val="single" w:color="auto" w:sz="4" w:space="0"/>
              <w:right w:val="single" w:color="auto" w:sz="4" w:space="0"/>
            </w:tcBorders>
            <w:shd w:val="clear" w:color="auto" w:fill="auto"/>
            <w:noWrap w:val="0"/>
            <w:vAlign w:val="center"/>
          </w:tcPr>
          <w:p w14:paraId="09709C5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61" w:type="dxa"/>
            <w:tcBorders>
              <w:top w:val="nil"/>
              <w:left w:val="nil"/>
              <w:bottom w:val="single" w:color="auto" w:sz="4" w:space="0"/>
              <w:right w:val="single" w:color="auto" w:sz="4" w:space="0"/>
            </w:tcBorders>
            <w:noWrap w:val="0"/>
            <w:vAlign w:val="center"/>
          </w:tcPr>
          <w:p w14:paraId="729823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372" w:type="dxa"/>
            <w:tcBorders>
              <w:top w:val="nil"/>
              <w:left w:val="nil"/>
              <w:bottom w:val="single" w:color="auto" w:sz="4" w:space="0"/>
              <w:right w:val="single" w:color="auto" w:sz="4" w:space="0"/>
            </w:tcBorders>
            <w:noWrap w:val="0"/>
            <w:vAlign w:val="center"/>
          </w:tcPr>
          <w:p w14:paraId="64BB1AD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14:paraId="4A745571">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14:paraId="7BBB3E1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000000" w:sz="4" w:space="0"/>
              <w:left w:val="single" w:color="000000" w:sz="4" w:space="0"/>
              <w:bottom w:val="single" w:color="000000" w:sz="4" w:space="0"/>
              <w:right w:val="single" w:color="auto" w:sz="4" w:space="0"/>
            </w:tcBorders>
            <w:noWrap w:val="0"/>
            <w:vAlign w:val="center"/>
          </w:tcPr>
          <w:p w14:paraId="644E856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000000" w:sz="4" w:space="0"/>
              <w:left w:val="nil"/>
              <w:bottom w:val="single" w:color="000000" w:sz="4" w:space="0"/>
              <w:right w:val="single" w:color="auto" w:sz="4" w:space="0"/>
            </w:tcBorders>
            <w:noWrap w:val="0"/>
            <w:vAlign w:val="center"/>
          </w:tcPr>
          <w:p w14:paraId="2406F10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3F2A15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06" w:type="dxa"/>
            <w:tcBorders>
              <w:top w:val="single" w:color="000000" w:sz="4" w:space="0"/>
              <w:left w:val="nil"/>
              <w:bottom w:val="single" w:color="auto" w:sz="4" w:space="0"/>
              <w:right w:val="single" w:color="auto" w:sz="4" w:space="0"/>
            </w:tcBorders>
            <w:noWrap w:val="0"/>
            <w:vAlign w:val="center"/>
          </w:tcPr>
          <w:p w14:paraId="51713C1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164" w:type="dxa"/>
            <w:tcBorders>
              <w:top w:val="nil"/>
              <w:left w:val="nil"/>
              <w:bottom w:val="single" w:color="auto" w:sz="4" w:space="0"/>
              <w:right w:val="single" w:color="auto" w:sz="4" w:space="0"/>
            </w:tcBorders>
            <w:noWrap w:val="0"/>
            <w:vAlign w:val="center"/>
          </w:tcPr>
          <w:p w14:paraId="023D97C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58" w:type="dxa"/>
            <w:tcBorders>
              <w:top w:val="nil"/>
              <w:left w:val="nil"/>
              <w:bottom w:val="single" w:color="auto" w:sz="4" w:space="0"/>
              <w:right w:val="single" w:color="auto" w:sz="4" w:space="0"/>
            </w:tcBorders>
            <w:noWrap w:val="0"/>
            <w:vAlign w:val="center"/>
          </w:tcPr>
          <w:p w14:paraId="35FB8A4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14" w:type="dxa"/>
            <w:tcBorders>
              <w:top w:val="nil"/>
              <w:left w:val="nil"/>
              <w:bottom w:val="single" w:color="auto" w:sz="4" w:space="0"/>
              <w:right w:val="single" w:color="auto" w:sz="4" w:space="0"/>
            </w:tcBorders>
            <w:shd w:val="clear" w:color="auto" w:fill="auto"/>
            <w:noWrap w:val="0"/>
            <w:vAlign w:val="center"/>
          </w:tcPr>
          <w:p w14:paraId="6D6D554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p>
        </w:tc>
        <w:tc>
          <w:tcPr>
            <w:tcW w:w="861" w:type="dxa"/>
            <w:tcBorders>
              <w:top w:val="nil"/>
              <w:left w:val="nil"/>
              <w:bottom w:val="single" w:color="auto" w:sz="4" w:space="0"/>
              <w:right w:val="single" w:color="auto" w:sz="4" w:space="0"/>
            </w:tcBorders>
            <w:noWrap w:val="0"/>
            <w:vAlign w:val="center"/>
          </w:tcPr>
          <w:p w14:paraId="5CFCE7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72" w:type="dxa"/>
            <w:tcBorders>
              <w:top w:val="nil"/>
              <w:left w:val="nil"/>
              <w:bottom w:val="single" w:color="auto" w:sz="4" w:space="0"/>
              <w:right w:val="single" w:color="auto" w:sz="4" w:space="0"/>
            </w:tcBorders>
            <w:noWrap w:val="0"/>
            <w:vAlign w:val="center"/>
          </w:tcPr>
          <w:p w14:paraId="51B4DB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AEEBE67">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14:paraId="4A2E380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4592E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000000" w:sz="4" w:space="0"/>
              <w:left w:val="single" w:color="000000" w:sz="4" w:space="0"/>
              <w:bottom w:val="single" w:color="000000" w:sz="4" w:space="0"/>
              <w:right w:val="single" w:color="000000" w:sz="4" w:space="0"/>
            </w:tcBorders>
            <w:noWrap w:val="0"/>
            <w:vAlign w:val="center"/>
          </w:tcPr>
          <w:p w14:paraId="280DD9B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306" w:type="dxa"/>
            <w:tcBorders>
              <w:top w:val="single" w:color="auto" w:sz="4" w:space="0"/>
              <w:left w:val="single" w:color="000000" w:sz="4" w:space="0"/>
              <w:bottom w:val="single" w:color="auto" w:sz="4" w:space="0"/>
              <w:right w:val="single" w:color="auto" w:sz="4" w:space="0"/>
            </w:tcBorders>
            <w:noWrap w:val="0"/>
            <w:vAlign w:val="center"/>
          </w:tcPr>
          <w:p w14:paraId="08EDA67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完善住房保障体系</w:t>
            </w: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60182F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形成可持续的保障性住房供给</w:t>
            </w:r>
          </w:p>
        </w:tc>
        <w:tc>
          <w:tcPr>
            <w:tcW w:w="1158" w:type="dxa"/>
            <w:tcBorders>
              <w:top w:val="single" w:color="auto" w:sz="4" w:space="0"/>
              <w:left w:val="single" w:color="auto" w:sz="4" w:space="0"/>
              <w:bottom w:val="single" w:color="auto" w:sz="4" w:space="0"/>
              <w:right w:val="single" w:color="auto" w:sz="4" w:space="0"/>
            </w:tcBorders>
            <w:noWrap w:val="0"/>
            <w:vAlign w:val="center"/>
          </w:tcPr>
          <w:p w14:paraId="584F737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形成可持续的保障性住房供给</w:t>
            </w:r>
          </w:p>
        </w:tc>
        <w:tc>
          <w:tcPr>
            <w:tcW w:w="8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C152D3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D0114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43491A2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14:paraId="3A639871">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05474D1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tcBorders>
              <w:top w:val="single" w:color="000000" w:sz="4" w:space="0"/>
              <w:left w:val="nil"/>
              <w:right w:val="single" w:color="000000" w:sz="4" w:space="0"/>
            </w:tcBorders>
            <w:noWrap w:val="0"/>
            <w:vAlign w:val="center"/>
          </w:tcPr>
          <w:p w14:paraId="3ECF9F8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521183F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136AF8C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14:paraId="2204437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306" w:type="dxa"/>
            <w:tcBorders>
              <w:top w:val="nil"/>
              <w:left w:val="single" w:color="000000" w:sz="4" w:space="0"/>
              <w:bottom w:val="single" w:color="auto" w:sz="4" w:space="0"/>
              <w:right w:val="single" w:color="auto" w:sz="4" w:space="0"/>
            </w:tcBorders>
            <w:noWrap w:val="0"/>
            <w:vAlign w:val="center"/>
          </w:tcPr>
          <w:p w14:paraId="3820B4F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收购方满意度</w:t>
            </w:r>
          </w:p>
        </w:tc>
        <w:tc>
          <w:tcPr>
            <w:tcW w:w="1164" w:type="dxa"/>
            <w:tcBorders>
              <w:top w:val="nil"/>
              <w:left w:val="nil"/>
              <w:bottom w:val="single" w:color="auto" w:sz="4" w:space="0"/>
              <w:right w:val="single" w:color="auto" w:sz="4" w:space="0"/>
            </w:tcBorders>
            <w:noWrap w:val="0"/>
            <w:vAlign w:val="center"/>
          </w:tcPr>
          <w:p w14:paraId="63ABC0E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90%以上</w:t>
            </w:r>
          </w:p>
        </w:tc>
        <w:tc>
          <w:tcPr>
            <w:tcW w:w="1158" w:type="dxa"/>
            <w:tcBorders>
              <w:top w:val="nil"/>
              <w:left w:val="nil"/>
              <w:bottom w:val="single" w:color="auto" w:sz="4" w:space="0"/>
              <w:right w:val="single" w:color="auto" w:sz="4" w:space="0"/>
            </w:tcBorders>
            <w:noWrap w:val="0"/>
            <w:vAlign w:val="center"/>
          </w:tcPr>
          <w:p w14:paraId="5552674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90%以上</w:t>
            </w:r>
          </w:p>
        </w:tc>
        <w:tc>
          <w:tcPr>
            <w:tcW w:w="814" w:type="dxa"/>
            <w:tcBorders>
              <w:top w:val="nil"/>
              <w:left w:val="nil"/>
              <w:bottom w:val="single" w:color="auto" w:sz="4" w:space="0"/>
              <w:right w:val="single" w:color="auto" w:sz="4" w:space="0"/>
            </w:tcBorders>
            <w:shd w:val="clear" w:color="auto" w:fill="auto"/>
            <w:noWrap w:val="0"/>
            <w:vAlign w:val="center"/>
          </w:tcPr>
          <w:p w14:paraId="5205C98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nil"/>
              <w:left w:val="nil"/>
              <w:bottom w:val="single" w:color="auto" w:sz="4" w:space="0"/>
              <w:right w:val="single" w:color="auto" w:sz="4" w:space="0"/>
            </w:tcBorders>
            <w:noWrap w:val="0"/>
            <w:vAlign w:val="center"/>
          </w:tcPr>
          <w:p w14:paraId="6C6CC81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nil"/>
              <w:left w:val="nil"/>
              <w:bottom w:val="single" w:color="auto" w:sz="4" w:space="0"/>
              <w:right w:val="single" w:color="auto" w:sz="4" w:space="0"/>
            </w:tcBorders>
            <w:noWrap w:val="0"/>
            <w:vAlign w:val="center"/>
          </w:tcPr>
          <w:p w14:paraId="2091F4D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14:paraId="05844E9E">
        <w:tblPrEx>
          <w:tblCellMar>
            <w:top w:w="0" w:type="dxa"/>
            <w:left w:w="108" w:type="dxa"/>
            <w:bottom w:w="0" w:type="dxa"/>
            <w:right w:w="108" w:type="dxa"/>
          </w:tblCellMar>
        </w:tblPrEx>
        <w:trPr>
          <w:trHeight w:val="402" w:hRule="atLeast"/>
          <w:jc w:val="center"/>
        </w:trPr>
        <w:tc>
          <w:tcPr>
            <w:tcW w:w="6804" w:type="dxa"/>
            <w:gridSpan w:val="6"/>
            <w:tcBorders>
              <w:top w:val="single" w:color="auto" w:sz="4" w:space="0"/>
              <w:left w:val="single" w:color="auto" w:sz="4" w:space="0"/>
              <w:bottom w:val="single" w:color="auto" w:sz="4" w:space="0"/>
              <w:right w:val="single" w:color="000000" w:sz="4" w:space="0"/>
            </w:tcBorders>
            <w:noWrap w:val="0"/>
            <w:vAlign w:val="center"/>
          </w:tcPr>
          <w:p w14:paraId="5DB6515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14" w:type="dxa"/>
            <w:tcBorders>
              <w:top w:val="nil"/>
              <w:left w:val="nil"/>
              <w:bottom w:val="single" w:color="auto" w:sz="4" w:space="0"/>
              <w:right w:val="single" w:color="auto" w:sz="4" w:space="0"/>
            </w:tcBorders>
            <w:noWrap w:val="0"/>
            <w:vAlign w:val="center"/>
          </w:tcPr>
          <w:p w14:paraId="457DEF8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61" w:type="dxa"/>
            <w:tcBorders>
              <w:top w:val="nil"/>
              <w:left w:val="nil"/>
              <w:bottom w:val="single" w:color="auto" w:sz="4" w:space="0"/>
              <w:right w:val="single" w:color="auto" w:sz="4" w:space="0"/>
            </w:tcBorders>
            <w:noWrap w:val="0"/>
            <w:vAlign w:val="center"/>
          </w:tcPr>
          <w:p w14:paraId="1F51EF8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372" w:type="dxa"/>
            <w:tcBorders>
              <w:top w:val="nil"/>
              <w:left w:val="nil"/>
              <w:bottom w:val="single" w:color="auto" w:sz="4" w:space="0"/>
              <w:right w:val="single" w:color="auto" w:sz="4" w:space="0"/>
            </w:tcBorders>
            <w:noWrap w:val="0"/>
            <w:vAlign w:val="center"/>
          </w:tcPr>
          <w:p w14:paraId="06BF247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bl>
    <w:p w14:paraId="08987084">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16437A5E">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22"/>
          <w:szCs w:val="22"/>
          <w:highlight w:val="none"/>
          <w:lang w:val="en-US" w:eastAsia="zh-CN"/>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李青</w:t>
      </w:r>
      <w:r>
        <w:rPr>
          <w:rFonts w:hint="default" w:ascii="Times New Roman" w:hAnsi="Times New Roman" w:eastAsia="仿宋_GB2312" w:cs="Times New Roman"/>
          <w:sz w:val="22"/>
          <w:szCs w:val="22"/>
          <w:highlight w:val="none"/>
        </w:rPr>
        <w:t xml:space="preserve"> 填报日期：</w:t>
      </w:r>
      <w:r>
        <w:rPr>
          <w:rFonts w:hint="eastAsia" w:ascii="Times New Roman" w:hAnsi="Times New Roman" w:eastAsia="仿宋_GB2312" w:cs="Times New Roman"/>
          <w:sz w:val="22"/>
          <w:szCs w:val="22"/>
          <w:highlight w:val="none"/>
          <w:lang w:val="en-US" w:eastAsia="zh-CN"/>
        </w:rPr>
        <w:t xml:space="preserve">2026.4.2  </w:t>
      </w:r>
      <w:r>
        <w:rPr>
          <w:rFonts w:hint="default" w:ascii="Times New Roman" w:hAnsi="Times New Roman" w:eastAsia="仿宋_GB2312" w:cs="Times New Roman"/>
          <w:sz w:val="22"/>
          <w:szCs w:val="22"/>
          <w:highlight w:val="none"/>
        </w:rPr>
        <w:t>联系电话：</w:t>
      </w:r>
      <w:r>
        <w:rPr>
          <w:rFonts w:hint="eastAsia" w:ascii="Times New Roman" w:hAnsi="Times New Roman" w:eastAsia="仿宋_GB2312" w:cs="Times New Roman"/>
          <w:sz w:val="22"/>
          <w:szCs w:val="22"/>
          <w:highlight w:val="none"/>
          <w:lang w:val="en-US" w:eastAsia="zh-CN"/>
        </w:rPr>
        <w:t xml:space="preserve">13873083020 </w:t>
      </w:r>
      <w:r>
        <w:rPr>
          <w:rFonts w:hint="default" w:ascii="Times New Roman" w:hAnsi="Times New Roman" w:eastAsia="仿宋_GB2312" w:cs="Times New Roman"/>
          <w:sz w:val="22"/>
          <w:szCs w:val="22"/>
          <w:highlight w:val="none"/>
        </w:rPr>
        <w:t>单位负责人签字：</w:t>
      </w:r>
      <w:r>
        <w:rPr>
          <w:rFonts w:hint="eastAsia" w:ascii="Times New Roman" w:hAnsi="Times New Roman" w:eastAsia="仿宋_GB2312" w:cs="Times New Roman"/>
          <w:sz w:val="22"/>
          <w:highlight w:val="none"/>
          <w:lang w:val="en-US" w:eastAsia="zh-CN"/>
        </w:rPr>
        <w:t>黎朝晖</w:t>
      </w:r>
    </w:p>
    <w:sectPr>
      <w:pgSz w:w="11906" w:h="16838"/>
      <w:pgMar w:top="646" w:right="1800" w:bottom="1043" w:left="1800" w:header="851" w:footer="425" w:gutter="0"/>
      <w:pgBorders>
        <w:top w:val="none" w:sz="0" w:space="0"/>
        <w:left w:val="none" w:sz="0" w:space="0"/>
        <w:bottom w:val="none" w:sz="0" w:space="0"/>
        <w:right w:val="none" w:sz="0" w:space="0"/>
      </w:pgBorders>
      <w:pgNumType w:fmt="decimal" w:start="1"/>
      <w:cols w:space="0" w:num="1"/>
      <w:rtlGutter w:val="0"/>
      <w:docGrid w:type="lines" w:linePitch="3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E47DFA-04D4-4379-86D3-C22F47ACF8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D49BB712-12B5-48CB-B787-6304AC1D35D9}"/>
  </w:font>
  <w:font w:name="仿宋_GB2312">
    <w:altName w:val="仿宋"/>
    <w:panose1 w:val="02010609030101010101"/>
    <w:charset w:val="86"/>
    <w:family w:val="modern"/>
    <w:pitch w:val="default"/>
    <w:sig w:usb0="00000000" w:usb1="00000000" w:usb2="00000000" w:usb3="00000000" w:csb0="00040000" w:csb1="00000000"/>
    <w:embedRegular r:id="rId3" w:fontKey="{020D2BF3-709E-4FFC-907C-C5C0BAC77C60}"/>
  </w:font>
  <w:font w:name="方正小标宋简体">
    <w:panose1 w:val="02000000000000000000"/>
    <w:charset w:val="86"/>
    <w:family w:val="auto"/>
    <w:pitch w:val="default"/>
    <w:sig w:usb0="00000001" w:usb1="08000000" w:usb2="00000000" w:usb3="00000000" w:csb0="00040000" w:csb1="00000000"/>
    <w:embedRegular r:id="rId4" w:fontKey="{2316B49E-1C5C-4BE9-B2FB-59C18FBDCAB1}"/>
  </w:font>
  <w:font w:name="楷体_GB2312">
    <w:altName w:val="楷体"/>
    <w:panose1 w:val="02010609030101010101"/>
    <w:charset w:val="86"/>
    <w:family w:val="modern"/>
    <w:pitch w:val="default"/>
    <w:sig w:usb0="00000000" w:usb1="00000000" w:usb2="00000000" w:usb3="00000000" w:csb0="00040000" w:csb1="00000000"/>
    <w:embedRegular r:id="rId5" w:fontKey="{E889CB42-E507-4B40-B8DA-AD403B12B869}"/>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embedRegular r:id="rId6" w:fontKey="{357395E3-1E48-45F4-AC88-023A9D437F03}"/>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C6F9">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38556"/>
    <w:multiLevelType w:val="singleLevel"/>
    <w:tmpl w:val="93038556"/>
    <w:lvl w:ilvl="0" w:tentative="0">
      <w:start w:val="1"/>
      <w:numFmt w:val="decimal"/>
      <w:suff w:val="nothing"/>
      <w:lvlText w:val="%1、"/>
      <w:lvlJc w:val="left"/>
    </w:lvl>
  </w:abstractNum>
  <w:abstractNum w:abstractNumId="1">
    <w:nsid w:val="A3DA452B"/>
    <w:multiLevelType w:val="singleLevel"/>
    <w:tmpl w:val="A3DA452B"/>
    <w:lvl w:ilvl="0" w:tentative="0">
      <w:start w:val="9"/>
      <w:numFmt w:val="chineseCounting"/>
      <w:suff w:val="nothing"/>
      <w:lvlText w:val="%1、"/>
      <w:lvlJc w:val="left"/>
      <w:rPr>
        <w:rFonts w:hint="eastAsia"/>
      </w:rPr>
    </w:lvl>
  </w:abstractNum>
  <w:abstractNum w:abstractNumId="2">
    <w:nsid w:val="B808B791"/>
    <w:multiLevelType w:val="singleLevel"/>
    <w:tmpl w:val="B808B791"/>
    <w:lvl w:ilvl="0" w:tentative="0">
      <w:start w:val="2"/>
      <w:numFmt w:val="decimal"/>
      <w:suff w:val="nothing"/>
      <w:lvlText w:val="%1、"/>
      <w:lvlJc w:val="left"/>
    </w:lvl>
  </w:abstractNum>
  <w:abstractNum w:abstractNumId="3">
    <w:nsid w:val="B9BFB1A8"/>
    <w:multiLevelType w:val="singleLevel"/>
    <w:tmpl w:val="B9BFB1A8"/>
    <w:lvl w:ilvl="0" w:tentative="0">
      <w:start w:val="1"/>
      <w:numFmt w:val="decimal"/>
      <w:suff w:val="nothing"/>
      <w:lvlText w:val="%1、"/>
      <w:lvlJc w:val="left"/>
    </w:lvl>
  </w:abstractNum>
  <w:abstractNum w:abstractNumId="4">
    <w:nsid w:val="E51A0CC6"/>
    <w:multiLevelType w:val="singleLevel"/>
    <w:tmpl w:val="E51A0CC6"/>
    <w:lvl w:ilvl="0" w:tentative="0">
      <w:start w:val="2"/>
      <w:numFmt w:val="chineseCounting"/>
      <w:suff w:val="nothing"/>
      <w:lvlText w:val="（%1）"/>
      <w:lvlJc w:val="left"/>
      <w:rPr>
        <w:rFonts w:hint="eastAsia"/>
      </w:rPr>
    </w:lvl>
  </w:abstractNum>
  <w:abstractNum w:abstractNumId="5">
    <w:nsid w:val="F0A096AA"/>
    <w:multiLevelType w:val="singleLevel"/>
    <w:tmpl w:val="F0A096AA"/>
    <w:lvl w:ilvl="0" w:tentative="0">
      <w:start w:val="1"/>
      <w:numFmt w:val="decimal"/>
      <w:suff w:val="nothing"/>
      <w:lvlText w:val="%1、"/>
      <w:lvlJc w:val="left"/>
    </w:lvl>
  </w:abstractNum>
  <w:abstractNum w:abstractNumId="6">
    <w:nsid w:val="FB26AAD8"/>
    <w:multiLevelType w:val="singleLevel"/>
    <w:tmpl w:val="FB26AAD8"/>
    <w:lvl w:ilvl="0" w:tentative="0">
      <w:start w:val="1"/>
      <w:numFmt w:val="chineseCounting"/>
      <w:suff w:val="nothing"/>
      <w:lvlText w:val="（%1）"/>
      <w:lvlJc w:val="left"/>
      <w:rPr>
        <w:rFonts w:hint="eastAsia"/>
      </w:rPr>
    </w:lvl>
  </w:abstractNum>
  <w:abstractNum w:abstractNumId="7">
    <w:nsid w:val="140B03C3"/>
    <w:multiLevelType w:val="singleLevel"/>
    <w:tmpl w:val="140B03C3"/>
    <w:lvl w:ilvl="0" w:tentative="0">
      <w:start w:val="4"/>
      <w:numFmt w:val="chineseCounting"/>
      <w:suff w:val="nothing"/>
      <w:lvlText w:val="%1、"/>
      <w:lvlJc w:val="left"/>
      <w:rPr>
        <w:rFonts w:hint="eastAsia"/>
      </w:rPr>
    </w:lvl>
  </w:abstractNum>
  <w:abstractNum w:abstractNumId="8">
    <w:nsid w:val="228969EA"/>
    <w:multiLevelType w:val="singleLevel"/>
    <w:tmpl w:val="228969EA"/>
    <w:lvl w:ilvl="0" w:tentative="0">
      <w:start w:val="1"/>
      <w:numFmt w:val="chineseCounting"/>
      <w:suff w:val="nothing"/>
      <w:lvlText w:val="%1、"/>
      <w:lvlJc w:val="left"/>
      <w:rPr>
        <w:rFonts w:hint="eastAsia"/>
      </w:rPr>
    </w:lvl>
  </w:abstractNum>
  <w:abstractNum w:abstractNumId="9">
    <w:nsid w:val="297FB2C3"/>
    <w:multiLevelType w:val="singleLevel"/>
    <w:tmpl w:val="297FB2C3"/>
    <w:lvl w:ilvl="0" w:tentative="0">
      <w:start w:val="1"/>
      <w:numFmt w:val="decimal"/>
      <w:suff w:val="nothing"/>
      <w:lvlText w:val="%1、"/>
      <w:lvlJc w:val="left"/>
    </w:lvl>
  </w:abstractNum>
  <w:abstractNum w:abstractNumId="10">
    <w:nsid w:val="509E872F"/>
    <w:multiLevelType w:val="singleLevel"/>
    <w:tmpl w:val="509E872F"/>
    <w:lvl w:ilvl="0" w:tentative="0">
      <w:start w:val="1"/>
      <w:numFmt w:val="decimal"/>
      <w:suff w:val="nothing"/>
      <w:lvlText w:val="%1、"/>
      <w:lvlJc w:val="left"/>
    </w:lvl>
  </w:abstractNum>
  <w:abstractNum w:abstractNumId="11">
    <w:nsid w:val="65D179AA"/>
    <w:multiLevelType w:val="singleLevel"/>
    <w:tmpl w:val="65D179AA"/>
    <w:lvl w:ilvl="0" w:tentative="0">
      <w:start w:val="1"/>
      <w:numFmt w:val="decimal"/>
      <w:suff w:val="nothing"/>
      <w:lvlText w:val="%1、"/>
      <w:lvlJc w:val="left"/>
    </w:lvl>
  </w:abstractNum>
  <w:num w:numId="1">
    <w:abstractNumId w:val="8"/>
  </w:num>
  <w:num w:numId="2">
    <w:abstractNumId w:val="5"/>
  </w:num>
  <w:num w:numId="3">
    <w:abstractNumId w:val="3"/>
  </w:num>
  <w:num w:numId="4">
    <w:abstractNumId w:val="4"/>
  </w:num>
  <w:num w:numId="5">
    <w:abstractNumId w:val="7"/>
  </w:num>
  <w:num w:numId="6">
    <w:abstractNumId w:val="6"/>
  </w:num>
  <w:num w:numId="7">
    <w:abstractNumId w:val="0"/>
  </w:num>
  <w:num w:numId="8">
    <w:abstractNumId w:val="9"/>
  </w:num>
  <w:num w:numId="9">
    <w:abstractNumId w:val="2"/>
  </w:num>
  <w:num w:numId="10">
    <w:abstractNumId w:val="1"/>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93"/>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wYTAyN2E3YWRjMmI5NTI5YTMxMTYzNDI2N2QwMzUifQ=="/>
  </w:docVars>
  <w:rsids>
    <w:rsidRoot w:val="59886344"/>
    <w:rsid w:val="00121F72"/>
    <w:rsid w:val="003E2F09"/>
    <w:rsid w:val="00553698"/>
    <w:rsid w:val="00A41FAA"/>
    <w:rsid w:val="00AD6396"/>
    <w:rsid w:val="00C90D8B"/>
    <w:rsid w:val="00DE3995"/>
    <w:rsid w:val="01927CF3"/>
    <w:rsid w:val="01BF5575"/>
    <w:rsid w:val="01D34903"/>
    <w:rsid w:val="027F4BE6"/>
    <w:rsid w:val="02E07869"/>
    <w:rsid w:val="030D34E9"/>
    <w:rsid w:val="03301B19"/>
    <w:rsid w:val="03345AEF"/>
    <w:rsid w:val="03355BD3"/>
    <w:rsid w:val="034E62B0"/>
    <w:rsid w:val="036D166B"/>
    <w:rsid w:val="03747103"/>
    <w:rsid w:val="03790995"/>
    <w:rsid w:val="038F07DA"/>
    <w:rsid w:val="03B730D1"/>
    <w:rsid w:val="03C230FA"/>
    <w:rsid w:val="03C95D49"/>
    <w:rsid w:val="03D64153"/>
    <w:rsid w:val="042A41F9"/>
    <w:rsid w:val="045B0C31"/>
    <w:rsid w:val="046643CE"/>
    <w:rsid w:val="04B57B90"/>
    <w:rsid w:val="04EE1334"/>
    <w:rsid w:val="04F24515"/>
    <w:rsid w:val="052B448C"/>
    <w:rsid w:val="0541053E"/>
    <w:rsid w:val="0588425C"/>
    <w:rsid w:val="058F102E"/>
    <w:rsid w:val="05A16F0D"/>
    <w:rsid w:val="05DB11BD"/>
    <w:rsid w:val="05F509D2"/>
    <w:rsid w:val="05F61CD7"/>
    <w:rsid w:val="05FD5DDE"/>
    <w:rsid w:val="065344D5"/>
    <w:rsid w:val="065737D9"/>
    <w:rsid w:val="065C5FAD"/>
    <w:rsid w:val="06724F41"/>
    <w:rsid w:val="06787210"/>
    <w:rsid w:val="06965E6A"/>
    <w:rsid w:val="06AF2863"/>
    <w:rsid w:val="07027D3D"/>
    <w:rsid w:val="07096CC3"/>
    <w:rsid w:val="071F58FD"/>
    <w:rsid w:val="075B351E"/>
    <w:rsid w:val="07905FE7"/>
    <w:rsid w:val="07A60D5C"/>
    <w:rsid w:val="07BE1792"/>
    <w:rsid w:val="07E74636"/>
    <w:rsid w:val="07EF6B13"/>
    <w:rsid w:val="07FE2B6F"/>
    <w:rsid w:val="080F6C87"/>
    <w:rsid w:val="083D3697"/>
    <w:rsid w:val="085E53BC"/>
    <w:rsid w:val="08664DAC"/>
    <w:rsid w:val="086F75C9"/>
    <w:rsid w:val="08956AF6"/>
    <w:rsid w:val="08AE661B"/>
    <w:rsid w:val="08B0518A"/>
    <w:rsid w:val="08B90902"/>
    <w:rsid w:val="08C416C3"/>
    <w:rsid w:val="09036BB8"/>
    <w:rsid w:val="090B34E3"/>
    <w:rsid w:val="091D0AB4"/>
    <w:rsid w:val="092C03CD"/>
    <w:rsid w:val="093D79EE"/>
    <w:rsid w:val="0951428C"/>
    <w:rsid w:val="0955045F"/>
    <w:rsid w:val="095C2B24"/>
    <w:rsid w:val="0990731B"/>
    <w:rsid w:val="09A40F79"/>
    <w:rsid w:val="09E65669"/>
    <w:rsid w:val="0A017F59"/>
    <w:rsid w:val="0A3D172D"/>
    <w:rsid w:val="0A436A63"/>
    <w:rsid w:val="0A59634A"/>
    <w:rsid w:val="0A653F53"/>
    <w:rsid w:val="0A674CCF"/>
    <w:rsid w:val="0AE73B1F"/>
    <w:rsid w:val="0AEB3CF1"/>
    <w:rsid w:val="0AF3644E"/>
    <w:rsid w:val="0B04224A"/>
    <w:rsid w:val="0B0D3FDC"/>
    <w:rsid w:val="0B3138C6"/>
    <w:rsid w:val="0B4A312A"/>
    <w:rsid w:val="0B7868B7"/>
    <w:rsid w:val="0B7C6285"/>
    <w:rsid w:val="0BC814CA"/>
    <w:rsid w:val="0BD074EE"/>
    <w:rsid w:val="0C271812"/>
    <w:rsid w:val="0C593EA3"/>
    <w:rsid w:val="0C62446D"/>
    <w:rsid w:val="0C74292B"/>
    <w:rsid w:val="0C823CFE"/>
    <w:rsid w:val="0CE02364"/>
    <w:rsid w:val="0D051AEA"/>
    <w:rsid w:val="0D1457A6"/>
    <w:rsid w:val="0D1C34CD"/>
    <w:rsid w:val="0D214859"/>
    <w:rsid w:val="0D6706A5"/>
    <w:rsid w:val="0D7F17B3"/>
    <w:rsid w:val="0DA52876"/>
    <w:rsid w:val="0E3634E0"/>
    <w:rsid w:val="0EC800C7"/>
    <w:rsid w:val="0EE27EFF"/>
    <w:rsid w:val="0EED520D"/>
    <w:rsid w:val="0F3C3998"/>
    <w:rsid w:val="0F553938"/>
    <w:rsid w:val="0F6B7FCD"/>
    <w:rsid w:val="0F713C26"/>
    <w:rsid w:val="0F9B0BA4"/>
    <w:rsid w:val="0FBD4B74"/>
    <w:rsid w:val="101471EE"/>
    <w:rsid w:val="10191153"/>
    <w:rsid w:val="101A6B79"/>
    <w:rsid w:val="10260EB5"/>
    <w:rsid w:val="103F63AE"/>
    <w:rsid w:val="10473273"/>
    <w:rsid w:val="10760F3E"/>
    <w:rsid w:val="10790217"/>
    <w:rsid w:val="10BF233B"/>
    <w:rsid w:val="10EF47A3"/>
    <w:rsid w:val="113B4369"/>
    <w:rsid w:val="11432F32"/>
    <w:rsid w:val="114F540F"/>
    <w:rsid w:val="119D1DD6"/>
    <w:rsid w:val="11BE502B"/>
    <w:rsid w:val="11CC0A24"/>
    <w:rsid w:val="122512A7"/>
    <w:rsid w:val="122E65E4"/>
    <w:rsid w:val="123A0C48"/>
    <w:rsid w:val="123B45F5"/>
    <w:rsid w:val="12592A8C"/>
    <w:rsid w:val="12823991"/>
    <w:rsid w:val="128A7BF7"/>
    <w:rsid w:val="12BC340B"/>
    <w:rsid w:val="12BD48C5"/>
    <w:rsid w:val="12C67A5C"/>
    <w:rsid w:val="12E64D4C"/>
    <w:rsid w:val="12FC5EFD"/>
    <w:rsid w:val="132F6187"/>
    <w:rsid w:val="13826402"/>
    <w:rsid w:val="13ED1715"/>
    <w:rsid w:val="13F14EFC"/>
    <w:rsid w:val="140A4D52"/>
    <w:rsid w:val="140E652F"/>
    <w:rsid w:val="14324730"/>
    <w:rsid w:val="145776B6"/>
    <w:rsid w:val="1463280A"/>
    <w:rsid w:val="14B43A04"/>
    <w:rsid w:val="14E05AD6"/>
    <w:rsid w:val="14EC61ED"/>
    <w:rsid w:val="152378BB"/>
    <w:rsid w:val="153475EE"/>
    <w:rsid w:val="15636126"/>
    <w:rsid w:val="157D66F5"/>
    <w:rsid w:val="157E0BB7"/>
    <w:rsid w:val="159E329B"/>
    <w:rsid w:val="16404052"/>
    <w:rsid w:val="16406A0E"/>
    <w:rsid w:val="16492A93"/>
    <w:rsid w:val="164F4491"/>
    <w:rsid w:val="167F7DF2"/>
    <w:rsid w:val="171739A6"/>
    <w:rsid w:val="17292B62"/>
    <w:rsid w:val="172D4E27"/>
    <w:rsid w:val="17343EB7"/>
    <w:rsid w:val="17346095"/>
    <w:rsid w:val="179A3BF7"/>
    <w:rsid w:val="17AB3A62"/>
    <w:rsid w:val="17B61B3B"/>
    <w:rsid w:val="17CE60BA"/>
    <w:rsid w:val="17D17F51"/>
    <w:rsid w:val="17E1613A"/>
    <w:rsid w:val="180C0990"/>
    <w:rsid w:val="181028E7"/>
    <w:rsid w:val="181B7C4D"/>
    <w:rsid w:val="181F1822"/>
    <w:rsid w:val="182B1BF3"/>
    <w:rsid w:val="183A5651"/>
    <w:rsid w:val="18543B9A"/>
    <w:rsid w:val="186E1A3D"/>
    <w:rsid w:val="18C94418"/>
    <w:rsid w:val="18F87760"/>
    <w:rsid w:val="18FB667D"/>
    <w:rsid w:val="19186973"/>
    <w:rsid w:val="19277C60"/>
    <w:rsid w:val="19375EB3"/>
    <w:rsid w:val="19507774"/>
    <w:rsid w:val="19583861"/>
    <w:rsid w:val="196A5FC1"/>
    <w:rsid w:val="19720CC7"/>
    <w:rsid w:val="19962C07"/>
    <w:rsid w:val="199B6470"/>
    <w:rsid w:val="19AC06FC"/>
    <w:rsid w:val="19CD2564"/>
    <w:rsid w:val="19FA3DFD"/>
    <w:rsid w:val="1A1A4AE0"/>
    <w:rsid w:val="1A2608F3"/>
    <w:rsid w:val="1A642FAA"/>
    <w:rsid w:val="1A8353BC"/>
    <w:rsid w:val="1A9A6727"/>
    <w:rsid w:val="1AA646C4"/>
    <w:rsid w:val="1AC217DA"/>
    <w:rsid w:val="1AC31E86"/>
    <w:rsid w:val="1AC9555A"/>
    <w:rsid w:val="1AD84435"/>
    <w:rsid w:val="1AE600F4"/>
    <w:rsid w:val="1B256E1F"/>
    <w:rsid w:val="1B4641B9"/>
    <w:rsid w:val="1B78507E"/>
    <w:rsid w:val="1B933BF8"/>
    <w:rsid w:val="1BAA3A1A"/>
    <w:rsid w:val="1BD11C33"/>
    <w:rsid w:val="1BD140AA"/>
    <w:rsid w:val="1BD6592C"/>
    <w:rsid w:val="1C024980"/>
    <w:rsid w:val="1C5F7AD6"/>
    <w:rsid w:val="1C6A0015"/>
    <w:rsid w:val="1C7723C1"/>
    <w:rsid w:val="1C7F5E4C"/>
    <w:rsid w:val="1C80524F"/>
    <w:rsid w:val="1C8A1B4D"/>
    <w:rsid w:val="1C995F32"/>
    <w:rsid w:val="1CA31D28"/>
    <w:rsid w:val="1CE52EDF"/>
    <w:rsid w:val="1CEA0228"/>
    <w:rsid w:val="1CFD28D8"/>
    <w:rsid w:val="1D0E5D1E"/>
    <w:rsid w:val="1D3D559E"/>
    <w:rsid w:val="1D622C8D"/>
    <w:rsid w:val="1D655CE4"/>
    <w:rsid w:val="1DAB47A7"/>
    <w:rsid w:val="1DC20C72"/>
    <w:rsid w:val="1DE3753F"/>
    <w:rsid w:val="1DEA6783"/>
    <w:rsid w:val="1DF63710"/>
    <w:rsid w:val="1DF722E8"/>
    <w:rsid w:val="1E204021"/>
    <w:rsid w:val="1E314D51"/>
    <w:rsid w:val="1E5A5DD9"/>
    <w:rsid w:val="1EE966DE"/>
    <w:rsid w:val="1EEB55E6"/>
    <w:rsid w:val="1F120F82"/>
    <w:rsid w:val="1F170346"/>
    <w:rsid w:val="1F335A00"/>
    <w:rsid w:val="1F366F45"/>
    <w:rsid w:val="1F44034B"/>
    <w:rsid w:val="1F5076F3"/>
    <w:rsid w:val="1F62149F"/>
    <w:rsid w:val="1F8F60E9"/>
    <w:rsid w:val="1FAB0539"/>
    <w:rsid w:val="206A043D"/>
    <w:rsid w:val="2091414E"/>
    <w:rsid w:val="20F56A22"/>
    <w:rsid w:val="21123D51"/>
    <w:rsid w:val="21536DBC"/>
    <w:rsid w:val="215A31D7"/>
    <w:rsid w:val="218A7A01"/>
    <w:rsid w:val="219C7A82"/>
    <w:rsid w:val="21A954A2"/>
    <w:rsid w:val="22124DF5"/>
    <w:rsid w:val="224156DA"/>
    <w:rsid w:val="224F3E0C"/>
    <w:rsid w:val="225C4890"/>
    <w:rsid w:val="226E080D"/>
    <w:rsid w:val="22844544"/>
    <w:rsid w:val="229323DA"/>
    <w:rsid w:val="229447CE"/>
    <w:rsid w:val="229D5007"/>
    <w:rsid w:val="22A144DF"/>
    <w:rsid w:val="22AB4DEF"/>
    <w:rsid w:val="22AD1472"/>
    <w:rsid w:val="22B578FD"/>
    <w:rsid w:val="22CB7BFC"/>
    <w:rsid w:val="22DC6859"/>
    <w:rsid w:val="23163A13"/>
    <w:rsid w:val="2373298F"/>
    <w:rsid w:val="237C5D58"/>
    <w:rsid w:val="23913DE8"/>
    <w:rsid w:val="23A06601"/>
    <w:rsid w:val="23CA3199"/>
    <w:rsid w:val="24A22AF2"/>
    <w:rsid w:val="24B23EBF"/>
    <w:rsid w:val="24D02576"/>
    <w:rsid w:val="24EA3120"/>
    <w:rsid w:val="25176A2A"/>
    <w:rsid w:val="255045B2"/>
    <w:rsid w:val="25522A8A"/>
    <w:rsid w:val="25811945"/>
    <w:rsid w:val="25837E41"/>
    <w:rsid w:val="26024DD2"/>
    <w:rsid w:val="26052FFB"/>
    <w:rsid w:val="26155504"/>
    <w:rsid w:val="263900D6"/>
    <w:rsid w:val="26505EEA"/>
    <w:rsid w:val="265579A6"/>
    <w:rsid w:val="26731F2F"/>
    <w:rsid w:val="2683543F"/>
    <w:rsid w:val="26920B2F"/>
    <w:rsid w:val="26A73075"/>
    <w:rsid w:val="26B8641B"/>
    <w:rsid w:val="26CC5EBA"/>
    <w:rsid w:val="2701268A"/>
    <w:rsid w:val="271F05EE"/>
    <w:rsid w:val="273121C1"/>
    <w:rsid w:val="27357461"/>
    <w:rsid w:val="276C7315"/>
    <w:rsid w:val="277051C0"/>
    <w:rsid w:val="27837766"/>
    <w:rsid w:val="27871ADC"/>
    <w:rsid w:val="278F783B"/>
    <w:rsid w:val="27B01329"/>
    <w:rsid w:val="27C44E90"/>
    <w:rsid w:val="27D5683C"/>
    <w:rsid w:val="27DF1E78"/>
    <w:rsid w:val="27F136FF"/>
    <w:rsid w:val="284C4191"/>
    <w:rsid w:val="286F4817"/>
    <w:rsid w:val="289C5353"/>
    <w:rsid w:val="28A433F9"/>
    <w:rsid w:val="28AE31B1"/>
    <w:rsid w:val="28D50A2D"/>
    <w:rsid w:val="28E76140"/>
    <w:rsid w:val="297C578D"/>
    <w:rsid w:val="29A7146A"/>
    <w:rsid w:val="29B17794"/>
    <w:rsid w:val="29ED4157"/>
    <w:rsid w:val="2A29653A"/>
    <w:rsid w:val="2A637619"/>
    <w:rsid w:val="2A691820"/>
    <w:rsid w:val="2AA50EF4"/>
    <w:rsid w:val="2AA92766"/>
    <w:rsid w:val="2AD6032F"/>
    <w:rsid w:val="2ADC0696"/>
    <w:rsid w:val="2AE97874"/>
    <w:rsid w:val="2B043DDD"/>
    <w:rsid w:val="2B243FAD"/>
    <w:rsid w:val="2B3247EE"/>
    <w:rsid w:val="2B5355CD"/>
    <w:rsid w:val="2B8D689B"/>
    <w:rsid w:val="2BB51544"/>
    <w:rsid w:val="2BD46751"/>
    <w:rsid w:val="2BD9277E"/>
    <w:rsid w:val="2BE30D8F"/>
    <w:rsid w:val="2BFD1B79"/>
    <w:rsid w:val="2BFE6647"/>
    <w:rsid w:val="2C050895"/>
    <w:rsid w:val="2C212804"/>
    <w:rsid w:val="2C355769"/>
    <w:rsid w:val="2C681FC8"/>
    <w:rsid w:val="2C71481F"/>
    <w:rsid w:val="2CA36B38"/>
    <w:rsid w:val="2CDA2F4A"/>
    <w:rsid w:val="2CDF57AE"/>
    <w:rsid w:val="2CF0517B"/>
    <w:rsid w:val="2D051C40"/>
    <w:rsid w:val="2D091E2F"/>
    <w:rsid w:val="2D7E06DF"/>
    <w:rsid w:val="2D8C7408"/>
    <w:rsid w:val="2DE273AA"/>
    <w:rsid w:val="2E1B3283"/>
    <w:rsid w:val="2E431FEF"/>
    <w:rsid w:val="2E6B213C"/>
    <w:rsid w:val="2E9C0F87"/>
    <w:rsid w:val="2EBB5FB9"/>
    <w:rsid w:val="2EBE6F3E"/>
    <w:rsid w:val="2EC17EC2"/>
    <w:rsid w:val="2ED55B28"/>
    <w:rsid w:val="2ED912E8"/>
    <w:rsid w:val="2EEF6A27"/>
    <w:rsid w:val="2F522CD5"/>
    <w:rsid w:val="2FBD0BB8"/>
    <w:rsid w:val="30124A46"/>
    <w:rsid w:val="301E7DFF"/>
    <w:rsid w:val="302800F3"/>
    <w:rsid w:val="306B1621"/>
    <w:rsid w:val="307D1FD3"/>
    <w:rsid w:val="30B3453E"/>
    <w:rsid w:val="30B945EC"/>
    <w:rsid w:val="30BC79E2"/>
    <w:rsid w:val="30C43E10"/>
    <w:rsid w:val="30EE4C7F"/>
    <w:rsid w:val="30FF6E8C"/>
    <w:rsid w:val="31172428"/>
    <w:rsid w:val="311B7F4D"/>
    <w:rsid w:val="312131A7"/>
    <w:rsid w:val="312608BD"/>
    <w:rsid w:val="31534978"/>
    <w:rsid w:val="317433D6"/>
    <w:rsid w:val="31C84E47"/>
    <w:rsid w:val="31DB17A1"/>
    <w:rsid w:val="31E32991"/>
    <w:rsid w:val="32207E4F"/>
    <w:rsid w:val="32626969"/>
    <w:rsid w:val="32651A96"/>
    <w:rsid w:val="328F620A"/>
    <w:rsid w:val="329A5F94"/>
    <w:rsid w:val="32C261A3"/>
    <w:rsid w:val="32E91BA2"/>
    <w:rsid w:val="32F64E7E"/>
    <w:rsid w:val="33274478"/>
    <w:rsid w:val="333A6541"/>
    <w:rsid w:val="336B3220"/>
    <w:rsid w:val="33B42132"/>
    <w:rsid w:val="34113628"/>
    <w:rsid w:val="346D0FE4"/>
    <w:rsid w:val="34A33B07"/>
    <w:rsid w:val="34A6722E"/>
    <w:rsid w:val="34E66E6B"/>
    <w:rsid w:val="352944D8"/>
    <w:rsid w:val="35301C7A"/>
    <w:rsid w:val="35310628"/>
    <w:rsid w:val="358C136B"/>
    <w:rsid w:val="35AE1D1F"/>
    <w:rsid w:val="35C76260"/>
    <w:rsid w:val="35CA5CBB"/>
    <w:rsid w:val="35CE14C6"/>
    <w:rsid w:val="35D02BA5"/>
    <w:rsid w:val="35DB41E0"/>
    <w:rsid w:val="35F37CF6"/>
    <w:rsid w:val="35F76BC5"/>
    <w:rsid w:val="3643781B"/>
    <w:rsid w:val="364F5B1B"/>
    <w:rsid w:val="36822E5F"/>
    <w:rsid w:val="36894F05"/>
    <w:rsid w:val="36A06BCC"/>
    <w:rsid w:val="36A13E99"/>
    <w:rsid w:val="36BE795E"/>
    <w:rsid w:val="36C0530F"/>
    <w:rsid w:val="36CB4A75"/>
    <w:rsid w:val="36D43244"/>
    <w:rsid w:val="36E025F7"/>
    <w:rsid w:val="37074CED"/>
    <w:rsid w:val="375C4D18"/>
    <w:rsid w:val="375F6026"/>
    <w:rsid w:val="37724E83"/>
    <w:rsid w:val="37897C7C"/>
    <w:rsid w:val="37E62C43"/>
    <w:rsid w:val="3809239F"/>
    <w:rsid w:val="380A2579"/>
    <w:rsid w:val="38251751"/>
    <w:rsid w:val="383310B6"/>
    <w:rsid w:val="384F24A7"/>
    <w:rsid w:val="38A4260B"/>
    <w:rsid w:val="38C033A5"/>
    <w:rsid w:val="39072D82"/>
    <w:rsid w:val="390B1232"/>
    <w:rsid w:val="391B4A7F"/>
    <w:rsid w:val="392A5196"/>
    <w:rsid w:val="397E74E1"/>
    <w:rsid w:val="39A34665"/>
    <w:rsid w:val="39B90E85"/>
    <w:rsid w:val="39C92D7F"/>
    <w:rsid w:val="39D471E6"/>
    <w:rsid w:val="39D719CD"/>
    <w:rsid w:val="3A157488"/>
    <w:rsid w:val="3A52671F"/>
    <w:rsid w:val="3A557CAE"/>
    <w:rsid w:val="3A86417A"/>
    <w:rsid w:val="3A874BD8"/>
    <w:rsid w:val="3A992F8C"/>
    <w:rsid w:val="3A9D6DFE"/>
    <w:rsid w:val="3AD63FC5"/>
    <w:rsid w:val="3AE07990"/>
    <w:rsid w:val="3AE96733"/>
    <w:rsid w:val="3AFC25D3"/>
    <w:rsid w:val="3B211535"/>
    <w:rsid w:val="3B494436"/>
    <w:rsid w:val="3B5E5347"/>
    <w:rsid w:val="3B632ED8"/>
    <w:rsid w:val="3B796A71"/>
    <w:rsid w:val="3B80172C"/>
    <w:rsid w:val="3B8C5043"/>
    <w:rsid w:val="3BB439AE"/>
    <w:rsid w:val="3BC264E4"/>
    <w:rsid w:val="3BC8246A"/>
    <w:rsid w:val="3BE35255"/>
    <w:rsid w:val="3BE67F74"/>
    <w:rsid w:val="3BED055F"/>
    <w:rsid w:val="3C177780"/>
    <w:rsid w:val="3C2A4B41"/>
    <w:rsid w:val="3C5759DE"/>
    <w:rsid w:val="3C860AC1"/>
    <w:rsid w:val="3CBE298A"/>
    <w:rsid w:val="3CC372BE"/>
    <w:rsid w:val="3CEE3080"/>
    <w:rsid w:val="3CF93FDD"/>
    <w:rsid w:val="3D0E7BE7"/>
    <w:rsid w:val="3D2B2688"/>
    <w:rsid w:val="3D414F09"/>
    <w:rsid w:val="3D4722A4"/>
    <w:rsid w:val="3D5A6A94"/>
    <w:rsid w:val="3D884009"/>
    <w:rsid w:val="3D896191"/>
    <w:rsid w:val="3DB35831"/>
    <w:rsid w:val="3DBB7856"/>
    <w:rsid w:val="3DC832E8"/>
    <w:rsid w:val="3DCC459A"/>
    <w:rsid w:val="3DD2747B"/>
    <w:rsid w:val="3E1E09BD"/>
    <w:rsid w:val="3E246184"/>
    <w:rsid w:val="3E300685"/>
    <w:rsid w:val="3E3D549E"/>
    <w:rsid w:val="3E6D1878"/>
    <w:rsid w:val="3EB776E8"/>
    <w:rsid w:val="3EE405BD"/>
    <w:rsid w:val="3F530871"/>
    <w:rsid w:val="3F5B3839"/>
    <w:rsid w:val="3F621B88"/>
    <w:rsid w:val="3FA034D4"/>
    <w:rsid w:val="3FB86017"/>
    <w:rsid w:val="3FB92705"/>
    <w:rsid w:val="401A0548"/>
    <w:rsid w:val="404A4C80"/>
    <w:rsid w:val="40E85247"/>
    <w:rsid w:val="412F2E76"/>
    <w:rsid w:val="41401527"/>
    <w:rsid w:val="41474664"/>
    <w:rsid w:val="41684B13"/>
    <w:rsid w:val="417F75D1"/>
    <w:rsid w:val="419D4F33"/>
    <w:rsid w:val="41AB460A"/>
    <w:rsid w:val="41DC029B"/>
    <w:rsid w:val="41F92C7C"/>
    <w:rsid w:val="420267DC"/>
    <w:rsid w:val="42194ECA"/>
    <w:rsid w:val="4222518C"/>
    <w:rsid w:val="42332D3F"/>
    <w:rsid w:val="42436425"/>
    <w:rsid w:val="4265688C"/>
    <w:rsid w:val="4275163C"/>
    <w:rsid w:val="42AE09BA"/>
    <w:rsid w:val="42B74742"/>
    <w:rsid w:val="42CE66BF"/>
    <w:rsid w:val="43146206"/>
    <w:rsid w:val="4363359A"/>
    <w:rsid w:val="43747724"/>
    <w:rsid w:val="43910F3B"/>
    <w:rsid w:val="43B81849"/>
    <w:rsid w:val="43F87EDF"/>
    <w:rsid w:val="44041E3C"/>
    <w:rsid w:val="44054362"/>
    <w:rsid w:val="44195AD4"/>
    <w:rsid w:val="4427252A"/>
    <w:rsid w:val="442C0A64"/>
    <w:rsid w:val="443A58B8"/>
    <w:rsid w:val="445B3BA4"/>
    <w:rsid w:val="44864369"/>
    <w:rsid w:val="44925D5A"/>
    <w:rsid w:val="44B042CE"/>
    <w:rsid w:val="44E12BE6"/>
    <w:rsid w:val="453125D9"/>
    <w:rsid w:val="45477ABF"/>
    <w:rsid w:val="454C391A"/>
    <w:rsid w:val="454F2314"/>
    <w:rsid w:val="456B4D96"/>
    <w:rsid w:val="457E43CC"/>
    <w:rsid w:val="45864E7D"/>
    <w:rsid w:val="458D5FBF"/>
    <w:rsid w:val="45900C7A"/>
    <w:rsid w:val="45B24076"/>
    <w:rsid w:val="45B32E6A"/>
    <w:rsid w:val="45BB0276"/>
    <w:rsid w:val="45FF5626"/>
    <w:rsid w:val="46315CB6"/>
    <w:rsid w:val="46354FBB"/>
    <w:rsid w:val="46544838"/>
    <w:rsid w:val="468F7379"/>
    <w:rsid w:val="46BA2397"/>
    <w:rsid w:val="46C6602A"/>
    <w:rsid w:val="47214FA6"/>
    <w:rsid w:val="474E7388"/>
    <w:rsid w:val="477C6AB3"/>
    <w:rsid w:val="478C26EF"/>
    <w:rsid w:val="48147269"/>
    <w:rsid w:val="481505D2"/>
    <w:rsid w:val="48180B22"/>
    <w:rsid w:val="4821210F"/>
    <w:rsid w:val="487F0532"/>
    <w:rsid w:val="488B2612"/>
    <w:rsid w:val="489258EA"/>
    <w:rsid w:val="48994136"/>
    <w:rsid w:val="48BB76E5"/>
    <w:rsid w:val="48C91E02"/>
    <w:rsid w:val="48D84B2B"/>
    <w:rsid w:val="48F245E7"/>
    <w:rsid w:val="490115D2"/>
    <w:rsid w:val="490270C2"/>
    <w:rsid w:val="49283796"/>
    <w:rsid w:val="497F7EFE"/>
    <w:rsid w:val="49813A2F"/>
    <w:rsid w:val="49A14B2D"/>
    <w:rsid w:val="4A06310F"/>
    <w:rsid w:val="4A0A400B"/>
    <w:rsid w:val="4A317C5F"/>
    <w:rsid w:val="4A450EF1"/>
    <w:rsid w:val="4A714A31"/>
    <w:rsid w:val="4A77763C"/>
    <w:rsid w:val="4A82670C"/>
    <w:rsid w:val="4A9E080E"/>
    <w:rsid w:val="4ABF3F42"/>
    <w:rsid w:val="4AC34D7B"/>
    <w:rsid w:val="4AE235DF"/>
    <w:rsid w:val="4B07786E"/>
    <w:rsid w:val="4B4A0B1E"/>
    <w:rsid w:val="4B82486E"/>
    <w:rsid w:val="4B94000C"/>
    <w:rsid w:val="4C0F53BC"/>
    <w:rsid w:val="4C1930A0"/>
    <w:rsid w:val="4C1F05D9"/>
    <w:rsid w:val="4C277446"/>
    <w:rsid w:val="4C5E73C0"/>
    <w:rsid w:val="4C664853"/>
    <w:rsid w:val="4C773E82"/>
    <w:rsid w:val="4CB60DBC"/>
    <w:rsid w:val="4CBF4854"/>
    <w:rsid w:val="4D145005"/>
    <w:rsid w:val="4D196681"/>
    <w:rsid w:val="4D1F5594"/>
    <w:rsid w:val="4D2E5098"/>
    <w:rsid w:val="4D3F2693"/>
    <w:rsid w:val="4D707FFE"/>
    <w:rsid w:val="4DA1334D"/>
    <w:rsid w:val="4DAB5F7A"/>
    <w:rsid w:val="4E157897"/>
    <w:rsid w:val="4E766588"/>
    <w:rsid w:val="4E8E7E5B"/>
    <w:rsid w:val="4E9C0204"/>
    <w:rsid w:val="4EAB0C1C"/>
    <w:rsid w:val="4EEC684A"/>
    <w:rsid w:val="4EF1548F"/>
    <w:rsid w:val="4F2C5674"/>
    <w:rsid w:val="4F3B1580"/>
    <w:rsid w:val="4F490DD1"/>
    <w:rsid w:val="4F8B5318"/>
    <w:rsid w:val="4F94767E"/>
    <w:rsid w:val="4FAD7940"/>
    <w:rsid w:val="4FB45452"/>
    <w:rsid w:val="4FB81A46"/>
    <w:rsid w:val="4FFA079B"/>
    <w:rsid w:val="50243DC2"/>
    <w:rsid w:val="504B3428"/>
    <w:rsid w:val="50765317"/>
    <w:rsid w:val="50955B00"/>
    <w:rsid w:val="50B203F8"/>
    <w:rsid w:val="50D75B0C"/>
    <w:rsid w:val="50DA7F96"/>
    <w:rsid w:val="50E214C3"/>
    <w:rsid w:val="50F1625A"/>
    <w:rsid w:val="511B1DF4"/>
    <w:rsid w:val="511C7D11"/>
    <w:rsid w:val="512E698F"/>
    <w:rsid w:val="51307BBA"/>
    <w:rsid w:val="51431F87"/>
    <w:rsid w:val="515561D0"/>
    <w:rsid w:val="51984A73"/>
    <w:rsid w:val="51AF3F96"/>
    <w:rsid w:val="51C508D0"/>
    <w:rsid w:val="51C81D05"/>
    <w:rsid w:val="51DB27D9"/>
    <w:rsid w:val="51E9296D"/>
    <w:rsid w:val="523A41EC"/>
    <w:rsid w:val="526D6A4B"/>
    <w:rsid w:val="527B3406"/>
    <w:rsid w:val="52A64F62"/>
    <w:rsid w:val="52BA1D98"/>
    <w:rsid w:val="52D13764"/>
    <w:rsid w:val="52FA579D"/>
    <w:rsid w:val="531B76FE"/>
    <w:rsid w:val="532F0F7F"/>
    <w:rsid w:val="533F4446"/>
    <w:rsid w:val="534A5134"/>
    <w:rsid w:val="53537FC2"/>
    <w:rsid w:val="53984706"/>
    <w:rsid w:val="53A61FCB"/>
    <w:rsid w:val="53E030A9"/>
    <w:rsid w:val="53F02939"/>
    <w:rsid w:val="53FB308C"/>
    <w:rsid w:val="540D34EB"/>
    <w:rsid w:val="54234D64"/>
    <w:rsid w:val="544646F8"/>
    <w:rsid w:val="54484523"/>
    <w:rsid w:val="545779DC"/>
    <w:rsid w:val="545E3A09"/>
    <w:rsid w:val="546F1220"/>
    <w:rsid w:val="54B14AB0"/>
    <w:rsid w:val="54C70AA6"/>
    <w:rsid w:val="54EE4AC0"/>
    <w:rsid w:val="550B5550"/>
    <w:rsid w:val="553C7ABB"/>
    <w:rsid w:val="553F227F"/>
    <w:rsid w:val="5560589C"/>
    <w:rsid w:val="55EE0C0B"/>
    <w:rsid w:val="561B2CF0"/>
    <w:rsid w:val="561C2B4F"/>
    <w:rsid w:val="563666E8"/>
    <w:rsid w:val="56496834"/>
    <w:rsid w:val="568F0AB3"/>
    <w:rsid w:val="569A32A2"/>
    <w:rsid w:val="56A92FB8"/>
    <w:rsid w:val="56C8194B"/>
    <w:rsid w:val="56D80314"/>
    <w:rsid w:val="56EB4A51"/>
    <w:rsid w:val="571E706C"/>
    <w:rsid w:val="572648C3"/>
    <w:rsid w:val="574746C0"/>
    <w:rsid w:val="574A6804"/>
    <w:rsid w:val="575D5545"/>
    <w:rsid w:val="57747638"/>
    <w:rsid w:val="5792131B"/>
    <w:rsid w:val="57B573FD"/>
    <w:rsid w:val="57BF0950"/>
    <w:rsid w:val="57BF25C9"/>
    <w:rsid w:val="57D577A7"/>
    <w:rsid w:val="57FE1686"/>
    <w:rsid w:val="58133704"/>
    <w:rsid w:val="58414EA0"/>
    <w:rsid w:val="58535DB5"/>
    <w:rsid w:val="58741EB5"/>
    <w:rsid w:val="58A352C2"/>
    <w:rsid w:val="58B31393"/>
    <w:rsid w:val="58B862F1"/>
    <w:rsid w:val="58CD1F2B"/>
    <w:rsid w:val="58F67D8E"/>
    <w:rsid w:val="59114FB0"/>
    <w:rsid w:val="59153460"/>
    <w:rsid w:val="59212B96"/>
    <w:rsid w:val="592B1B73"/>
    <w:rsid w:val="592C7D4F"/>
    <w:rsid w:val="595E1385"/>
    <w:rsid w:val="59886344"/>
    <w:rsid w:val="598A619D"/>
    <w:rsid w:val="59A321FB"/>
    <w:rsid w:val="59D229F1"/>
    <w:rsid w:val="5A296BA4"/>
    <w:rsid w:val="5A4675AB"/>
    <w:rsid w:val="5A7933C0"/>
    <w:rsid w:val="5ACD0A4A"/>
    <w:rsid w:val="5B202D62"/>
    <w:rsid w:val="5B506318"/>
    <w:rsid w:val="5B5154DF"/>
    <w:rsid w:val="5B8C3B8D"/>
    <w:rsid w:val="5BA01CB1"/>
    <w:rsid w:val="5BA13D0A"/>
    <w:rsid w:val="5BAA2E44"/>
    <w:rsid w:val="5BBB79D7"/>
    <w:rsid w:val="5BD2501C"/>
    <w:rsid w:val="5C2F7D76"/>
    <w:rsid w:val="5C3B6628"/>
    <w:rsid w:val="5C4E7981"/>
    <w:rsid w:val="5C503FFD"/>
    <w:rsid w:val="5C5D0254"/>
    <w:rsid w:val="5CBB6CB0"/>
    <w:rsid w:val="5CBE52AD"/>
    <w:rsid w:val="5CC961E1"/>
    <w:rsid w:val="5D367565"/>
    <w:rsid w:val="5D5C4B9B"/>
    <w:rsid w:val="5DA667E9"/>
    <w:rsid w:val="5DD71A06"/>
    <w:rsid w:val="5DFF5F61"/>
    <w:rsid w:val="5E376169"/>
    <w:rsid w:val="5EB56C59"/>
    <w:rsid w:val="5EBC54FC"/>
    <w:rsid w:val="5EDD2BC2"/>
    <w:rsid w:val="5EFD31B1"/>
    <w:rsid w:val="5F172606"/>
    <w:rsid w:val="5F230066"/>
    <w:rsid w:val="5F744618"/>
    <w:rsid w:val="5F777228"/>
    <w:rsid w:val="5FAA6092"/>
    <w:rsid w:val="5FD21114"/>
    <w:rsid w:val="601B7482"/>
    <w:rsid w:val="60342E35"/>
    <w:rsid w:val="60367925"/>
    <w:rsid w:val="607E735B"/>
    <w:rsid w:val="608773F7"/>
    <w:rsid w:val="6095125E"/>
    <w:rsid w:val="60B54550"/>
    <w:rsid w:val="60BE2CED"/>
    <w:rsid w:val="6105554A"/>
    <w:rsid w:val="61112140"/>
    <w:rsid w:val="61175938"/>
    <w:rsid w:val="612E74FF"/>
    <w:rsid w:val="61997B1D"/>
    <w:rsid w:val="61A82AA5"/>
    <w:rsid w:val="61F061FA"/>
    <w:rsid w:val="61FC25E2"/>
    <w:rsid w:val="6214612B"/>
    <w:rsid w:val="62254213"/>
    <w:rsid w:val="622A3222"/>
    <w:rsid w:val="6230056B"/>
    <w:rsid w:val="62353C0D"/>
    <w:rsid w:val="623F0640"/>
    <w:rsid w:val="628D0A61"/>
    <w:rsid w:val="62957C63"/>
    <w:rsid w:val="629B7F14"/>
    <w:rsid w:val="62A019CE"/>
    <w:rsid w:val="62BA4707"/>
    <w:rsid w:val="62D16D6C"/>
    <w:rsid w:val="62D424E5"/>
    <w:rsid w:val="6316557E"/>
    <w:rsid w:val="631657EC"/>
    <w:rsid w:val="63227F59"/>
    <w:rsid w:val="63557D1A"/>
    <w:rsid w:val="63662DC9"/>
    <w:rsid w:val="63686B36"/>
    <w:rsid w:val="636D7536"/>
    <w:rsid w:val="63950E07"/>
    <w:rsid w:val="63D43F76"/>
    <w:rsid w:val="63E93516"/>
    <w:rsid w:val="63FC3E19"/>
    <w:rsid w:val="643E022A"/>
    <w:rsid w:val="648B1196"/>
    <w:rsid w:val="64A357A5"/>
    <w:rsid w:val="64AC0E76"/>
    <w:rsid w:val="64B61A2A"/>
    <w:rsid w:val="64BE57ED"/>
    <w:rsid w:val="64F20E3D"/>
    <w:rsid w:val="652F768E"/>
    <w:rsid w:val="6562740E"/>
    <w:rsid w:val="659B2CCA"/>
    <w:rsid w:val="65A90B99"/>
    <w:rsid w:val="65C77271"/>
    <w:rsid w:val="660B3A0E"/>
    <w:rsid w:val="66284E83"/>
    <w:rsid w:val="66533E3C"/>
    <w:rsid w:val="6664539E"/>
    <w:rsid w:val="66866151"/>
    <w:rsid w:val="66963199"/>
    <w:rsid w:val="66AF5135"/>
    <w:rsid w:val="66FD6545"/>
    <w:rsid w:val="6706505B"/>
    <w:rsid w:val="670C14BC"/>
    <w:rsid w:val="671F452D"/>
    <w:rsid w:val="672A1A49"/>
    <w:rsid w:val="67717348"/>
    <w:rsid w:val="677456CA"/>
    <w:rsid w:val="678708EC"/>
    <w:rsid w:val="67A357B5"/>
    <w:rsid w:val="67B41220"/>
    <w:rsid w:val="67C45716"/>
    <w:rsid w:val="67EB5499"/>
    <w:rsid w:val="685B7BDB"/>
    <w:rsid w:val="6861624C"/>
    <w:rsid w:val="68993147"/>
    <w:rsid w:val="68AB5372"/>
    <w:rsid w:val="68D71074"/>
    <w:rsid w:val="69366BE8"/>
    <w:rsid w:val="69385577"/>
    <w:rsid w:val="694245CE"/>
    <w:rsid w:val="695F06ED"/>
    <w:rsid w:val="69962DC6"/>
    <w:rsid w:val="699A0452"/>
    <w:rsid w:val="699F54EE"/>
    <w:rsid w:val="69C935B8"/>
    <w:rsid w:val="69DD59DD"/>
    <w:rsid w:val="6A33037B"/>
    <w:rsid w:val="6A33322E"/>
    <w:rsid w:val="6A3B3DB0"/>
    <w:rsid w:val="6A611A43"/>
    <w:rsid w:val="6AA66486"/>
    <w:rsid w:val="6AFF5E92"/>
    <w:rsid w:val="6B182AF2"/>
    <w:rsid w:val="6B4C44A1"/>
    <w:rsid w:val="6B6225D4"/>
    <w:rsid w:val="6B9E6A1E"/>
    <w:rsid w:val="6BBE2A74"/>
    <w:rsid w:val="6BD37DB0"/>
    <w:rsid w:val="6C382C77"/>
    <w:rsid w:val="6C501D6F"/>
    <w:rsid w:val="6C770900"/>
    <w:rsid w:val="6C8E2897"/>
    <w:rsid w:val="6D237A65"/>
    <w:rsid w:val="6D5C087A"/>
    <w:rsid w:val="6D7111D9"/>
    <w:rsid w:val="6D871DC2"/>
    <w:rsid w:val="6DDC2DC1"/>
    <w:rsid w:val="6E0628E0"/>
    <w:rsid w:val="6E135155"/>
    <w:rsid w:val="6E59263E"/>
    <w:rsid w:val="6E6F64CB"/>
    <w:rsid w:val="6E7678CD"/>
    <w:rsid w:val="6E891568"/>
    <w:rsid w:val="6E9D76D0"/>
    <w:rsid w:val="6ECE013E"/>
    <w:rsid w:val="6EFB7A24"/>
    <w:rsid w:val="6F4E1582"/>
    <w:rsid w:val="6F554FDE"/>
    <w:rsid w:val="6F813CCD"/>
    <w:rsid w:val="6F9540A0"/>
    <w:rsid w:val="6FB12D63"/>
    <w:rsid w:val="6FBE21DB"/>
    <w:rsid w:val="6FC33333"/>
    <w:rsid w:val="6FCD7A7D"/>
    <w:rsid w:val="6FD04D0F"/>
    <w:rsid w:val="700E2D7A"/>
    <w:rsid w:val="7045295A"/>
    <w:rsid w:val="70570158"/>
    <w:rsid w:val="706E3D83"/>
    <w:rsid w:val="70745988"/>
    <w:rsid w:val="70860455"/>
    <w:rsid w:val="70AE52B6"/>
    <w:rsid w:val="70E231B1"/>
    <w:rsid w:val="71045B67"/>
    <w:rsid w:val="710C022E"/>
    <w:rsid w:val="711E28A2"/>
    <w:rsid w:val="7131634A"/>
    <w:rsid w:val="71525E28"/>
    <w:rsid w:val="716167CC"/>
    <w:rsid w:val="71866233"/>
    <w:rsid w:val="720978E1"/>
    <w:rsid w:val="724926F4"/>
    <w:rsid w:val="72561DC1"/>
    <w:rsid w:val="72640F5D"/>
    <w:rsid w:val="728C5ACB"/>
    <w:rsid w:val="72973A90"/>
    <w:rsid w:val="72E71B23"/>
    <w:rsid w:val="73165394"/>
    <w:rsid w:val="73206B70"/>
    <w:rsid w:val="732D1CCE"/>
    <w:rsid w:val="733028FA"/>
    <w:rsid w:val="73691F21"/>
    <w:rsid w:val="7372670B"/>
    <w:rsid w:val="737E5413"/>
    <w:rsid w:val="738A7955"/>
    <w:rsid w:val="73AD2010"/>
    <w:rsid w:val="73B139CD"/>
    <w:rsid w:val="73B31DF5"/>
    <w:rsid w:val="73B73BF0"/>
    <w:rsid w:val="73D90AED"/>
    <w:rsid w:val="73DE2426"/>
    <w:rsid w:val="73E76ABA"/>
    <w:rsid w:val="73F76F74"/>
    <w:rsid w:val="74173885"/>
    <w:rsid w:val="741F226D"/>
    <w:rsid w:val="742A7349"/>
    <w:rsid w:val="744465EA"/>
    <w:rsid w:val="745D33A4"/>
    <w:rsid w:val="74770078"/>
    <w:rsid w:val="747E397A"/>
    <w:rsid w:val="74A15AAF"/>
    <w:rsid w:val="74AA3F02"/>
    <w:rsid w:val="74CB461D"/>
    <w:rsid w:val="74F00593"/>
    <w:rsid w:val="74FE6101"/>
    <w:rsid w:val="75075448"/>
    <w:rsid w:val="750B717B"/>
    <w:rsid w:val="750E0A19"/>
    <w:rsid w:val="757A7E5C"/>
    <w:rsid w:val="75812E57"/>
    <w:rsid w:val="75892461"/>
    <w:rsid w:val="759E3ECA"/>
    <w:rsid w:val="75C06802"/>
    <w:rsid w:val="75FC0C3D"/>
    <w:rsid w:val="76007DF5"/>
    <w:rsid w:val="762865F3"/>
    <w:rsid w:val="763B69FB"/>
    <w:rsid w:val="769200B9"/>
    <w:rsid w:val="76942E60"/>
    <w:rsid w:val="769762EA"/>
    <w:rsid w:val="76D128CB"/>
    <w:rsid w:val="76D336FD"/>
    <w:rsid w:val="77336515"/>
    <w:rsid w:val="773B78A9"/>
    <w:rsid w:val="775F555C"/>
    <w:rsid w:val="777B106F"/>
    <w:rsid w:val="77CF03EF"/>
    <w:rsid w:val="77D61C0D"/>
    <w:rsid w:val="77FB58ED"/>
    <w:rsid w:val="782D35AD"/>
    <w:rsid w:val="78364727"/>
    <w:rsid w:val="783E7FAA"/>
    <w:rsid w:val="78496775"/>
    <w:rsid w:val="784E3ABE"/>
    <w:rsid w:val="784E64AD"/>
    <w:rsid w:val="78871CEA"/>
    <w:rsid w:val="788A40D3"/>
    <w:rsid w:val="789173C8"/>
    <w:rsid w:val="789A68EC"/>
    <w:rsid w:val="78B447B6"/>
    <w:rsid w:val="78C45047"/>
    <w:rsid w:val="78C95383"/>
    <w:rsid w:val="78FD327E"/>
    <w:rsid w:val="79600350"/>
    <w:rsid w:val="797C6656"/>
    <w:rsid w:val="797E3794"/>
    <w:rsid w:val="79FA5A10"/>
    <w:rsid w:val="7A0C1B92"/>
    <w:rsid w:val="7A1179E4"/>
    <w:rsid w:val="7A1D6CB8"/>
    <w:rsid w:val="7A216E38"/>
    <w:rsid w:val="7A532A8C"/>
    <w:rsid w:val="7A7F3524"/>
    <w:rsid w:val="7A8708B8"/>
    <w:rsid w:val="7A8D2E7D"/>
    <w:rsid w:val="7ABC786B"/>
    <w:rsid w:val="7ABF3134"/>
    <w:rsid w:val="7AC810FF"/>
    <w:rsid w:val="7AC878BC"/>
    <w:rsid w:val="7ACC602A"/>
    <w:rsid w:val="7B25086A"/>
    <w:rsid w:val="7B334F2B"/>
    <w:rsid w:val="7B3A1A33"/>
    <w:rsid w:val="7B5D01B2"/>
    <w:rsid w:val="7B5E7074"/>
    <w:rsid w:val="7B6273C9"/>
    <w:rsid w:val="7B735A7A"/>
    <w:rsid w:val="7B9F686F"/>
    <w:rsid w:val="7BA22FE1"/>
    <w:rsid w:val="7BBA0B9C"/>
    <w:rsid w:val="7BCF062D"/>
    <w:rsid w:val="7C217284"/>
    <w:rsid w:val="7C371162"/>
    <w:rsid w:val="7C4469E4"/>
    <w:rsid w:val="7C4559BB"/>
    <w:rsid w:val="7C9E2756"/>
    <w:rsid w:val="7CA06787"/>
    <w:rsid w:val="7D480ECC"/>
    <w:rsid w:val="7D8A722D"/>
    <w:rsid w:val="7DCE69B8"/>
    <w:rsid w:val="7DD60D82"/>
    <w:rsid w:val="7E6F7D52"/>
    <w:rsid w:val="7EAB4BAB"/>
    <w:rsid w:val="7EB919F5"/>
    <w:rsid w:val="7EBE6066"/>
    <w:rsid w:val="7EE5313E"/>
    <w:rsid w:val="7EEA7DE1"/>
    <w:rsid w:val="7EF06275"/>
    <w:rsid w:val="7F03477C"/>
    <w:rsid w:val="7F190115"/>
    <w:rsid w:val="7F7641F6"/>
    <w:rsid w:val="7F825E14"/>
    <w:rsid w:val="7FCB2C83"/>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 w:hAnsi="仿宋" w:eastAsia="宋体" w:cs="Times New Roman"/>
      <w:kern w:val="0"/>
      <w:sz w:val="28"/>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0"/>
    <w:pPr>
      <w:ind w:firstLine="420" w:firstLineChars="200"/>
    </w:pPr>
    <w:rPr>
      <w:rFonts w:hint="default"/>
      <w:sz w:val="21"/>
      <w:szCs w:val="24"/>
    </w:rPr>
  </w:style>
  <w:style w:type="paragraph" w:styleId="3">
    <w:name w:val="toa heading"/>
    <w:basedOn w:val="1"/>
    <w:next w:val="1"/>
    <w:autoRedefine/>
    <w:qFormat/>
    <w:uiPriority w:val="99"/>
    <w:pPr>
      <w:spacing w:before="120" w:after="200" w:line="276" w:lineRule="auto"/>
    </w:pPr>
    <w:rPr>
      <w:rFonts w:ascii="Arial" w:hAnsi="Arial"/>
      <w:sz w:val="24"/>
    </w:rPr>
  </w:style>
  <w:style w:type="paragraph" w:styleId="4">
    <w:name w:val="Body Text"/>
    <w:basedOn w:val="1"/>
    <w:autoRedefine/>
    <w:qFormat/>
    <w:uiPriority w:val="0"/>
    <w:rPr>
      <w:rFonts w:ascii="仿宋" w:hAnsi="仿宋" w:eastAsia="仿宋" w:cs="仿宋"/>
      <w:sz w:val="31"/>
      <w:szCs w:val="31"/>
      <w:lang w:val="en-US" w:eastAsia="en-US" w:bidi="ar-SA"/>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customStyle="1" w:styleId="10">
    <w:name w:val="列出段落1"/>
    <w:basedOn w:val="1"/>
    <w:qFormat/>
    <w:uiPriority w:val="34"/>
    <w:pPr>
      <w:ind w:firstLine="420" w:firstLineChars="200"/>
    </w:pPr>
  </w:style>
  <w:style w:type="paragraph" w:styleId="11">
    <w:name w:val="List Paragraph"/>
    <w:basedOn w:val="1"/>
    <w:autoRedefine/>
    <w:qFormat/>
    <w:uiPriority w:val="99"/>
    <w:pPr>
      <w:ind w:firstLine="420" w:firstLineChars="200"/>
    </w:pPr>
    <w:rPr>
      <w:rFonts w:ascii="Calibri" w:hAnsi="Calibri"/>
      <w:szCs w:val="22"/>
    </w:rPr>
  </w:style>
  <w:style w:type="character" w:customStyle="1" w:styleId="12">
    <w:name w:val="font31"/>
    <w:basedOn w:val="9"/>
    <w:autoRedefine/>
    <w:qFormat/>
    <w:uiPriority w:val="0"/>
    <w:rPr>
      <w:rFonts w:ascii="Calibri" w:hAnsi="Calibri" w:cs="Calibri"/>
      <w:color w:val="000000"/>
      <w:sz w:val="20"/>
      <w:szCs w:val="20"/>
      <w:u w:val="none"/>
    </w:rPr>
  </w:style>
  <w:style w:type="character" w:customStyle="1" w:styleId="13">
    <w:name w:val="font41"/>
    <w:basedOn w:val="9"/>
    <w:autoRedefine/>
    <w:qFormat/>
    <w:uiPriority w:val="0"/>
    <w:rPr>
      <w:rFonts w:hint="default"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6541</Words>
  <Characters>7300</Characters>
  <Lines>1</Lines>
  <Paragraphs>1</Paragraphs>
  <TotalTime>5</TotalTime>
  <ScaleCrop>false</ScaleCrop>
  <LinksUpToDate>false</LinksUpToDate>
  <CharactersWithSpaces>7457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WPS_751979234</cp:lastModifiedBy>
  <cp:lastPrinted>2026-04-03T03:31:00Z</cp:lastPrinted>
  <dcterms:modified xsi:type="dcterms:W3CDTF">2026-07-08T08:28:42Z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618F3F58364C4531BE8E78573464B255_13</vt:lpwstr>
  </property>
  <property fmtid="{D5CDD505-2E9C-101B-9397-08002B2CF9AE}" pid="4" name="KSOTemplateDocerSaveRecord">
    <vt:lpwstr>eyJoZGlkIjoiZDQwYTAyN2E3YWRjMmI5NTI5YTMxMTYzNDI2N2QwMzUiLCJ1c2VySWQiOiI3NTE5NzkyMzQifQ==</vt:lpwstr>
  </property>
</Properties>
</file>