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8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060"/>
        <w:gridCol w:w="1132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86.96%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530.78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943.03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351.16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日常工作经费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120.89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城市管网及污水处理补助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409.89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881.03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289.16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公共服务设施管理专项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23.98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32.78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25.86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27.78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　24.88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2.06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 xml:space="preserve"> 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　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470.60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328.59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397.48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387.25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bookmarkStart w:id="0" w:name="OLE_LINK9"/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1、完善制度建设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，抓制度落实，控制费用增长。</w:t>
            </w:r>
          </w:p>
          <w:p>
            <w:pPr>
              <w:widowControl/>
              <w:spacing w:line="300" w:lineRule="exact"/>
              <w:jc w:val="left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2、严格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控制三公经费、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会议费、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培训费、委托业务费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等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科目支出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压减日常经费开支，落实财政过紧日子的要求。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加强预算管理及财务收支管理。严格遵照“先有预算后有支出”预算管理要求，控制经费预算，对超预算资金严格管控；加强财务收支管理，对支出每笔费用认真审核，对不合规费用拒绝支付，把控资金支付合规性、合法性、准确性。</w:t>
            </w:r>
            <w:bookmarkEnd w:id="0"/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8"/>
        <w:tblW w:w="10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079"/>
        <w:gridCol w:w="1034"/>
        <w:gridCol w:w="1457"/>
        <w:gridCol w:w="1395"/>
        <w:gridCol w:w="1290"/>
        <w:gridCol w:w="645"/>
        <w:gridCol w:w="869"/>
        <w:gridCol w:w="1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岳阳市城市建设档案馆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383.15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1340.50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738.40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55.08.00%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6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0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6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  1340.42</w:t>
            </w:r>
          </w:p>
        </w:tc>
        <w:tc>
          <w:tcPr>
            <w:tcW w:w="40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 387.25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6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0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 351.16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6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0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6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  0.08 </w:t>
            </w:r>
          </w:p>
        </w:tc>
        <w:tc>
          <w:tcPr>
            <w:tcW w:w="40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0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1、我馆将以档案馆基础业务为工作主线，结合电子文件与电子档案管理、数字档案馆建设等相关规范、标准，继续夯实档案验收、档案保管、档案利用三大基础。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2、持续精细化管理，以提升服务效能为核心，落实我市城建档案事业高质量发展部署，明确发展策略和措施，进一步提升我馆规范化建设水平。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3、保证系统的正常运转。</w:t>
            </w:r>
            <w:bookmarkEnd w:id="1"/>
          </w:p>
        </w:tc>
        <w:tc>
          <w:tcPr>
            <w:tcW w:w="40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、我馆以档案馆基础业务为工作主线，结合电子文件与电子档案管理、数字档案馆建设等相关规范、标准，继续夯实档案验收、档案保管、档案利用三大基础：完成档案验收项目68个；完成城建档案收集入库1.21万卷；档案查询利用3.08万卷，其中文字资料0.68万卷，图纸2.40万幅，查询利用848人次；档案查询利用服务满意率98%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2、持续精细化管理，以提升服务效能为核心，全面落实我市城建档案事业高质量发展部署，明确发展策略和措施，进一步提升了我馆规范化建设水平。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3、各系统正常运转。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城建档案收集、入库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3万卷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1.21万卷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2.02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2" w:name="OLE_LINK8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档案验收项目减少且小项目多。</w:t>
            </w:r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档案验收项目个数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70个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68个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9.71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做好库房“九防”管理和日常维护工作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达到“九防”管理要求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达到“九防”管理要求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对新入库的档案进行入库前消毒率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任务完成时间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3" w:name="OLE_LINK1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2025年12月31日前</w:t>
            </w:r>
            <w:bookmarkEnd w:id="3"/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2025年12月31日前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人员经费和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397.48万元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387.25万元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7.79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人员经费财政局下多了指标。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项目经费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943.03万元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351.16万元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2.61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偏差原因：完成验收但财评结论未出，无法支付剩余款项。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档案查询利用次数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900人次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848人次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14.13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推进岳阳市全过程数字城建档案信息管理平台的建设，积极探索城建档案联合验收工作新模式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实现档案工作由“被动指导型”到“主动服务型”的转变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推行服务前移，优化档案验收服务，实现档案工作由“被动指导型”到“主动服务型”的转变。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档案查询利用服务对象满意率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4" w:name="OLE_LINK3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  <w:bookmarkEnd w:id="4"/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档案验收服务对象满意率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3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86.77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8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日常工作经费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岳阳市住房和城乡建设局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岳阳市城市建设档案馆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5" w:name="OLE_LINK6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1、完成城建档案库房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卷档案防霉菌、防火、防潮、防水、防日光及紫外线照射，防尘、防污染、防有害生物和安全防范等（九防）安全防范，档案库房设施、设备（温湿、消防、温控）维修维护，城建档案查询利用等工作；2、根据《岳阳市人民政府办公室关于印发&lt;岳阳市城市地下管线普查工作实施方案&gt;的通知》要求，我市应建立地下管线信息系统维护、管理与服务的长效机制，实现地下管线数据的动态更新、维护、发挥地下管线信息系统的综合服务作用，实现地下管线信息系统的规范化、信息化、动态化和科学化管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因此需进行系统和数据的维护工作。3、保证数字城建档案平台正常运行</w:t>
            </w:r>
            <w:bookmarkEnd w:id="5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保障档案入库、查询利用、验收工作正常运转。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1、城建档案库房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万卷档案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九防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管理要求，档案保存完好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；2、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进行地下管线信息系统维护工作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；3、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数字城建档案平台正常运行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保障档案入库、查询利用、验收工作正常运转。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档案案卷增加数量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3万卷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1.21万卷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2.02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档案验收项目减少且小项目多。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城建档案查询利用人次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900人次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848人次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9.42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库房管理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达到“九防”管理要求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达到“九防”管理要求，档案保存完好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系统正常运行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80%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5.6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任务完成时间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6" w:name="OLE_LINK4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2025年12月31日前</w:t>
            </w:r>
            <w:bookmarkEnd w:id="6"/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2025年12月31日前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在预算内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50万元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50万元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服务城市建设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开发城建档案信息资源，加快房屋建筑工程和市政基础设施工程联合验收进程，为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群众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提供档案查询利用，服务群众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已完成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档案九防防治年限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永久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永久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服务对象满意度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7" w:name="OLE_LINK7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  <w:bookmarkEnd w:id="7"/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主管部门满意度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73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95.04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8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638"/>
        <w:gridCol w:w="863"/>
        <w:gridCol w:w="1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城市管网及污水处理补助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岳阳市住房和城乡建设局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岳阳市城市建设档案馆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881.03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289.16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32.82%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881.03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对岳阳市中心城区排水管线补测并更新数据库，另外在未开展CCTV检测区域抽检20%管线进行排水管线清淤处理和CCTV管道检测。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项目已于2024年10月31日通过项目验收，数据采集完成地下管线普查长度3104.3km，CCTV清淤检测已全部完成，实际完成256.5km。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数据采集新测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1025km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1016.52km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9.92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指标数据为预估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管线修补测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2265km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2088.3km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7.38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指标数据为预估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排水管网清淤、CCTV检测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312km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256.5km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5.75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项目目标抽检岳阳市岳阳楼区、君山区、云溪区20%排水管线，可研预估三区排水管线累计1560公里，实际三区排水管线为1200余公里，本项目完成240余公里CCTV检测抽检即满足合同需求，因此实际完成工作量低于合同预估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测量数据入库完成率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任务完成时间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2024年12月31日前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2024年12月31日前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预算控制数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881.03万元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289.16万元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1.64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完成验收但财评结论未出，无法支付剩余款项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  <w:bookmarkStart w:id="8" w:name="_GoBack"/>
            <w:bookmarkEnd w:id="8"/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服务城市建设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为城市建设提供管线数据查询利用、服务群众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为城市建设提供管线数据查询利用、服务群众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雨污分流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优化环境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优化环境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提供查询   和利用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永久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永久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服务满意度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87.97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 xml:space="preserve">岳阳市城市建设档案馆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</w:p>
    <w:p>
      <w:pPr>
        <w:spacing w:before="140" w:line="757" w:lineRule="exact"/>
        <w:ind w:firstLine="991" w:firstLineChars="200"/>
        <w:jc w:val="both"/>
        <w:rPr>
          <w:rFonts w:ascii="宋体" w:hAnsi="宋体" w:cs="宋体"/>
          <w:b/>
          <w:bCs/>
          <w:color w:val="000000" w:themeColor="text1"/>
          <w:spacing w:val="32"/>
          <w:position w:val="24"/>
          <w:sz w:val="43"/>
          <w:szCs w:val="43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pacing w:val="32"/>
          <w:position w:val="24"/>
          <w:sz w:val="43"/>
          <w:szCs w:val="43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cs="宋体"/>
          <w:b/>
          <w:bCs/>
          <w:color w:val="000000" w:themeColor="text1"/>
          <w:spacing w:val="32"/>
          <w:position w:val="24"/>
          <w:sz w:val="43"/>
          <w:szCs w:val="43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cs="宋体"/>
          <w:b/>
          <w:bCs/>
          <w:color w:val="000000" w:themeColor="text1"/>
          <w:spacing w:val="32"/>
          <w:position w:val="24"/>
          <w:sz w:val="43"/>
          <w:szCs w:val="43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cs="宋体"/>
          <w:b/>
          <w:bCs/>
          <w:color w:val="000000" w:themeColor="text1"/>
          <w:spacing w:val="32"/>
          <w:position w:val="24"/>
          <w:sz w:val="43"/>
          <w:szCs w:val="43"/>
          <w14:textFill>
            <w14:solidFill>
              <w14:schemeClr w14:val="tx1"/>
            </w14:solidFill>
          </w14:textFill>
        </w:rPr>
        <w:t>岳阳市城市建设档案馆</w:t>
      </w:r>
    </w:p>
    <w:p>
      <w:pPr>
        <w:pStyle w:val="3"/>
        <w:ind w:firstLine="1983" w:firstLineChars="400"/>
        <w:jc w:val="both"/>
        <w:rPr>
          <w:rFonts w:ascii="宋体" w:hAnsi="宋体" w:cs="宋体"/>
          <w:b/>
          <w:bCs/>
          <w:color w:val="000000" w:themeColor="text1"/>
          <w:spacing w:val="32"/>
          <w:position w:val="24"/>
          <w:sz w:val="43"/>
          <w:szCs w:val="43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32"/>
          <w:position w:val="24"/>
          <w:sz w:val="43"/>
          <w:szCs w:val="43"/>
          <w14:textFill>
            <w14:solidFill>
              <w14:schemeClr w14:val="tx1"/>
            </w14:solidFill>
          </w14:textFill>
        </w:rPr>
        <w:t>整体支出绩效自评报告</w:t>
      </w:r>
    </w:p>
    <w:p>
      <w:pPr>
        <w:spacing w:line="299" w:lineRule="auto"/>
        <w:rPr>
          <w:rFonts w:ascii="Arial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before="104" w:line="222" w:lineRule="auto"/>
        <w:ind w:firstLine="744" w:firstLineChars="200"/>
        <w:rPr>
          <w:rFonts w:ascii="黑体" w:hAnsi="黑体" w:eastAsia="黑体" w:cs="黑体"/>
          <w:color w:val="000000" w:themeColor="text1"/>
          <w:spacing w:val="26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2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 w:cs="黑体"/>
          <w:color w:val="000000" w:themeColor="text1"/>
          <w:spacing w:val="26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黑体" w:hAnsi="黑体" w:eastAsia="黑体" w:cs="黑体"/>
          <w:color w:val="000000" w:themeColor="text1"/>
          <w:spacing w:val="26"/>
          <w:sz w:val="32"/>
          <w:szCs w:val="32"/>
          <w14:textFill>
            <w14:solidFill>
              <w14:schemeClr w14:val="tx1"/>
            </w14:solidFill>
          </w14:textFill>
        </w:rPr>
        <w:t>部门(单位)基本情况</w:t>
      </w:r>
    </w:p>
    <w:p>
      <w:pPr>
        <w:pStyle w:val="4"/>
        <w:spacing w:before="0"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职能职责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负责拟定城建档案发展规划。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负责城市规划区范围内的城建档案的统一管理。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负责做好进馆档案的保管、保护工作。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/>
          <w:sz w:val="32"/>
          <w:szCs w:val="32"/>
        </w:rPr>
        <w:t>负责依法收集、接受、征集市区范围内产生的需永久和长期保管的城建档案等有关资料。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sz w:val="32"/>
          <w:szCs w:val="32"/>
        </w:rPr>
        <w:t>负责开发城建档案信息资源。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/>
          <w:sz w:val="32"/>
          <w:szCs w:val="32"/>
        </w:rPr>
        <w:t>负责县（市、区）城建档案工作的指导、监督、检查。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/>
          <w:sz w:val="32"/>
          <w:szCs w:val="32"/>
        </w:rPr>
        <w:t>负责城市规划区范围内地下管线资料及数据的收集、管理、利用工作。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/>
          <w:sz w:val="32"/>
          <w:szCs w:val="32"/>
        </w:rPr>
        <w:t>负责住房和城乡建设信息资源管理、信息系统规划建设、智慧住建等行政辅助和技术保障工作。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9、</w:t>
      </w:r>
      <w:r>
        <w:rPr>
          <w:rFonts w:hint="eastAsia" w:ascii="仿宋" w:hAnsi="仿宋" w:eastAsia="仿宋"/>
          <w:sz w:val="32"/>
          <w:szCs w:val="32"/>
        </w:rPr>
        <w:t>完成市住建局交办的其他工作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hint="default" w:eastAsia="仿宋"/>
          <w:lang w:val="en-US" w:eastAsia="zh-CN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二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  <w:lang w:val="en-US" w:eastAsia="zh-CN"/>
        </w:rPr>
        <w:t>机构设置</w:t>
      </w:r>
    </w:p>
    <w:p>
      <w:pPr>
        <w:pStyle w:val="4"/>
        <w:spacing w:before="0"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独立编制、核算机构数1个，内设科室3个：综合室、业务室、信息室。核定编制23人，正式干部职工19人，退休人员12人，临聘人员3人。领导职数：馆长（正科级）1名，副馆长（副科级）4名，党组织专职副书记兼纪检员（副科级）1名。</w:t>
      </w:r>
    </w:p>
    <w:p>
      <w:pPr>
        <w:pStyle w:val="3"/>
        <w:ind w:firstLine="0" w:firstLineChars="0"/>
      </w:pPr>
    </w:p>
    <w:p>
      <w:pPr>
        <w:spacing w:before="242" w:line="221" w:lineRule="auto"/>
        <w:ind w:left="61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8"/>
          <w:sz w:val="32"/>
          <w:szCs w:val="32"/>
        </w:rPr>
        <w:t>二、</w:t>
      </w:r>
      <w:r>
        <w:rPr>
          <w:rFonts w:ascii="黑体" w:hAnsi="黑体" w:eastAsia="黑体" w:cs="黑体"/>
          <w:spacing w:val="-73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8"/>
          <w:sz w:val="32"/>
          <w:szCs w:val="32"/>
        </w:rPr>
        <w:t>一般公共预算支出情况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(一)基本支出情况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年度财政拨款基本支出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387.25</w:t>
      </w:r>
      <w:r>
        <w:rPr>
          <w:rFonts w:hint="eastAsia" w:ascii="仿宋" w:hAnsi="仿宋" w:eastAsia="仿宋"/>
          <w:sz w:val="32"/>
          <w:szCs w:val="32"/>
        </w:rPr>
        <w:t>万元，其中人员经费3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61.39</w:t>
      </w:r>
      <w:r>
        <w:rPr>
          <w:rFonts w:hint="eastAsia" w:ascii="仿宋" w:hAnsi="仿宋" w:eastAsia="仿宋"/>
          <w:sz w:val="32"/>
          <w:szCs w:val="32"/>
        </w:rPr>
        <w:t>万元，占基本支出的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93.32</w:t>
      </w:r>
      <w:r>
        <w:rPr>
          <w:rFonts w:hint="eastAsia" w:ascii="仿宋" w:hAnsi="仿宋" w:eastAsia="仿宋"/>
          <w:sz w:val="32"/>
          <w:szCs w:val="32"/>
        </w:rPr>
        <w:t>%；公用经费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25.86</w:t>
      </w:r>
      <w:r>
        <w:rPr>
          <w:rFonts w:hint="eastAsia" w:ascii="仿宋" w:hAnsi="仿宋" w:eastAsia="仿宋"/>
          <w:sz w:val="32"/>
          <w:szCs w:val="32"/>
        </w:rPr>
        <w:t>万元，占基本支出的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6.68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pStyle w:val="4"/>
        <w:spacing w:before="0"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（二）项目支出情况</w:t>
      </w:r>
    </w:p>
    <w:p>
      <w:pPr>
        <w:pStyle w:val="4"/>
        <w:spacing w:before="0" w:after="0"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年度财政拨款项目支出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351.16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其中日常工作经费支出50万元，占项目支出的14.24%，城市管网及污水处理补助项目支出289.16万元，占项目支出的82.34%；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公共服务设施管理专项经费支出12万元，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占项目支出的3.42%。</w:t>
      </w:r>
    </w:p>
    <w:p>
      <w:pPr>
        <w:spacing w:before="247" w:line="222" w:lineRule="auto"/>
        <w:ind w:left="610"/>
        <w:outlineLvl w:val="0"/>
        <w:rPr>
          <w:rFonts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3"/>
          <w:sz w:val="32"/>
          <w:szCs w:val="32"/>
        </w:rPr>
        <w:t>三、政府性基金预算支出情况</w:t>
      </w:r>
    </w:p>
    <w:p>
      <w:pPr>
        <w:spacing w:before="247" w:line="222" w:lineRule="auto"/>
        <w:ind w:left="610" w:firstLine="499"/>
        <w:outlineLvl w:val="0"/>
        <w:rPr>
          <w:rFonts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  <w:t>无</w:t>
      </w:r>
    </w:p>
    <w:p>
      <w:pPr>
        <w:spacing w:before="255" w:line="222" w:lineRule="auto"/>
        <w:ind w:firstLine="591" w:firstLineChars="200"/>
        <w:outlineLvl w:val="0"/>
        <w:rPr>
          <w:rFonts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  <w:t>四、</w:t>
      </w:r>
      <w:r>
        <w:rPr>
          <w:rFonts w:ascii="黑体" w:hAnsi="黑体" w:eastAsia="黑体" w:cs="黑体"/>
          <w:b/>
          <w:bCs/>
          <w:spacing w:val="-13"/>
          <w:sz w:val="32"/>
          <w:szCs w:val="32"/>
        </w:rPr>
        <w:t>国有资本经营预算支出情况</w:t>
      </w:r>
    </w:p>
    <w:p>
      <w:pPr>
        <w:spacing w:before="247" w:line="222" w:lineRule="auto"/>
        <w:ind w:left="610" w:firstLine="499"/>
        <w:outlineLvl w:val="0"/>
        <w:rPr>
          <w:rFonts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  <w:t>无</w:t>
      </w:r>
    </w:p>
    <w:p>
      <w:pPr>
        <w:spacing w:before="255" w:line="222" w:lineRule="auto"/>
        <w:ind w:firstLine="591" w:firstLineChars="200"/>
        <w:outlineLvl w:val="0"/>
        <w:rPr>
          <w:rFonts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3"/>
          <w:sz w:val="32"/>
          <w:szCs w:val="32"/>
        </w:rPr>
        <w:t>五、社会保险基金预算支出情况</w:t>
      </w:r>
    </w:p>
    <w:p>
      <w:pPr>
        <w:spacing w:before="255" w:line="222" w:lineRule="auto"/>
        <w:ind w:left="610" w:firstLine="499"/>
        <w:outlineLvl w:val="0"/>
        <w:rPr>
          <w:rFonts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  <w:t>无</w:t>
      </w:r>
    </w:p>
    <w:p>
      <w:pPr>
        <w:numPr>
          <w:ilvl w:val="0"/>
          <w:numId w:val="1"/>
        </w:numPr>
        <w:spacing w:before="255" w:line="221" w:lineRule="auto"/>
        <w:ind w:left="614"/>
        <w:outlineLvl w:val="0"/>
        <w:rPr>
          <w:rFonts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3"/>
          <w:sz w:val="32"/>
          <w:szCs w:val="32"/>
        </w:rPr>
        <w:t>部门整体支出绩效情况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行政审批服务展现新气象。始终用优质助企服务打造一流营商环境。一是持续推行服务前移。通过建立项目工作群、实施“月讲评”机制、提供“一对一”全流程服务等方式，全年为170个项目提供前移服务，完成6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个项目专项验收，接收68个项目档案入库，其中房建项目46个，市政项目22个，入库档案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万余卷，近三年无投诉。二是聚力攻坚重点项目。全年完成“春和景明”“宝德东堤湾”等7个“保交房”项目、“云溪绿色化工产业园”等3个市重点项目、“南湖宾馆”等3个旅发大会项目、“金鹗花园一期”集中化解项目的档案验收工作。特别是市重点项目“岳阳市中心医院一期肿瘤诊疗中心”，通过专人驻场服务1个月，依法依规按时完成归档工作。三是有力推动补卷移交。针对已出具档案验收意见的项目，逐一标注档案承诺补卷时限，倒排时间节点并跟踪回访，做到竣备完成与资料进馆无缝衔接。全年完成22个项目档案补卷移交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网站宣传成效形成新亮点。坚持将学习教育成果转化为服务中心、服务群众的实际行动。一是深化历史建筑档案编研成果。协同局机关历史名城科，持续深化我市历史文化名城名镇名村及历史建筑档案编研工作，系统拍摄、整理全市历史建筑的文字、图片及声像资料，并积极利用新媒体平台进行了宣传报道。全年，通过局官网、微信公众号共发布“岳阳市历史建筑档案”“岳阳城市变迁”相关系列文章30篇，总阅读量逾万次；视频号推广17篇，阅读量约20万次。二是深入开展档案宣传活动。以“6•9”国际档案日为契机，推出“请听档案说”主题宣传科普文章；积极参加南湖广场“微宣讲”住建专场的群众咨询与答疑活动，并组织邀请“春和景明”项目建设单位代表开展“与理有岳.先锋住建”基层微宣讲，加深群众对项目建设档案的认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档案管理建设得到新加强。多措并举夯实基础，全面提升管理能效。一是提升窗口便民服务水平。全年为有关单位和个人提供档案利用共计800余人次，调档3万余卷，提供电子档文字材料6800余卷，图纸2.4万余张。收到群众赠送的锦旗一面。二是推进场馆标准化建设。在档案馆老库房搬迁事宜上，多次与市机关事务局进行磋商，有突破性进展，新馆库房按照最新国标要求建设，库容面积实现发展2-3年的档案余量，争取硬件升级设施近80万元，预计明年年初整体搬迁并投入使用。三是完善档案日常安全保管。秉承“合法依规、安全保密”管理原则，全面落实安全巡查制度，定期检查库房纸质档案。并加强库房出入管控，严格执行出入登记制度，全力保障档案实体与信息的安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档案信息化建设取得新进展。以信息化促进服务优化与效能提升。一是扎实推进各项信息化建设工作。配合市局勘察设计科，完善“自然灾害综合风险普查基础数据库住建库建设”技术方案，积极对接政务云资源；配合局行政审批科，持续完善“湘易办住建专区”建设，按要求新增6项功能；配合市数据局，全面清查我局数据资源，完成政务数据资源认领工作；完成与不动产新系统的对接工作；完成城建档案系统等级保护测评的定级备案和初测工作。二是做好信息化日常保障工作。全年在门户网站发布信息2646条，其中，政务公开类732条、行业管理133条、施工许可122条、红黄牌187条、商品房预售许可41条；向市大数据中心数据共享平台报送协税数据8408条；完成网络设备、办公设备的日常维护工作1221次；派专人负责楼盘表和合同推送工作，做到当天办理、当天解决，为备案、维修资金窗口等日常业务办理提供坚实保障。</w:t>
      </w:r>
    </w:p>
    <w:p>
      <w:pPr>
        <w:pStyle w:val="6"/>
      </w:pPr>
    </w:p>
    <w:p>
      <w:pPr>
        <w:numPr>
          <w:ilvl w:val="0"/>
          <w:numId w:val="1"/>
        </w:numPr>
        <w:spacing w:before="276" w:line="222" w:lineRule="auto"/>
        <w:ind w:left="614" w:leftChars="0" w:firstLine="0" w:firstLineChars="0"/>
        <w:outlineLvl w:val="0"/>
        <w:rPr>
          <w:rFonts w:ascii="黑体" w:hAnsi="黑体" w:eastAsia="黑体" w:cs="黑体"/>
          <w:b/>
          <w:bCs/>
          <w:spacing w:val="-5"/>
          <w:sz w:val="32"/>
          <w:szCs w:val="32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76" w:line="600" w:lineRule="exact"/>
        <w:ind w:firstLine="643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"/>
        </w:rPr>
        <w:t>1、预算执行进度不均衡。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"/>
        </w:rPr>
        <w:t>部分项目支出未能按计划支出，原因是部门之间，内部各环节之间缺乏沟通。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76" w:line="600" w:lineRule="exact"/>
        <w:ind w:firstLine="643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"/>
        </w:rPr>
        <w:t>2、绩效管理意识不强。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"/>
        </w:rPr>
        <w:t>对绩效评价工作重视程度不够，缺乏主动意识，原因是对绩效理念的宣传和培训不足。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76" w:line="600" w:lineRule="exact"/>
        <w:ind w:firstLine="643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"/>
        </w:rPr>
        <w:t>3、绩效指标设置不够精准。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"/>
        </w:rPr>
        <w:t>部分绩效指标难以准确衡量实际绩效，原因是指标设置时考虑不够全面，缺乏对实际工作的深入理解。</w:t>
      </w:r>
    </w:p>
    <w:p>
      <w:pPr>
        <w:spacing w:before="250" w:line="222" w:lineRule="auto"/>
        <w:ind w:firstLine="591" w:firstLineChars="200"/>
        <w:outlineLvl w:val="0"/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  <w:t>八、下一步改进措施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0"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  <w:t>加强预算执</w:t>
      </w: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行管理，加强各部门，内部各环节之间的沟通，建立定期跟踪机制，确保今后项目支出及时支付。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0"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2、强化绩效管理意识，加强绩效理念的宣传和培训力度，提高全员重视程度。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0"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3、优化绩效指标体系，结合实际情况进行深入调研和分析，确保指标科学合理。</w:t>
      </w:r>
    </w:p>
    <w:p>
      <w:pPr>
        <w:spacing w:before="250" w:line="222" w:lineRule="auto"/>
        <w:ind w:firstLine="591" w:firstLineChars="200"/>
        <w:outlineLvl w:val="0"/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3"/>
          <w:sz w:val="32"/>
          <w:szCs w:val="32"/>
        </w:rPr>
        <w:t>九、 部门整体支出绩效自评结果拟应用和公开情况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0" w:line="600" w:lineRule="atLeas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建立了部门整体支出绩效自评结果与单位预算相结合的应用机制，强化评价结果在单位预算编制和执行中的应用，促进财政资金的合理分配和有效使用。同时将评价结果按照政府信息公开的要求进行公开，加强社会公众对财政资金使用效益的监督。</w:t>
      </w:r>
    </w:p>
    <w:p>
      <w:pPr>
        <w:spacing w:before="1" w:line="220" w:lineRule="auto"/>
        <w:ind w:left="694"/>
        <w:rPr>
          <w:rFonts w:ascii="黑体" w:hAnsi="黑体" w:eastAsia="黑体" w:cs="黑体"/>
          <w:b/>
          <w:bCs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其他需要说明的情况</w:t>
      </w:r>
    </w:p>
    <w:p>
      <w:pPr>
        <w:ind w:firstLine="1245" w:firstLineChars="400"/>
        <w:rPr>
          <w:rFonts w:ascii="黑体" w:hAnsi="黑体" w:eastAsia="黑体" w:cs="黑体"/>
          <w:b/>
          <w:bCs/>
          <w:snapToGrid w:val="0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napToGrid w:val="0"/>
          <w:sz w:val="31"/>
          <w:szCs w:val="31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  <w:t>绩效自评工作考核评分表</w:t>
      </w:r>
    </w:p>
    <w:tbl>
      <w:tblPr>
        <w:tblStyle w:val="8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2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金情况清单</w:t>
            </w:r>
          </w:p>
          <w:p>
            <w:pPr>
              <w:numPr>
                <w:ilvl w:val="0"/>
                <w:numId w:val="2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850" w:right="1633" w:bottom="850" w:left="163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8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23889"/>
    <w:multiLevelType w:val="singleLevel"/>
    <w:tmpl w:val="F4623889"/>
    <w:lvl w:ilvl="0" w:tentative="0">
      <w:start w:val="6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9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1Y2E5ZjQxZWQ0NDk4ODI0NGM3NTM0NWE4OTIzYjYifQ=="/>
  </w:docVars>
  <w:rsids>
    <w:rsidRoot w:val="59886344"/>
    <w:rsid w:val="00A566D5"/>
    <w:rsid w:val="02DB00BA"/>
    <w:rsid w:val="041B0A5C"/>
    <w:rsid w:val="04620561"/>
    <w:rsid w:val="04946E77"/>
    <w:rsid w:val="04B616A4"/>
    <w:rsid w:val="058B39C0"/>
    <w:rsid w:val="06B26F4E"/>
    <w:rsid w:val="06E94E42"/>
    <w:rsid w:val="0788465B"/>
    <w:rsid w:val="07DC0503"/>
    <w:rsid w:val="08165D12"/>
    <w:rsid w:val="08566507"/>
    <w:rsid w:val="08D4742C"/>
    <w:rsid w:val="09EF6C13"/>
    <w:rsid w:val="0A157CFC"/>
    <w:rsid w:val="0B0B0819"/>
    <w:rsid w:val="0BEF6A57"/>
    <w:rsid w:val="0BF1778A"/>
    <w:rsid w:val="0DDA54E4"/>
    <w:rsid w:val="0E963B01"/>
    <w:rsid w:val="0EE77EB9"/>
    <w:rsid w:val="1154735C"/>
    <w:rsid w:val="13113756"/>
    <w:rsid w:val="15B66837"/>
    <w:rsid w:val="168F5A8F"/>
    <w:rsid w:val="16B9038D"/>
    <w:rsid w:val="16E55626"/>
    <w:rsid w:val="17DA4A5F"/>
    <w:rsid w:val="17DF2075"/>
    <w:rsid w:val="17F13B56"/>
    <w:rsid w:val="186F51A6"/>
    <w:rsid w:val="1BF65BDF"/>
    <w:rsid w:val="1D8D2573"/>
    <w:rsid w:val="1EB3600A"/>
    <w:rsid w:val="1FB740CD"/>
    <w:rsid w:val="2000527E"/>
    <w:rsid w:val="20AA51EA"/>
    <w:rsid w:val="213C1917"/>
    <w:rsid w:val="21C5058D"/>
    <w:rsid w:val="237D0994"/>
    <w:rsid w:val="23937182"/>
    <w:rsid w:val="23AE0B4E"/>
    <w:rsid w:val="2419690F"/>
    <w:rsid w:val="24FF15B9"/>
    <w:rsid w:val="25050C41"/>
    <w:rsid w:val="250749B9"/>
    <w:rsid w:val="25445C0D"/>
    <w:rsid w:val="25B6018D"/>
    <w:rsid w:val="25BB5804"/>
    <w:rsid w:val="25C7239A"/>
    <w:rsid w:val="26E940FA"/>
    <w:rsid w:val="2936586D"/>
    <w:rsid w:val="29AE7AF9"/>
    <w:rsid w:val="29BB5D72"/>
    <w:rsid w:val="2A092F82"/>
    <w:rsid w:val="2B9176D3"/>
    <w:rsid w:val="2BA411B4"/>
    <w:rsid w:val="2BCA04EF"/>
    <w:rsid w:val="2CD07D87"/>
    <w:rsid w:val="2D4D13D7"/>
    <w:rsid w:val="2DF16206"/>
    <w:rsid w:val="2E9D638E"/>
    <w:rsid w:val="2EC9441C"/>
    <w:rsid w:val="2EC97183"/>
    <w:rsid w:val="2F2D14C0"/>
    <w:rsid w:val="30B73737"/>
    <w:rsid w:val="30FA7AC8"/>
    <w:rsid w:val="318B2EA2"/>
    <w:rsid w:val="327B0795"/>
    <w:rsid w:val="333C43C8"/>
    <w:rsid w:val="35CE52B0"/>
    <w:rsid w:val="35DC1B65"/>
    <w:rsid w:val="35EA010B"/>
    <w:rsid w:val="36D44917"/>
    <w:rsid w:val="373F7FE3"/>
    <w:rsid w:val="374750E9"/>
    <w:rsid w:val="37AE6F16"/>
    <w:rsid w:val="38C033A5"/>
    <w:rsid w:val="38F92413"/>
    <w:rsid w:val="39A54DAA"/>
    <w:rsid w:val="3A4561A9"/>
    <w:rsid w:val="3B651FE2"/>
    <w:rsid w:val="3D393726"/>
    <w:rsid w:val="3E497999"/>
    <w:rsid w:val="403E177F"/>
    <w:rsid w:val="415723CD"/>
    <w:rsid w:val="421B5F74"/>
    <w:rsid w:val="433B01F8"/>
    <w:rsid w:val="43AF4742"/>
    <w:rsid w:val="43C24475"/>
    <w:rsid w:val="4516357A"/>
    <w:rsid w:val="45AF4585"/>
    <w:rsid w:val="46EB3CE3"/>
    <w:rsid w:val="47743CD8"/>
    <w:rsid w:val="47C14A44"/>
    <w:rsid w:val="4823125B"/>
    <w:rsid w:val="49270DF1"/>
    <w:rsid w:val="4A3E237C"/>
    <w:rsid w:val="4AD351BA"/>
    <w:rsid w:val="4BD42F98"/>
    <w:rsid w:val="4BDA60D4"/>
    <w:rsid w:val="4C5E4F57"/>
    <w:rsid w:val="4D0426C5"/>
    <w:rsid w:val="4D7D24DB"/>
    <w:rsid w:val="4DF80A94"/>
    <w:rsid w:val="4E1B6F21"/>
    <w:rsid w:val="4E45017D"/>
    <w:rsid w:val="4E724CEA"/>
    <w:rsid w:val="4FCC4A3E"/>
    <w:rsid w:val="500876B4"/>
    <w:rsid w:val="50575F45"/>
    <w:rsid w:val="50715259"/>
    <w:rsid w:val="511369A7"/>
    <w:rsid w:val="51D05FAF"/>
    <w:rsid w:val="51F425BE"/>
    <w:rsid w:val="52756B57"/>
    <w:rsid w:val="52831274"/>
    <w:rsid w:val="52BE04FE"/>
    <w:rsid w:val="52D90759"/>
    <w:rsid w:val="53EF77F3"/>
    <w:rsid w:val="5520724E"/>
    <w:rsid w:val="55B300C2"/>
    <w:rsid w:val="55F67FAE"/>
    <w:rsid w:val="563F1955"/>
    <w:rsid w:val="570404A9"/>
    <w:rsid w:val="578C2978"/>
    <w:rsid w:val="580C5867"/>
    <w:rsid w:val="59886344"/>
    <w:rsid w:val="5BBE156E"/>
    <w:rsid w:val="5C1B0D08"/>
    <w:rsid w:val="5D0B433F"/>
    <w:rsid w:val="5D4B1601"/>
    <w:rsid w:val="5DBB3FB7"/>
    <w:rsid w:val="5E8048B9"/>
    <w:rsid w:val="5EBE53E1"/>
    <w:rsid w:val="5EF15FD9"/>
    <w:rsid w:val="5EFD5F0A"/>
    <w:rsid w:val="5FE62E42"/>
    <w:rsid w:val="600D03CE"/>
    <w:rsid w:val="60326087"/>
    <w:rsid w:val="60BA0F9B"/>
    <w:rsid w:val="61567260"/>
    <w:rsid w:val="619E6D08"/>
    <w:rsid w:val="62B72874"/>
    <w:rsid w:val="63BD3AA9"/>
    <w:rsid w:val="63CC234F"/>
    <w:rsid w:val="663C1A0D"/>
    <w:rsid w:val="677551D7"/>
    <w:rsid w:val="67A07D7A"/>
    <w:rsid w:val="68C161FA"/>
    <w:rsid w:val="68D73C6F"/>
    <w:rsid w:val="68D777CC"/>
    <w:rsid w:val="6AE62C40"/>
    <w:rsid w:val="6B882FFF"/>
    <w:rsid w:val="6BF07522"/>
    <w:rsid w:val="6D0641CD"/>
    <w:rsid w:val="6E056B89"/>
    <w:rsid w:val="6F675D4D"/>
    <w:rsid w:val="6FDB4045"/>
    <w:rsid w:val="705B6F34"/>
    <w:rsid w:val="70D94A29"/>
    <w:rsid w:val="72457E9C"/>
    <w:rsid w:val="72534367"/>
    <w:rsid w:val="726227FC"/>
    <w:rsid w:val="731B28CB"/>
    <w:rsid w:val="732D2E0A"/>
    <w:rsid w:val="73C05A2C"/>
    <w:rsid w:val="748F53FE"/>
    <w:rsid w:val="74980757"/>
    <w:rsid w:val="763369E3"/>
    <w:rsid w:val="76B80C3C"/>
    <w:rsid w:val="76CF41D8"/>
    <w:rsid w:val="76D161A2"/>
    <w:rsid w:val="778E4093"/>
    <w:rsid w:val="79187FD1"/>
    <w:rsid w:val="797352EE"/>
    <w:rsid w:val="79DA536E"/>
    <w:rsid w:val="7AE30252"/>
    <w:rsid w:val="7B4B4E26"/>
    <w:rsid w:val="7B737828"/>
    <w:rsid w:val="7CED360A"/>
    <w:rsid w:val="7DBF4FA6"/>
    <w:rsid w:val="7DDB282E"/>
    <w:rsid w:val="7E5C0A47"/>
    <w:rsid w:val="7EFE565A"/>
    <w:rsid w:val="7F671451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paragraph" w:styleId="2">
    <w:name w:val="heading 3"/>
    <w:basedOn w:val="1"/>
    <w:next w:val="1"/>
    <w:link w:val="13"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2"/>
    </w:pPr>
    <w:rPr>
      <w:rFonts w:eastAsia="楷体_GB2312"/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420" w:firstLineChars="200"/>
    </w:pPr>
    <w:rPr>
      <w:sz w:val="21"/>
    </w:rPr>
  </w:style>
  <w:style w:type="paragraph" w:styleId="4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kern w:val="2"/>
      <w:sz w:val="24"/>
      <w:szCs w:val="21"/>
    </w:r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6">
    <w:name w:val="Block Text"/>
    <w:unhideWhenUsed/>
    <w:qFormat/>
    <w:uiPriority w:val="99"/>
    <w:pPr>
      <w:widowControl w:val="0"/>
      <w:spacing w:after="120"/>
      <w:ind w:left="1440" w:leftChars="700" w:right="1440" w:rightChars="7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7">
    <w:name w:val="footnote text"/>
    <w:basedOn w:val="1"/>
    <w:qFormat/>
    <w:uiPriority w:val="99"/>
    <w:pPr>
      <w:snapToGrid w:val="0"/>
      <w:spacing w:line="360" w:lineRule="auto"/>
      <w:ind w:firstLine="560"/>
    </w:pPr>
    <w:rPr>
      <w:rFonts w:ascii="仿宋_GB2312" w:hAnsi="仿宋_GB2312" w:eastAsia="仿宋" w:cs="Times New Roman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character" w:customStyle="1" w:styleId="13">
    <w:name w:val="标题 3 Char"/>
    <w:link w:val="2"/>
    <w:qFormat/>
    <w:uiPriority w:val="0"/>
    <w:rPr>
      <w:rFonts w:eastAsia="楷体_GB2312"/>
      <w:b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紫色的山</cp:lastModifiedBy>
  <cp:lastPrinted>2026-04-13T08:32:00Z</cp:lastPrinted>
  <dcterms:modified xsi:type="dcterms:W3CDTF">2026-06-15T07:58:17Z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B29E905EA6B748C28B87470A521713F4_13</vt:lpwstr>
  </property>
</Properties>
</file>