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05A1">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A1269C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3C95ED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8B94C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BFF06F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825E85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235FC9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0DC49A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F50CF9C">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5C0D2F49">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5</w:t>
            </w: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auto" w:sz="4" w:space="0"/>
            </w:tcBorders>
            <w:noWrap w:val="0"/>
            <w:vAlign w:val="center"/>
          </w:tcPr>
          <w:p w14:paraId="3EFE2F19">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5</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auto" w:sz="4" w:space="0"/>
            </w:tcBorders>
            <w:noWrap w:val="0"/>
            <w:vAlign w:val="center"/>
          </w:tcPr>
          <w:p w14:paraId="04212A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779487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B8C8E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391961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86700E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8572E0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4E7D641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D1E2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072AAA">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6.28</w:t>
            </w:r>
          </w:p>
        </w:tc>
        <w:tc>
          <w:tcPr>
            <w:tcW w:w="2240" w:type="dxa"/>
            <w:gridSpan w:val="2"/>
            <w:tcBorders>
              <w:top w:val="single" w:color="auto" w:sz="4" w:space="0"/>
              <w:left w:val="nil"/>
              <w:bottom w:val="single" w:color="auto" w:sz="4" w:space="0"/>
              <w:right w:val="single" w:color="000000" w:sz="4" w:space="0"/>
            </w:tcBorders>
            <w:noWrap w:val="0"/>
            <w:vAlign w:val="center"/>
          </w:tcPr>
          <w:p w14:paraId="4D31F659">
            <w:pPr>
              <w:widowControl/>
              <w:spacing w:line="360" w:lineRule="exact"/>
              <w:jc w:val="center"/>
              <w:rPr>
                <w:rFonts w:hint="default"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8</w:t>
            </w:r>
            <w:r>
              <w:rPr>
                <w:rFonts w:hint="default" w:ascii="仿宋_GB2312" w:hAnsi="仿宋_GB2312" w:eastAsia="仿宋_GB2312" w:cs="仿宋_GB2312"/>
                <w:sz w:val="20"/>
                <w:szCs w:val="20"/>
                <w:highlight w:val="none"/>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393B46C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6.08</w:t>
            </w:r>
          </w:p>
        </w:tc>
      </w:tr>
      <w:tr w14:paraId="7CAAA8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81014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CD93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rPr>
              <w:t>6.00</w:t>
            </w:r>
          </w:p>
        </w:tc>
        <w:tc>
          <w:tcPr>
            <w:tcW w:w="2240" w:type="dxa"/>
            <w:gridSpan w:val="2"/>
            <w:tcBorders>
              <w:top w:val="single" w:color="auto" w:sz="4" w:space="0"/>
              <w:left w:val="nil"/>
              <w:bottom w:val="single" w:color="auto" w:sz="4" w:space="0"/>
              <w:right w:val="single" w:color="000000" w:sz="4" w:space="0"/>
            </w:tcBorders>
            <w:noWrap w:val="0"/>
            <w:vAlign w:val="center"/>
          </w:tcPr>
          <w:p w14:paraId="0F35E6F5">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680B298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r>
      <w:tr w14:paraId="72499B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80B3D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5B8AB7D">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14AFFEE">
            <w:pPr>
              <w:widowControl/>
              <w:spacing w:line="360" w:lineRule="exact"/>
              <w:jc w:val="center"/>
              <w:rPr>
                <w:rFonts w:hint="default" w:ascii="仿宋_GB2312" w:hAnsi="仿宋_GB2312" w:eastAsia="仿宋_GB2312" w:cs="仿宋_GB2312"/>
                <w:sz w:val="20"/>
                <w:szCs w:val="20"/>
                <w:highlight w:val="none"/>
                <w:lang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F7C0119">
            <w:pPr>
              <w:widowControl/>
              <w:spacing w:line="360" w:lineRule="exact"/>
              <w:jc w:val="center"/>
              <w:rPr>
                <w:rFonts w:hint="default" w:ascii="仿宋_GB2312" w:hAnsi="仿宋_GB2312" w:eastAsia="仿宋_GB2312" w:cs="仿宋_GB2312"/>
                <w:sz w:val="20"/>
                <w:szCs w:val="20"/>
                <w:highlight w:val="none"/>
                <w:lang w:eastAsia="zh-CN"/>
              </w:rPr>
            </w:pPr>
          </w:p>
        </w:tc>
      </w:tr>
      <w:tr w14:paraId="15673FD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04C92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A105493">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6.00</w:t>
            </w:r>
          </w:p>
        </w:tc>
        <w:tc>
          <w:tcPr>
            <w:tcW w:w="2240" w:type="dxa"/>
            <w:gridSpan w:val="2"/>
            <w:tcBorders>
              <w:top w:val="single" w:color="auto" w:sz="4" w:space="0"/>
              <w:left w:val="nil"/>
              <w:bottom w:val="single" w:color="auto" w:sz="4" w:space="0"/>
              <w:right w:val="single" w:color="000000" w:sz="4" w:space="0"/>
            </w:tcBorders>
            <w:noWrap w:val="0"/>
            <w:vAlign w:val="center"/>
          </w:tcPr>
          <w:p w14:paraId="2C8D4DC2">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3A9272A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r>
      <w:tr w14:paraId="4A366F0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042F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662518">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2066F7">
            <w:pPr>
              <w:widowControl/>
              <w:spacing w:line="360" w:lineRule="exact"/>
              <w:jc w:val="center"/>
              <w:rPr>
                <w:rFonts w:hint="default" w:ascii="仿宋_GB2312" w:hAnsi="仿宋_GB2312" w:eastAsia="仿宋_GB2312" w:cs="仿宋_GB2312"/>
                <w:sz w:val="20"/>
                <w:szCs w:val="20"/>
                <w:highlight w:val="none"/>
                <w:lang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F02306">
            <w:pPr>
              <w:widowControl/>
              <w:spacing w:line="360" w:lineRule="exact"/>
              <w:jc w:val="center"/>
              <w:rPr>
                <w:rFonts w:hint="default" w:ascii="仿宋_GB2312" w:hAnsi="仿宋_GB2312" w:eastAsia="仿宋_GB2312" w:cs="仿宋_GB2312"/>
                <w:sz w:val="20"/>
                <w:szCs w:val="20"/>
                <w:highlight w:val="none"/>
                <w:lang w:eastAsia="zh-CN"/>
              </w:rPr>
            </w:pPr>
          </w:p>
        </w:tc>
      </w:tr>
      <w:tr w14:paraId="21175FF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76E11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90DCC8F">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0.28</w:t>
            </w:r>
          </w:p>
        </w:tc>
        <w:tc>
          <w:tcPr>
            <w:tcW w:w="2240" w:type="dxa"/>
            <w:gridSpan w:val="2"/>
            <w:tcBorders>
              <w:top w:val="single" w:color="auto" w:sz="4" w:space="0"/>
              <w:left w:val="nil"/>
              <w:bottom w:val="single" w:color="auto" w:sz="4" w:space="0"/>
              <w:right w:val="single" w:color="000000" w:sz="4" w:space="0"/>
            </w:tcBorders>
            <w:noWrap w:val="0"/>
            <w:vAlign w:val="center"/>
          </w:tcPr>
          <w:p w14:paraId="2016DB8E">
            <w:pPr>
              <w:widowControl/>
              <w:spacing w:line="360" w:lineRule="exact"/>
              <w:jc w:val="center"/>
              <w:rPr>
                <w:rFonts w:hint="default"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2</w:t>
            </w:r>
            <w:r>
              <w:rPr>
                <w:rFonts w:hint="default" w:ascii="仿宋_GB2312" w:hAnsi="仿宋_GB2312" w:eastAsia="仿宋_GB2312" w:cs="仿宋_GB2312"/>
                <w:sz w:val="20"/>
                <w:szCs w:val="20"/>
                <w:highlight w:val="none"/>
                <w:lang w:eastAsia="zh-CN"/>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511317E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0.08</w:t>
            </w:r>
          </w:p>
        </w:tc>
      </w:tr>
      <w:tr w14:paraId="0CA229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B9360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5E3D5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202.48</w:t>
            </w:r>
          </w:p>
        </w:tc>
        <w:tc>
          <w:tcPr>
            <w:tcW w:w="2240" w:type="dxa"/>
            <w:gridSpan w:val="2"/>
            <w:tcBorders>
              <w:top w:val="single" w:color="auto" w:sz="4" w:space="0"/>
              <w:left w:val="nil"/>
              <w:bottom w:val="single" w:color="auto" w:sz="4" w:space="0"/>
              <w:right w:val="single" w:color="000000" w:sz="4" w:space="0"/>
            </w:tcBorders>
            <w:noWrap w:val="0"/>
            <w:vAlign w:val="center"/>
          </w:tcPr>
          <w:p w14:paraId="752CEE87">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81.5</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59B0C1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68.25</w:t>
            </w:r>
          </w:p>
        </w:tc>
      </w:tr>
      <w:tr w14:paraId="47DC72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83840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82BD4D">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A93F537">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06156C0">
            <w:pPr>
              <w:widowControl/>
              <w:spacing w:line="360" w:lineRule="exact"/>
              <w:jc w:val="center"/>
              <w:rPr>
                <w:rFonts w:hint="default" w:ascii="仿宋_GB2312" w:hAnsi="仿宋_GB2312" w:eastAsia="仿宋_GB2312" w:cs="仿宋_GB2312"/>
                <w:sz w:val="20"/>
                <w:szCs w:val="20"/>
                <w:highlight w:val="none"/>
                <w:lang w:val="en-US"/>
              </w:rPr>
            </w:pPr>
          </w:p>
        </w:tc>
      </w:tr>
      <w:tr w14:paraId="243B68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031B1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BE41690">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E7486F">
            <w:pPr>
              <w:widowControl/>
              <w:spacing w:line="360" w:lineRule="exact"/>
              <w:jc w:val="center"/>
              <w:rPr>
                <w:rFonts w:hint="default" w:ascii="仿宋_GB2312" w:hAnsi="仿宋_GB2312" w:eastAsia="仿宋_GB2312" w:cs="仿宋_GB2312"/>
                <w:sz w:val="20"/>
                <w:szCs w:val="20"/>
                <w:highlight w:val="none"/>
                <w:lang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7FBDBB">
            <w:pPr>
              <w:widowControl/>
              <w:spacing w:line="360" w:lineRule="exact"/>
              <w:jc w:val="center"/>
              <w:rPr>
                <w:rFonts w:hint="default" w:ascii="仿宋_GB2312" w:hAnsi="仿宋_GB2312" w:eastAsia="仿宋_GB2312" w:cs="仿宋_GB2312"/>
                <w:sz w:val="20"/>
                <w:szCs w:val="20"/>
                <w:highlight w:val="none"/>
                <w:lang w:eastAsia="zh-CN"/>
              </w:rPr>
            </w:pPr>
          </w:p>
        </w:tc>
      </w:tr>
      <w:tr w14:paraId="3E637111">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BD78DB">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1FBBC6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202.48</w:t>
            </w:r>
          </w:p>
        </w:tc>
        <w:tc>
          <w:tcPr>
            <w:tcW w:w="2240" w:type="dxa"/>
            <w:gridSpan w:val="2"/>
            <w:tcBorders>
              <w:top w:val="single" w:color="auto" w:sz="4" w:space="0"/>
              <w:left w:val="nil"/>
              <w:bottom w:val="single" w:color="auto" w:sz="4" w:space="0"/>
              <w:right w:val="single" w:color="000000" w:sz="4" w:space="0"/>
            </w:tcBorders>
            <w:noWrap w:val="0"/>
            <w:vAlign w:val="center"/>
          </w:tcPr>
          <w:p w14:paraId="4275E7AE">
            <w:pPr>
              <w:widowControl/>
              <w:spacing w:line="360" w:lineRule="exact"/>
              <w:jc w:val="center"/>
              <w:rPr>
                <w:rFonts w:hint="default"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41.5</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33A963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68.25</w:t>
            </w:r>
          </w:p>
        </w:tc>
      </w:tr>
      <w:tr w14:paraId="6EA61C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27CD8B">
            <w:pPr>
              <w:widowControl/>
              <w:spacing w:line="360" w:lineRule="exact"/>
              <w:ind w:firstLine="600" w:firstLineChars="3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6816612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48B978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41.5</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B6E4CD6">
            <w:pPr>
              <w:widowControl/>
              <w:spacing w:line="360" w:lineRule="exact"/>
              <w:jc w:val="center"/>
              <w:rPr>
                <w:rFonts w:hint="eastAsia" w:ascii="仿宋_GB2312" w:hAnsi="仿宋_GB2312" w:eastAsia="仿宋_GB2312" w:cs="仿宋_GB2312"/>
                <w:sz w:val="20"/>
                <w:szCs w:val="20"/>
                <w:highlight w:val="none"/>
              </w:rPr>
            </w:pPr>
          </w:p>
        </w:tc>
      </w:tr>
      <w:tr w14:paraId="17F258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E06B51">
            <w:pPr>
              <w:widowControl/>
              <w:spacing w:line="360" w:lineRule="exact"/>
              <w:ind w:firstLine="600" w:firstLineChars="3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AA3C0A4">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rPr>
              <w:t>202.48</w:t>
            </w:r>
          </w:p>
        </w:tc>
        <w:tc>
          <w:tcPr>
            <w:tcW w:w="2240" w:type="dxa"/>
            <w:gridSpan w:val="2"/>
            <w:tcBorders>
              <w:top w:val="single" w:color="auto" w:sz="4" w:space="0"/>
              <w:left w:val="nil"/>
              <w:bottom w:val="single" w:color="auto" w:sz="4" w:space="0"/>
              <w:right w:val="single" w:color="000000" w:sz="4" w:space="0"/>
            </w:tcBorders>
            <w:noWrap w:val="0"/>
            <w:vAlign w:val="center"/>
          </w:tcPr>
          <w:p w14:paraId="3C8DA659">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eastAsia="zh-CN"/>
              </w:rPr>
              <w:t>40</w:t>
            </w:r>
            <w:r>
              <w:rPr>
                <w:rFonts w:hint="eastAsia" w:ascii="仿宋_GB2312" w:hAnsi="仿宋_GB2312" w:eastAsia="仿宋_GB2312" w:cs="仿宋_GB2312"/>
                <w:sz w:val="20"/>
                <w:szCs w:val="20"/>
                <w:highlight w:val="none"/>
                <w:lang w:val="en-US" w:eastAsia="zh-CN"/>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45E9D49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68.25</w:t>
            </w:r>
          </w:p>
        </w:tc>
      </w:tr>
      <w:tr w14:paraId="0363B0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69022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12D8D88">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79.05</w:t>
            </w:r>
          </w:p>
        </w:tc>
        <w:tc>
          <w:tcPr>
            <w:tcW w:w="2240" w:type="dxa"/>
            <w:gridSpan w:val="2"/>
            <w:tcBorders>
              <w:top w:val="single" w:color="auto" w:sz="4" w:space="0"/>
              <w:left w:val="nil"/>
              <w:bottom w:val="single" w:color="auto" w:sz="4" w:space="0"/>
              <w:right w:val="single" w:color="000000" w:sz="4" w:space="0"/>
            </w:tcBorders>
            <w:noWrap w:val="0"/>
            <w:vAlign w:val="center"/>
          </w:tcPr>
          <w:p w14:paraId="757C7FDD">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eastAsia="zh-CN"/>
              </w:rPr>
              <w:t>146.5</w:t>
            </w: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14:paraId="4613850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133.64</w:t>
            </w:r>
          </w:p>
        </w:tc>
      </w:tr>
      <w:tr w14:paraId="7AA234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9CB3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F395E9">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eastAsia="zh-CN"/>
              </w:rPr>
              <w:t>60.20</w:t>
            </w:r>
          </w:p>
        </w:tc>
        <w:tc>
          <w:tcPr>
            <w:tcW w:w="2240" w:type="dxa"/>
            <w:gridSpan w:val="2"/>
            <w:tcBorders>
              <w:top w:val="single" w:color="auto" w:sz="4" w:space="0"/>
              <w:left w:val="nil"/>
              <w:bottom w:val="single" w:color="auto" w:sz="4" w:space="0"/>
              <w:right w:val="single" w:color="000000" w:sz="4" w:space="0"/>
            </w:tcBorders>
            <w:noWrap w:val="0"/>
            <w:vAlign w:val="center"/>
          </w:tcPr>
          <w:p w14:paraId="651ED75E">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rPr>
              <w:t>135.7</w:t>
            </w:r>
            <w:r>
              <w:rPr>
                <w:rFonts w:hint="eastAsia" w:ascii="仿宋_GB2312" w:hAnsi="仿宋_GB2312" w:eastAsia="仿宋_GB2312" w:cs="仿宋_GB2312"/>
                <w:color w:val="auto"/>
                <w:sz w:val="20"/>
                <w:szCs w:val="20"/>
                <w:highlight w:val="none"/>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1BB617A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99.78</w:t>
            </w:r>
          </w:p>
        </w:tc>
      </w:tr>
      <w:tr w14:paraId="2C3E07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EE88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1233FE2">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eastAsia="zh-CN"/>
              </w:rPr>
              <w:t>11.24</w:t>
            </w:r>
          </w:p>
        </w:tc>
        <w:tc>
          <w:tcPr>
            <w:tcW w:w="2240" w:type="dxa"/>
            <w:gridSpan w:val="2"/>
            <w:tcBorders>
              <w:top w:val="single" w:color="auto" w:sz="4" w:space="0"/>
              <w:left w:val="nil"/>
              <w:bottom w:val="single" w:color="auto" w:sz="4" w:space="0"/>
              <w:right w:val="single" w:color="000000" w:sz="4" w:space="0"/>
            </w:tcBorders>
            <w:noWrap w:val="0"/>
            <w:vAlign w:val="center"/>
          </w:tcPr>
          <w:p w14:paraId="0A989C02">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sz w:val="20"/>
                <w:szCs w:val="20"/>
                <w:highlight w:val="none"/>
                <w:lang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5305795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9.27</w:t>
            </w:r>
          </w:p>
        </w:tc>
      </w:tr>
      <w:tr w14:paraId="4DA94D9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A354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FEBE25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eastAsia="zh-CN"/>
              </w:rPr>
              <w:t>0.88</w:t>
            </w:r>
          </w:p>
        </w:tc>
        <w:tc>
          <w:tcPr>
            <w:tcW w:w="2240" w:type="dxa"/>
            <w:gridSpan w:val="2"/>
            <w:tcBorders>
              <w:top w:val="single" w:color="auto" w:sz="4" w:space="0"/>
              <w:left w:val="nil"/>
              <w:bottom w:val="single" w:color="auto" w:sz="4" w:space="0"/>
              <w:right w:val="single" w:color="000000" w:sz="4" w:space="0"/>
            </w:tcBorders>
            <w:noWrap w:val="0"/>
            <w:vAlign w:val="center"/>
          </w:tcPr>
          <w:p w14:paraId="17B90241">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sz w:val="20"/>
                <w:szCs w:val="20"/>
                <w:highlight w:val="none"/>
                <w:lang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595A412B">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sz w:val="20"/>
                <w:szCs w:val="20"/>
                <w:highlight w:val="none"/>
                <w:lang w:eastAsia="zh-CN"/>
              </w:rPr>
              <w:t>0.00</w:t>
            </w:r>
          </w:p>
        </w:tc>
      </w:tr>
      <w:tr w14:paraId="7511F2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87D09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0B31864">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color w:val="auto"/>
                <w:sz w:val="20"/>
                <w:szCs w:val="20"/>
                <w:highlight w:val="none"/>
                <w:lang w:eastAsia="zh-CN"/>
              </w:rPr>
              <w:t>2</w:t>
            </w:r>
            <w:r>
              <w:rPr>
                <w:rFonts w:hint="default"/>
                <w:color w:val="auto"/>
                <w:sz w:val="20"/>
                <w:szCs w:val="20"/>
                <w:highlight w:val="none"/>
                <w:lang w:eastAsia="zh-CN"/>
              </w:rPr>
              <w:t>1.49</w:t>
            </w:r>
          </w:p>
        </w:tc>
        <w:tc>
          <w:tcPr>
            <w:tcW w:w="2240" w:type="dxa"/>
            <w:gridSpan w:val="2"/>
            <w:tcBorders>
              <w:top w:val="single" w:color="auto" w:sz="4" w:space="0"/>
              <w:left w:val="nil"/>
              <w:bottom w:val="single" w:color="auto" w:sz="4" w:space="0"/>
              <w:right w:val="single" w:color="000000" w:sz="4" w:space="0"/>
            </w:tcBorders>
            <w:noWrap w:val="0"/>
            <w:vAlign w:val="center"/>
          </w:tcPr>
          <w:p w14:paraId="638C82D0">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114.18</w:t>
            </w:r>
          </w:p>
        </w:tc>
        <w:tc>
          <w:tcPr>
            <w:tcW w:w="2041" w:type="dxa"/>
            <w:gridSpan w:val="2"/>
            <w:tcBorders>
              <w:top w:val="single" w:color="auto" w:sz="4" w:space="0"/>
              <w:left w:val="nil"/>
              <w:bottom w:val="single" w:color="auto" w:sz="4" w:space="0"/>
              <w:right w:val="single" w:color="000000" w:sz="4" w:space="0"/>
            </w:tcBorders>
            <w:noWrap w:val="0"/>
            <w:vAlign w:val="center"/>
          </w:tcPr>
          <w:p w14:paraId="3093911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21.49</w:t>
            </w:r>
          </w:p>
        </w:tc>
      </w:tr>
      <w:tr w14:paraId="1A1006C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9D76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28C4BB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8347D80">
            <w:pPr>
              <w:widowControl/>
              <w:spacing w:line="360" w:lineRule="exact"/>
              <w:jc w:val="center"/>
              <w:rPr>
                <w:rFonts w:hint="default" w:ascii="仿宋_GB2312" w:hAnsi="仿宋_GB2312" w:eastAsia="仿宋_GB2312" w:cs="仿宋_GB2312"/>
                <w:sz w:val="20"/>
                <w:szCs w:val="20"/>
                <w:highlight w:val="yellow"/>
                <w:lang w:val="en-US" w:eastAsia="zh-CN"/>
              </w:rPr>
            </w:pPr>
            <w:r>
              <w:rPr>
                <w:rFonts w:hint="eastAsia" w:ascii="仿宋_GB2312" w:hAnsi="仿宋_GB2312" w:eastAsia="仿宋_GB2312" w:cs="仿宋_GB2312"/>
                <w:sz w:val="20"/>
                <w:szCs w:val="20"/>
                <w:highlight w:val="none"/>
                <w:lang w:val="en-US" w:eastAsia="zh-CN"/>
              </w:rPr>
              <w:t>195.11</w:t>
            </w:r>
          </w:p>
        </w:tc>
        <w:tc>
          <w:tcPr>
            <w:tcW w:w="2041" w:type="dxa"/>
            <w:gridSpan w:val="2"/>
            <w:tcBorders>
              <w:top w:val="single" w:color="auto" w:sz="4" w:space="0"/>
              <w:left w:val="nil"/>
              <w:bottom w:val="single" w:color="auto" w:sz="4" w:space="0"/>
              <w:right w:val="single" w:color="000000" w:sz="4" w:space="0"/>
            </w:tcBorders>
            <w:noWrap w:val="0"/>
            <w:vAlign w:val="center"/>
          </w:tcPr>
          <w:p w14:paraId="5F0F5C81">
            <w:pPr>
              <w:widowControl/>
              <w:spacing w:line="360" w:lineRule="exact"/>
              <w:jc w:val="center"/>
              <w:rPr>
                <w:rFonts w:hint="default" w:ascii="仿宋_GB2312" w:hAnsi="仿宋_GB2312" w:eastAsia="仿宋_GB2312" w:cs="仿宋_GB2312"/>
                <w:sz w:val="20"/>
                <w:szCs w:val="20"/>
                <w:highlight w:val="yellow"/>
                <w:lang w:val="en-US" w:eastAsia="zh-CN"/>
              </w:rPr>
            </w:pPr>
          </w:p>
        </w:tc>
      </w:tr>
      <w:tr w14:paraId="406101DE">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30D3F54">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0DA3AA1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79A9727">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6C2C783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590123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9368C1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63F2382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5C3915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F11BDD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F79A529">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E4C8EEC">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5345AF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1B58395C">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35BA516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1B5112E">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6C2D9E5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0B91B057">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070849A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41CF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14530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7407B6B6">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425CDEE">
      <w:pPr>
        <w:widowControl/>
        <w:spacing w:afterLines="0" w:line="400" w:lineRule="exact"/>
        <w:jc w:val="left"/>
        <w:rPr>
          <w:rFonts w:hint="default" w:ascii="Times New Roman" w:hAnsi="Times New Roman" w:eastAsia="仿宋_GB2312" w:cs="Times New Roman"/>
          <w:sz w:val="22"/>
          <w:highlight w:val="none"/>
        </w:rPr>
      </w:pPr>
    </w:p>
    <w:p w14:paraId="369A097F">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AD7A11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65D77B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2E140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1D342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3A7A03A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B8A60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C1E1A0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32D75B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7BBF5859">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7D3C315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395EC6F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6BF1EE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030C8D7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CA61C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23C1F67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E91B8E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5300B214">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26C1595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61DAEF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949.40</w:t>
            </w:r>
          </w:p>
        </w:tc>
        <w:tc>
          <w:tcPr>
            <w:tcW w:w="1311" w:type="dxa"/>
            <w:tcBorders>
              <w:top w:val="nil"/>
              <w:left w:val="nil"/>
              <w:bottom w:val="single" w:color="auto" w:sz="4" w:space="0"/>
              <w:right w:val="single" w:color="auto" w:sz="4" w:space="0"/>
            </w:tcBorders>
            <w:noWrap w:val="0"/>
            <w:vAlign w:val="center"/>
          </w:tcPr>
          <w:p w14:paraId="7E933A4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1363.02</w:t>
            </w:r>
          </w:p>
        </w:tc>
        <w:tc>
          <w:tcPr>
            <w:tcW w:w="1269" w:type="dxa"/>
            <w:tcBorders>
              <w:top w:val="nil"/>
              <w:left w:val="nil"/>
              <w:bottom w:val="single" w:color="auto" w:sz="4" w:space="0"/>
              <w:right w:val="single" w:color="auto" w:sz="4" w:space="0"/>
            </w:tcBorders>
            <w:noWrap w:val="0"/>
            <w:vAlign w:val="center"/>
          </w:tcPr>
          <w:p w14:paraId="42BACB1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1081.66</w:t>
            </w:r>
          </w:p>
        </w:tc>
        <w:tc>
          <w:tcPr>
            <w:tcW w:w="716" w:type="dxa"/>
            <w:tcBorders>
              <w:top w:val="nil"/>
              <w:left w:val="nil"/>
              <w:bottom w:val="single" w:color="auto" w:sz="4" w:space="0"/>
              <w:right w:val="single" w:color="auto" w:sz="4" w:space="0"/>
            </w:tcBorders>
            <w:noWrap w:val="0"/>
            <w:vAlign w:val="center"/>
          </w:tcPr>
          <w:p w14:paraId="3580CA2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02D212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79.36%</w:t>
            </w:r>
          </w:p>
        </w:tc>
        <w:tc>
          <w:tcPr>
            <w:tcW w:w="1446" w:type="dxa"/>
            <w:tcBorders>
              <w:top w:val="nil"/>
              <w:left w:val="nil"/>
              <w:bottom w:val="single" w:color="auto" w:sz="4" w:space="0"/>
              <w:right w:val="single" w:color="auto" w:sz="4" w:space="0"/>
            </w:tcBorders>
            <w:noWrap w:val="0"/>
            <w:vAlign w:val="center"/>
          </w:tcPr>
          <w:p w14:paraId="6D03517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7.94</w:t>
            </w:r>
          </w:p>
        </w:tc>
      </w:tr>
      <w:tr w14:paraId="36691E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373E9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D00F2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205EC0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5F197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14382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70BA7A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1363.02</w:t>
            </w:r>
          </w:p>
        </w:tc>
        <w:tc>
          <w:tcPr>
            <w:tcW w:w="4304" w:type="dxa"/>
            <w:gridSpan w:val="4"/>
            <w:tcBorders>
              <w:top w:val="nil"/>
              <w:left w:val="nil"/>
              <w:bottom w:val="single" w:color="auto" w:sz="4" w:space="0"/>
              <w:right w:val="single" w:color="auto" w:sz="4" w:space="0"/>
            </w:tcBorders>
            <w:noWrap w:val="0"/>
            <w:vAlign w:val="center"/>
          </w:tcPr>
          <w:p w14:paraId="7C3BC04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1013.41</w:t>
            </w:r>
          </w:p>
        </w:tc>
      </w:tr>
      <w:tr w14:paraId="289DBC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F3111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C5CA66C">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63166000">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68.25</w:t>
            </w:r>
          </w:p>
        </w:tc>
      </w:tr>
      <w:tr w14:paraId="478433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E2D38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C66399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71B7429E">
            <w:pPr>
              <w:widowControl/>
              <w:spacing w:line="240" w:lineRule="exact"/>
              <w:jc w:val="left"/>
              <w:rPr>
                <w:rFonts w:hint="eastAsia" w:ascii="仿宋_GB2312" w:hAnsi="仿宋_GB2312" w:eastAsia="仿宋_GB2312" w:cs="仿宋_GB2312"/>
                <w:color w:val="000000"/>
                <w:sz w:val="20"/>
                <w:szCs w:val="20"/>
                <w:highlight w:val="none"/>
              </w:rPr>
            </w:pPr>
          </w:p>
        </w:tc>
      </w:tr>
      <w:tr w14:paraId="4AEFBF4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291B46F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B92383B">
            <w:pPr>
              <w:widowControl/>
              <w:spacing w:line="240" w:lineRule="exact"/>
              <w:ind w:firstLine="1400" w:firstLineChars="7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4F0D0D58">
            <w:pPr>
              <w:widowControl/>
              <w:spacing w:line="240" w:lineRule="exact"/>
              <w:jc w:val="left"/>
              <w:rPr>
                <w:rFonts w:hint="eastAsia" w:ascii="仿宋_GB2312" w:hAnsi="仿宋_GB2312" w:eastAsia="仿宋_GB2312" w:cs="仿宋_GB2312"/>
                <w:color w:val="000000"/>
                <w:sz w:val="20"/>
                <w:szCs w:val="20"/>
                <w:highlight w:val="none"/>
              </w:rPr>
            </w:pPr>
          </w:p>
        </w:tc>
      </w:tr>
      <w:tr w14:paraId="450101D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207D2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36A5F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ABDDB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274D25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340DD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0543D891">
            <w:pPr>
              <w:widowControl/>
              <w:numPr>
                <w:ilvl w:val="0"/>
                <w:numId w:val="1"/>
              </w:numPr>
              <w:spacing w:line="240" w:lineRule="exact"/>
              <w:ind w:left="0" w:leftChars="0" w:firstLine="0" w:firstLineChars="0"/>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加强环境宣传，提高公众环境保护意识。</w:t>
            </w:r>
          </w:p>
          <w:p w14:paraId="75915605">
            <w:pPr>
              <w:widowControl/>
              <w:numPr>
                <w:ilvl w:val="0"/>
                <w:numId w:val="0"/>
              </w:numPr>
              <w:spacing w:line="240" w:lineRule="exact"/>
              <w:ind w:leftChars="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持续推进生态环境风险隐患排查整治工作，着力解决突出环境问题；</w:t>
            </w:r>
          </w:p>
          <w:p w14:paraId="6EB8EB28">
            <w:pPr>
              <w:widowControl/>
              <w:numPr>
                <w:ilvl w:val="0"/>
                <w:numId w:val="0"/>
              </w:numPr>
              <w:spacing w:line="240" w:lineRule="exact"/>
              <w:ind w:leftChars="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不断强化环境监管力度，严厉打击环境违法行为。</w:t>
            </w:r>
          </w:p>
          <w:p w14:paraId="6437AEA3">
            <w:pPr>
              <w:widowControl/>
              <w:numPr>
                <w:ilvl w:val="0"/>
                <w:numId w:val="0"/>
              </w:numPr>
              <w:spacing w:line="240" w:lineRule="exact"/>
              <w:ind w:leftChars="0"/>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snapToGrid/>
                <w:color w:val="000000"/>
                <w:kern w:val="2"/>
                <w:sz w:val="20"/>
                <w:szCs w:val="20"/>
                <w:highlight w:val="none"/>
                <w:lang w:val="en-US" w:eastAsia="zh-CN"/>
              </w:rPr>
              <w:t>信访答复及时、立行立改及时，并加强与群众沟通交流，切实增强群众获得感和幸福感。</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2BD482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严厉打击环境违法犯罪行为</w:t>
            </w:r>
            <w:r>
              <w:rPr>
                <w:rFonts w:hint="eastAsia" w:ascii="仿宋_GB2312" w:hAnsi="仿宋_GB2312" w:eastAsia="仿宋_GB2312" w:cs="仿宋_GB2312"/>
                <w:color w:val="000000"/>
                <w:sz w:val="20"/>
                <w:szCs w:val="20"/>
                <w:highlight w:val="none"/>
                <w:lang w:val="en-US" w:eastAsia="zh-CN"/>
              </w:rPr>
              <w:t>,强力开展移动源污染防治标志性战役、涉重涉水、畜禽养殖污染、饮用水水源地突出环境问题整治等专项行动,对机动车检测进行立案查处，规范市场秩序，打击非法排污。</w:t>
            </w:r>
          </w:p>
        </w:tc>
      </w:tr>
      <w:tr w14:paraId="726C31C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56A87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5BEA5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D85F2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0FE9E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67F0681">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37833A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2F6BD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55EE52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6639CB8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00342608">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3F8CB3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D128E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0411256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BEA07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5B23C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0667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D14AF95">
            <w:pPr>
              <w:widowControl/>
              <w:spacing w:line="240" w:lineRule="exact"/>
              <w:jc w:val="center"/>
              <w:rPr>
                <w:rFonts w:hint="eastAsia" w:ascii="仿宋_GB2312" w:hAnsi="仿宋_GB2312" w:eastAsia="仿宋_GB2312" w:cs="仿宋_GB2312"/>
                <w:color w:val="000000"/>
                <w:sz w:val="20"/>
                <w:szCs w:val="20"/>
                <w:highlight w:val="none"/>
              </w:rPr>
            </w:pPr>
          </w:p>
          <w:p w14:paraId="16C066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FFC9F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7A2232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罚没征收任务数</w:t>
            </w:r>
          </w:p>
        </w:tc>
        <w:tc>
          <w:tcPr>
            <w:tcW w:w="1311" w:type="dxa"/>
            <w:tcBorders>
              <w:top w:val="nil"/>
              <w:left w:val="nil"/>
              <w:bottom w:val="single" w:color="auto" w:sz="4" w:space="0"/>
              <w:right w:val="single" w:color="auto" w:sz="4" w:space="0"/>
            </w:tcBorders>
            <w:noWrap w:val="0"/>
            <w:vAlign w:val="center"/>
          </w:tcPr>
          <w:p w14:paraId="0C80569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200万元</w:t>
            </w:r>
          </w:p>
        </w:tc>
        <w:tc>
          <w:tcPr>
            <w:tcW w:w="1269" w:type="dxa"/>
            <w:tcBorders>
              <w:top w:val="nil"/>
              <w:left w:val="nil"/>
              <w:bottom w:val="single" w:color="auto" w:sz="4" w:space="0"/>
              <w:right w:val="single" w:color="auto" w:sz="4" w:space="0"/>
            </w:tcBorders>
            <w:noWrap w:val="0"/>
            <w:vAlign w:val="center"/>
          </w:tcPr>
          <w:p w14:paraId="2513BFEF">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380.7万元</w:t>
            </w:r>
          </w:p>
        </w:tc>
        <w:tc>
          <w:tcPr>
            <w:tcW w:w="716" w:type="dxa"/>
            <w:tcBorders>
              <w:top w:val="nil"/>
              <w:left w:val="nil"/>
              <w:bottom w:val="single" w:color="auto" w:sz="4" w:space="0"/>
              <w:right w:val="single" w:color="auto" w:sz="4" w:space="0"/>
            </w:tcBorders>
            <w:noWrap w:val="0"/>
            <w:vAlign w:val="center"/>
          </w:tcPr>
          <w:p w14:paraId="4770286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773CA9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266D341">
            <w:pPr>
              <w:widowControl/>
              <w:spacing w:line="240" w:lineRule="exact"/>
              <w:jc w:val="left"/>
              <w:rPr>
                <w:rFonts w:hint="eastAsia" w:ascii="仿宋_GB2312" w:hAnsi="仿宋_GB2312" w:eastAsia="仿宋_GB2312" w:cs="仿宋_GB2312"/>
                <w:color w:val="000000"/>
                <w:sz w:val="20"/>
                <w:szCs w:val="20"/>
                <w:highlight w:val="none"/>
              </w:rPr>
            </w:pPr>
          </w:p>
        </w:tc>
      </w:tr>
      <w:tr w14:paraId="00B837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E360F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E5B0C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92F729F">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6EE0F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行政处罚案件数量</w:t>
            </w:r>
          </w:p>
        </w:tc>
        <w:tc>
          <w:tcPr>
            <w:tcW w:w="1311" w:type="dxa"/>
            <w:tcBorders>
              <w:top w:val="nil"/>
              <w:left w:val="nil"/>
              <w:bottom w:val="single" w:color="auto" w:sz="4" w:space="0"/>
              <w:right w:val="single" w:color="auto" w:sz="4" w:space="0"/>
            </w:tcBorders>
            <w:noWrap w:val="0"/>
            <w:vAlign w:val="center"/>
          </w:tcPr>
          <w:p w14:paraId="669CC2B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auto"/>
                <w:sz w:val="20"/>
                <w:szCs w:val="20"/>
                <w:highlight w:val="none"/>
                <w:lang w:val="en-US" w:eastAsia="zh-CN"/>
              </w:rPr>
              <w:t>起</w:t>
            </w:r>
          </w:p>
        </w:tc>
        <w:tc>
          <w:tcPr>
            <w:tcW w:w="1269" w:type="dxa"/>
            <w:tcBorders>
              <w:top w:val="nil"/>
              <w:left w:val="nil"/>
              <w:bottom w:val="single" w:color="auto" w:sz="4" w:space="0"/>
              <w:right w:val="single" w:color="auto" w:sz="4" w:space="0"/>
            </w:tcBorders>
            <w:noWrap w:val="0"/>
            <w:vAlign w:val="center"/>
          </w:tcPr>
          <w:p w14:paraId="7131B9F2">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49起</w:t>
            </w:r>
          </w:p>
        </w:tc>
        <w:tc>
          <w:tcPr>
            <w:tcW w:w="716" w:type="dxa"/>
            <w:tcBorders>
              <w:top w:val="nil"/>
              <w:left w:val="nil"/>
              <w:bottom w:val="single" w:color="auto" w:sz="4" w:space="0"/>
              <w:right w:val="single" w:color="auto" w:sz="4" w:space="0"/>
            </w:tcBorders>
            <w:noWrap w:val="0"/>
            <w:vAlign w:val="center"/>
          </w:tcPr>
          <w:p w14:paraId="6CE30AB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96D522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26C6B0D">
            <w:pPr>
              <w:widowControl/>
              <w:spacing w:line="240" w:lineRule="exact"/>
              <w:jc w:val="left"/>
              <w:rPr>
                <w:rFonts w:hint="eastAsia" w:ascii="仿宋_GB2312" w:hAnsi="仿宋_GB2312" w:eastAsia="仿宋_GB2312" w:cs="仿宋_GB2312"/>
                <w:color w:val="000000"/>
                <w:sz w:val="20"/>
                <w:szCs w:val="20"/>
                <w:highlight w:val="none"/>
              </w:rPr>
            </w:pPr>
          </w:p>
        </w:tc>
      </w:tr>
      <w:tr w14:paraId="74DF91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32DF9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1BEAF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F1D14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3E8365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环境信访受理率</w:t>
            </w:r>
          </w:p>
        </w:tc>
        <w:tc>
          <w:tcPr>
            <w:tcW w:w="1311" w:type="dxa"/>
            <w:tcBorders>
              <w:top w:val="nil"/>
              <w:left w:val="nil"/>
              <w:bottom w:val="single" w:color="auto" w:sz="4" w:space="0"/>
              <w:right w:val="single" w:color="auto" w:sz="4" w:space="0"/>
            </w:tcBorders>
            <w:noWrap w:val="0"/>
            <w:vAlign w:val="center"/>
          </w:tcPr>
          <w:p w14:paraId="3317A5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1269" w:type="dxa"/>
            <w:tcBorders>
              <w:top w:val="nil"/>
              <w:left w:val="nil"/>
              <w:bottom w:val="single" w:color="auto" w:sz="4" w:space="0"/>
              <w:right w:val="single" w:color="auto" w:sz="4" w:space="0"/>
            </w:tcBorders>
            <w:noWrap w:val="0"/>
            <w:vAlign w:val="center"/>
          </w:tcPr>
          <w:p w14:paraId="36287AA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716" w:type="dxa"/>
            <w:tcBorders>
              <w:top w:val="nil"/>
              <w:left w:val="nil"/>
              <w:bottom w:val="single" w:color="auto" w:sz="4" w:space="0"/>
              <w:right w:val="single" w:color="auto" w:sz="4" w:space="0"/>
            </w:tcBorders>
            <w:noWrap w:val="0"/>
            <w:vAlign w:val="center"/>
          </w:tcPr>
          <w:p w14:paraId="612AE98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165804F">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1C812922">
            <w:pPr>
              <w:widowControl/>
              <w:spacing w:line="240" w:lineRule="exact"/>
              <w:jc w:val="left"/>
              <w:rPr>
                <w:rFonts w:hint="eastAsia" w:ascii="仿宋_GB2312" w:hAnsi="仿宋_GB2312" w:eastAsia="仿宋_GB2312" w:cs="仿宋_GB2312"/>
                <w:color w:val="000000"/>
                <w:sz w:val="20"/>
                <w:szCs w:val="20"/>
                <w:highlight w:val="none"/>
              </w:rPr>
            </w:pPr>
          </w:p>
        </w:tc>
      </w:tr>
      <w:tr w14:paraId="0F15E4B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4167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86FA4D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241A47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E45653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无较大污染事件发生</w:t>
            </w:r>
          </w:p>
        </w:tc>
        <w:tc>
          <w:tcPr>
            <w:tcW w:w="1311" w:type="dxa"/>
            <w:tcBorders>
              <w:top w:val="nil"/>
              <w:left w:val="nil"/>
              <w:bottom w:val="single" w:color="auto" w:sz="4" w:space="0"/>
              <w:right w:val="single" w:color="auto" w:sz="4" w:space="0"/>
            </w:tcBorders>
            <w:noWrap w:val="0"/>
            <w:vAlign w:val="center"/>
          </w:tcPr>
          <w:p w14:paraId="1370139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0发生</w:t>
            </w:r>
          </w:p>
        </w:tc>
        <w:tc>
          <w:tcPr>
            <w:tcW w:w="1269" w:type="dxa"/>
            <w:tcBorders>
              <w:top w:val="nil"/>
              <w:left w:val="nil"/>
              <w:bottom w:val="single" w:color="auto" w:sz="4" w:space="0"/>
              <w:right w:val="single" w:color="auto" w:sz="4" w:space="0"/>
            </w:tcBorders>
            <w:noWrap w:val="0"/>
            <w:vAlign w:val="center"/>
          </w:tcPr>
          <w:p w14:paraId="711BC55D">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0发生</w:t>
            </w:r>
          </w:p>
        </w:tc>
        <w:tc>
          <w:tcPr>
            <w:tcW w:w="716" w:type="dxa"/>
            <w:tcBorders>
              <w:top w:val="nil"/>
              <w:left w:val="nil"/>
              <w:bottom w:val="single" w:color="auto" w:sz="4" w:space="0"/>
              <w:right w:val="single" w:color="auto" w:sz="4" w:space="0"/>
            </w:tcBorders>
            <w:noWrap w:val="0"/>
            <w:vAlign w:val="center"/>
          </w:tcPr>
          <w:p w14:paraId="64B2D5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D6CBAD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944E074">
            <w:pPr>
              <w:widowControl/>
              <w:spacing w:line="240" w:lineRule="exact"/>
              <w:jc w:val="left"/>
              <w:rPr>
                <w:rFonts w:hint="eastAsia" w:ascii="仿宋_GB2312" w:hAnsi="仿宋_GB2312" w:eastAsia="仿宋_GB2312" w:cs="仿宋_GB2312"/>
                <w:color w:val="000000"/>
                <w:sz w:val="20"/>
                <w:szCs w:val="20"/>
                <w:highlight w:val="none"/>
              </w:rPr>
            </w:pPr>
          </w:p>
        </w:tc>
      </w:tr>
      <w:tr w14:paraId="6AD756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B852A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42F1C6">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ABAA9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6EA06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w:t>
            </w:r>
          </w:p>
        </w:tc>
        <w:tc>
          <w:tcPr>
            <w:tcW w:w="1311" w:type="dxa"/>
            <w:tcBorders>
              <w:top w:val="nil"/>
              <w:left w:val="nil"/>
              <w:bottom w:val="single" w:color="auto" w:sz="4" w:space="0"/>
              <w:right w:val="single" w:color="auto" w:sz="4" w:space="0"/>
            </w:tcBorders>
            <w:noWrap w:val="0"/>
            <w:vAlign w:val="center"/>
          </w:tcPr>
          <w:p w14:paraId="7364330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2025年度</w:t>
            </w:r>
          </w:p>
        </w:tc>
        <w:tc>
          <w:tcPr>
            <w:tcW w:w="1269" w:type="dxa"/>
            <w:tcBorders>
              <w:top w:val="nil"/>
              <w:left w:val="nil"/>
              <w:bottom w:val="single" w:color="auto" w:sz="4" w:space="0"/>
              <w:right w:val="single" w:color="auto" w:sz="4" w:space="0"/>
            </w:tcBorders>
            <w:noWrap w:val="0"/>
            <w:vAlign w:val="center"/>
          </w:tcPr>
          <w:p w14:paraId="6124B90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2025年度</w:t>
            </w:r>
          </w:p>
        </w:tc>
        <w:tc>
          <w:tcPr>
            <w:tcW w:w="716" w:type="dxa"/>
            <w:tcBorders>
              <w:top w:val="nil"/>
              <w:left w:val="nil"/>
              <w:bottom w:val="single" w:color="auto" w:sz="4" w:space="0"/>
              <w:right w:val="single" w:color="auto" w:sz="4" w:space="0"/>
            </w:tcBorders>
            <w:noWrap w:val="0"/>
            <w:vAlign w:val="center"/>
          </w:tcPr>
          <w:p w14:paraId="681F006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C6840F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614D724">
            <w:pPr>
              <w:widowControl/>
              <w:spacing w:line="240" w:lineRule="exact"/>
              <w:jc w:val="left"/>
              <w:rPr>
                <w:rFonts w:hint="eastAsia" w:ascii="仿宋_GB2312" w:hAnsi="仿宋_GB2312" w:eastAsia="仿宋_GB2312" w:cs="仿宋_GB2312"/>
                <w:color w:val="000000"/>
                <w:sz w:val="20"/>
                <w:szCs w:val="20"/>
                <w:highlight w:val="none"/>
              </w:rPr>
            </w:pPr>
          </w:p>
        </w:tc>
      </w:tr>
      <w:tr w14:paraId="20AEDC3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82080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883E5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5F978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14:paraId="247DC0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支出</w:t>
            </w:r>
            <w:r>
              <w:rPr>
                <w:rFonts w:hint="eastAsia" w:ascii="仿宋_GB2312" w:hAnsi="仿宋_GB2312" w:eastAsia="仿宋_GB2312" w:cs="仿宋_GB2312"/>
                <w:color w:val="000000"/>
                <w:sz w:val="20"/>
                <w:szCs w:val="20"/>
                <w:highlight w:val="none"/>
              </w:rPr>
              <w:t>在预算内</w:t>
            </w:r>
          </w:p>
        </w:tc>
        <w:tc>
          <w:tcPr>
            <w:tcW w:w="1311" w:type="dxa"/>
            <w:tcBorders>
              <w:top w:val="nil"/>
              <w:left w:val="nil"/>
              <w:bottom w:val="single" w:color="auto" w:sz="4" w:space="0"/>
              <w:right w:val="single" w:color="auto" w:sz="4" w:space="0"/>
            </w:tcBorders>
            <w:noWrap w:val="0"/>
            <w:vAlign w:val="center"/>
          </w:tcPr>
          <w:p w14:paraId="4EC5F78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≤1363.02万元</w:t>
            </w:r>
          </w:p>
        </w:tc>
        <w:tc>
          <w:tcPr>
            <w:tcW w:w="1269" w:type="dxa"/>
            <w:tcBorders>
              <w:top w:val="nil"/>
              <w:left w:val="nil"/>
              <w:bottom w:val="single" w:color="auto" w:sz="4" w:space="0"/>
              <w:right w:val="single" w:color="auto" w:sz="4" w:space="0"/>
            </w:tcBorders>
            <w:noWrap w:val="0"/>
            <w:vAlign w:val="center"/>
          </w:tcPr>
          <w:p w14:paraId="4977718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1081.66万元</w:t>
            </w:r>
          </w:p>
        </w:tc>
        <w:tc>
          <w:tcPr>
            <w:tcW w:w="716" w:type="dxa"/>
            <w:tcBorders>
              <w:top w:val="nil"/>
              <w:left w:val="nil"/>
              <w:bottom w:val="single" w:color="auto" w:sz="4" w:space="0"/>
              <w:right w:val="single" w:color="auto" w:sz="4" w:space="0"/>
            </w:tcBorders>
            <w:noWrap w:val="0"/>
            <w:vAlign w:val="center"/>
          </w:tcPr>
          <w:p w14:paraId="42F1551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5458EF2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46" w:type="dxa"/>
            <w:tcBorders>
              <w:top w:val="nil"/>
              <w:left w:val="nil"/>
              <w:bottom w:val="single" w:color="auto" w:sz="4" w:space="0"/>
              <w:right w:val="single" w:color="auto" w:sz="4" w:space="0"/>
            </w:tcBorders>
            <w:noWrap w:val="0"/>
            <w:vAlign w:val="center"/>
          </w:tcPr>
          <w:p w14:paraId="5E640C6D">
            <w:pPr>
              <w:widowControl/>
              <w:spacing w:line="240" w:lineRule="exact"/>
              <w:jc w:val="left"/>
              <w:rPr>
                <w:rFonts w:hint="eastAsia" w:ascii="仿宋_GB2312" w:hAnsi="仿宋_GB2312" w:eastAsia="仿宋_GB2312" w:cs="仿宋_GB2312"/>
                <w:color w:val="000000"/>
                <w:sz w:val="20"/>
                <w:szCs w:val="20"/>
                <w:highlight w:val="none"/>
              </w:rPr>
            </w:pPr>
          </w:p>
        </w:tc>
      </w:tr>
      <w:tr w14:paraId="0B8FBC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EE008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9937AC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D6AE8BB">
            <w:pPr>
              <w:widowControl/>
              <w:spacing w:line="240" w:lineRule="exact"/>
              <w:jc w:val="left"/>
              <w:rPr>
                <w:rFonts w:hint="eastAsia" w:ascii="仿宋_GB2312" w:hAnsi="仿宋_GB2312" w:eastAsia="仿宋_GB2312" w:cs="仿宋_GB2312"/>
                <w:color w:val="000000"/>
                <w:sz w:val="20"/>
                <w:szCs w:val="20"/>
                <w:highlight w:val="none"/>
              </w:rPr>
            </w:pPr>
          </w:p>
          <w:p w14:paraId="6DBBD7D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A06C7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DD2E2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0E18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B9862E">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9A0C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02305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FF583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264F02E">
            <w:pPr>
              <w:widowControl/>
              <w:spacing w:line="240" w:lineRule="exact"/>
              <w:jc w:val="left"/>
              <w:rPr>
                <w:rFonts w:hint="eastAsia" w:ascii="仿宋_GB2312" w:hAnsi="仿宋_GB2312" w:eastAsia="仿宋_GB2312" w:cs="仿宋_GB2312"/>
                <w:color w:val="000000"/>
                <w:sz w:val="20"/>
                <w:szCs w:val="20"/>
                <w:highlight w:val="none"/>
              </w:rPr>
            </w:pPr>
          </w:p>
        </w:tc>
      </w:tr>
      <w:tr w14:paraId="78BAB2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4AFD9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E2BE08">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A519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0F774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82C2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72548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E26D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EEDAC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B7C6C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AA57EBB">
            <w:pPr>
              <w:widowControl/>
              <w:spacing w:line="240" w:lineRule="exact"/>
              <w:jc w:val="left"/>
              <w:rPr>
                <w:rFonts w:hint="eastAsia" w:ascii="仿宋_GB2312" w:hAnsi="仿宋_GB2312" w:eastAsia="仿宋_GB2312" w:cs="仿宋_GB2312"/>
                <w:color w:val="000000"/>
                <w:sz w:val="20"/>
                <w:szCs w:val="20"/>
                <w:highlight w:val="none"/>
              </w:rPr>
            </w:pPr>
          </w:p>
        </w:tc>
      </w:tr>
      <w:tr w14:paraId="065B50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563CF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03C0D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15128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00270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0E8FC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改善饮用水源及入河排污口</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AC37B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1726B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46CE3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56041F">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A300E4">
            <w:pPr>
              <w:widowControl/>
              <w:spacing w:line="240" w:lineRule="exact"/>
              <w:jc w:val="left"/>
              <w:rPr>
                <w:rFonts w:hint="eastAsia" w:ascii="仿宋_GB2312" w:hAnsi="仿宋_GB2312" w:eastAsia="仿宋_GB2312" w:cs="仿宋_GB2312"/>
                <w:color w:val="000000"/>
                <w:sz w:val="20"/>
                <w:szCs w:val="20"/>
                <w:highlight w:val="none"/>
              </w:rPr>
            </w:pPr>
          </w:p>
        </w:tc>
      </w:tr>
      <w:tr w14:paraId="752B2A91">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5B797B2">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D309EF">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D4BE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6A1B4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加强生态环境监督工作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CB8F4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5BAA0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20CA762">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F39BE0">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BA050E">
            <w:pPr>
              <w:widowControl/>
              <w:spacing w:line="240" w:lineRule="exact"/>
              <w:jc w:val="left"/>
              <w:rPr>
                <w:rFonts w:hint="eastAsia" w:ascii="仿宋_GB2312" w:hAnsi="仿宋_GB2312" w:eastAsia="仿宋_GB2312" w:cs="仿宋_GB2312"/>
                <w:color w:val="000000"/>
                <w:sz w:val="20"/>
                <w:szCs w:val="20"/>
                <w:highlight w:val="none"/>
              </w:rPr>
            </w:pPr>
          </w:p>
        </w:tc>
      </w:tr>
      <w:tr w14:paraId="685E58D9">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3D470F5B">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AFF51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7D1DC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B133F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14:paraId="515403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14:paraId="11B196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w:t>
            </w:r>
          </w:p>
          <w:p w14:paraId="2B9EE03C">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eastAsia="zh-CN"/>
              </w:rPr>
              <w:t>率</w:t>
            </w:r>
          </w:p>
        </w:tc>
        <w:tc>
          <w:tcPr>
            <w:tcW w:w="1311" w:type="dxa"/>
            <w:tcBorders>
              <w:top w:val="single" w:color="auto" w:sz="4" w:space="0"/>
              <w:left w:val="nil"/>
              <w:bottom w:val="single" w:color="auto" w:sz="4" w:space="0"/>
              <w:right w:val="single" w:color="auto" w:sz="4" w:space="0"/>
            </w:tcBorders>
            <w:noWrap w:val="0"/>
            <w:vAlign w:val="center"/>
          </w:tcPr>
          <w:p w14:paraId="1C0161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269" w:type="dxa"/>
            <w:tcBorders>
              <w:top w:val="single" w:color="auto" w:sz="4" w:space="0"/>
              <w:left w:val="nil"/>
              <w:bottom w:val="single" w:color="auto" w:sz="4" w:space="0"/>
              <w:right w:val="single" w:color="auto" w:sz="4" w:space="0"/>
            </w:tcBorders>
            <w:noWrap w:val="0"/>
            <w:vAlign w:val="center"/>
          </w:tcPr>
          <w:p w14:paraId="1E1F732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single" w:color="auto" w:sz="4" w:space="0"/>
              <w:left w:val="nil"/>
              <w:bottom w:val="single" w:color="auto" w:sz="4" w:space="0"/>
              <w:right w:val="single" w:color="auto" w:sz="4" w:space="0"/>
            </w:tcBorders>
            <w:noWrap w:val="0"/>
            <w:vAlign w:val="center"/>
          </w:tcPr>
          <w:p w14:paraId="3989C1A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ED0625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6957BF70">
            <w:pPr>
              <w:widowControl/>
              <w:spacing w:line="240" w:lineRule="exact"/>
              <w:jc w:val="left"/>
              <w:rPr>
                <w:rFonts w:hint="eastAsia" w:ascii="仿宋_GB2312" w:hAnsi="仿宋_GB2312" w:eastAsia="仿宋_GB2312" w:cs="仿宋_GB2312"/>
                <w:color w:val="000000"/>
                <w:sz w:val="20"/>
                <w:szCs w:val="20"/>
                <w:highlight w:val="none"/>
              </w:rPr>
            </w:pPr>
          </w:p>
        </w:tc>
      </w:tr>
      <w:tr w14:paraId="094AFA7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3F0E63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0881B6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D18122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96.94</w:t>
            </w:r>
          </w:p>
        </w:tc>
        <w:tc>
          <w:tcPr>
            <w:tcW w:w="1446" w:type="dxa"/>
            <w:tcBorders>
              <w:top w:val="nil"/>
              <w:left w:val="nil"/>
              <w:bottom w:val="single" w:color="auto" w:sz="4" w:space="0"/>
              <w:right w:val="single" w:color="auto" w:sz="4" w:space="0"/>
            </w:tcBorders>
            <w:noWrap w:val="0"/>
            <w:vAlign w:val="center"/>
          </w:tcPr>
          <w:p w14:paraId="6340B5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28A6ACC">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9403B3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74"/>
        <w:gridCol w:w="1076"/>
        <w:gridCol w:w="1074"/>
        <w:gridCol w:w="1219"/>
        <w:gridCol w:w="1130"/>
        <w:gridCol w:w="1130"/>
        <w:gridCol w:w="825"/>
        <w:gridCol w:w="916"/>
        <w:gridCol w:w="1407"/>
      </w:tblGrid>
      <w:tr w14:paraId="012533BF">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57E27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76C8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14:paraId="31870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6A916AEE">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14:paraId="61BBA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9" w:type="dxa"/>
            <w:gridSpan w:val="4"/>
            <w:tcBorders>
              <w:top w:val="single" w:color="auto" w:sz="4" w:space="0"/>
              <w:left w:val="nil"/>
              <w:bottom w:val="single" w:color="auto" w:sz="4" w:space="0"/>
              <w:right w:val="single" w:color="auto" w:sz="4" w:space="0"/>
            </w:tcBorders>
            <w:noWrap w:val="0"/>
            <w:vAlign w:val="center"/>
          </w:tcPr>
          <w:p w14:paraId="3F4D3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c>
          <w:tcPr>
            <w:tcW w:w="1130" w:type="dxa"/>
            <w:tcBorders>
              <w:top w:val="single" w:color="auto" w:sz="4" w:space="0"/>
              <w:left w:val="nil"/>
              <w:bottom w:val="single" w:color="auto" w:sz="4" w:space="0"/>
              <w:right w:val="single" w:color="000000" w:sz="4" w:space="0"/>
            </w:tcBorders>
            <w:noWrap w:val="0"/>
            <w:vAlign w:val="center"/>
          </w:tcPr>
          <w:p w14:paraId="74B5C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48" w:type="dxa"/>
            <w:gridSpan w:val="3"/>
            <w:tcBorders>
              <w:top w:val="single" w:color="auto" w:sz="4" w:space="0"/>
              <w:left w:val="nil"/>
              <w:bottom w:val="single" w:color="auto" w:sz="4" w:space="0"/>
              <w:right w:val="single" w:color="auto" w:sz="4" w:space="0"/>
            </w:tcBorders>
            <w:noWrap w:val="0"/>
            <w:vAlign w:val="center"/>
          </w:tcPr>
          <w:p w14:paraId="3E05C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6BE129C0">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5C967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1F63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14:paraId="5FDE7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9" w:type="dxa"/>
            <w:tcBorders>
              <w:top w:val="nil"/>
              <w:left w:val="nil"/>
              <w:bottom w:val="single" w:color="auto" w:sz="4" w:space="0"/>
              <w:right w:val="single" w:color="auto" w:sz="4" w:space="0"/>
            </w:tcBorders>
            <w:noWrap w:val="0"/>
            <w:vAlign w:val="center"/>
          </w:tcPr>
          <w:p w14:paraId="01070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E84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355EE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09E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016732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CC14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01F07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28C7E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07" w:type="dxa"/>
            <w:tcBorders>
              <w:top w:val="nil"/>
              <w:left w:val="nil"/>
              <w:bottom w:val="single" w:color="auto" w:sz="4" w:space="0"/>
              <w:right w:val="single" w:color="auto" w:sz="4" w:space="0"/>
            </w:tcBorders>
            <w:noWrap w:val="0"/>
            <w:vAlign w:val="center"/>
          </w:tcPr>
          <w:p w14:paraId="653C03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C55B3D">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36BD8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04B1C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19" w:type="dxa"/>
            <w:tcBorders>
              <w:top w:val="nil"/>
              <w:left w:val="nil"/>
              <w:bottom w:val="single" w:color="auto" w:sz="4" w:space="0"/>
              <w:right w:val="single" w:color="auto" w:sz="4" w:space="0"/>
            </w:tcBorders>
            <w:noWrap w:val="0"/>
            <w:vAlign w:val="center"/>
          </w:tcPr>
          <w:p w14:paraId="02916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40.00</w:t>
            </w:r>
          </w:p>
        </w:tc>
        <w:tc>
          <w:tcPr>
            <w:tcW w:w="1130" w:type="dxa"/>
            <w:tcBorders>
              <w:top w:val="nil"/>
              <w:left w:val="nil"/>
              <w:bottom w:val="single" w:color="auto" w:sz="4" w:space="0"/>
              <w:right w:val="single" w:color="auto" w:sz="4" w:space="0"/>
            </w:tcBorders>
            <w:noWrap w:val="0"/>
            <w:vAlign w:val="center"/>
          </w:tcPr>
          <w:p w14:paraId="46B93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68.25</w:t>
            </w:r>
          </w:p>
        </w:tc>
        <w:tc>
          <w:tcPr>
            <w:tcW w:w="1130" w:type="dxa"/>
            <w:tcBorders>
              <w:top w:val="nil"/>
              <w:left w:val="nil"/>
              <w:bottom w:val="single" w:color="auto" w:sz="4" w:space="0"/>
              <w:right w:val="single" w:color="auto" w:sz="4" w:space="0"/>
            </w:tcBorders>
            <w:noWrap w:val="0"/>
            <w:vAlign w:val="center"/>
          </w:tcPr>
          <w:p w14:paraId="47C63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68.25</w:t>
            </w:r>
          </w:p>
        </w:tc>
        <w:tc>
          <w:tcPr>
            <w:tcW w:w="825" w:type="dxa"/>
            <w:tcBorders>
              <w:top w:val="nil"/>
              <w:left w:val="nil"/>
              <w:bottom w:val="single" w:color="auto" w:sz="4" w:space="0"/>
              <w:right w:val="single" w:color="auto" w:sz="4" w:space="0"/>
            </w:tcBorders>
            <w:noWrap w:val="0"/>
            <w:vAlign w:val="center"/>
          </w:tcPr>
          <w:p w14:paraId="1DD53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374E9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407" w:type="dxa"/>
            <w:tcBorders>
              <w:top w:val="nil"/>
              <w:left w:val="nil"/>
              <w:bottom w:val="single" w:color="auto" w:sz="4" w:space="0"/>
              <w:right w:val="single" w:color="auto" w:sz="4" w:space="0"/>
            </w:tcBorders>
            <w:noWrap w:val="0"/>
            <w:vAlign w:val="center"/>
          </w:tcPr>
          <w:p w14:paraId="6C5E3F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EA5CD8F">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75F442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38E8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19" w:type="dxa"/>
            <w:tcBorders>
              <w:top w:val="nil"/>
              <w:left w:val="nil"/>
              <w:bottom w:val="single" w:color="auto" w:sz="4" w:space="0"/>
              <w:right w:val="single" w:color="auto" w:sz="4" w:space="0"/>
            </w:tcBorders>
            <w:noWrap w:val="0"/>
            <w:vAlign w:val="center"/>
          </w:tcPr>
          <w:p w14:paraId="1AE0B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40.00</w:t>
            </w:r>
          </w:p>
        </w:tc>
        <w:tc>
          <w:tcPr>
            <w:tcW w:w="1130" w:type="dxa"/>
            <w:tcBorders>
              <w:top w:val="nil"/>
              <w:left w:val="nil"/>
              <w:bottom w:val="single" w:color="auto" w:sz="4" w:space="0"/>
              <w:right w:val="single" w:color="auto" w:sz="4" w:space="0"/>
            </w:tcBorders>
            <w:noWrap w:val="0"/>
            <w:vAlign w:val="center"/>
          </w:tcPr>
          <w:p w14:paraId="07397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68.25</w:t>
            </w:r>
          </w:p>
        </w:tc>
        <w:tc>
          <w:tcPr>
            <w:tcW w:w="1130" w:type="dxa"/>
            <w:tcBorders>
              <w:top w:val="nil"/>
              <w:left w:val="nil"/>
              <w:bottom w:val="single" w:color="auto" w:sz="4" w:space="0"/>
              <w:right w:val="single" w:color="auto" w:sz="4" w:space="0"/>
            </w:tcBorders>
            <w:noWrap w:val="0"/>
            <w:vAlign w:val="center"/>
          </w:tcPr>
          <w:p w14:paraId="53BE4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68.25</w:t>
            </w:r>
          </w:p>
        </w:tc>
        <w:tc>
          <w:tcPr>
            <w:tcW w:w="825" w:type="dxa"/>
            <w:tcBorders>
              <w:top w:val="nil"/>
              <w:left w:val="nil"/>
              <w:bottom w:val="single" w:color="auto" w:sz="4" w:space="0"/>
              <w:right w:val="single" w:color="auto" w:sz="4" w:space="0"/>
            </w:tcBorders>
            <w:noWrap w:val="0"/>
            <w:vAlign w:val="center"/>
          </w:tcPr>
          <w:p w14:paraId="34F57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5BA75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431F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85E845">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72F1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3EE34A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19" w:type="dxa"/>
            <w:tcBorders>
              <w:top w:val="nil"/>
              <w:left w:val="nil"/>
              <w:bottom w:val="single" w:color="auto" w:sz="4" w:space="0"/>
              <w:right w:val="single" w:color="auto" w:sz="4" w:space="0"/>
            </w:tcBorders>
            <w:noWrap w:val="0"/>
            <w:vAlign w:val="center"/>
          </w:tcPr>
          <w:p w14:paraId="2983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0A95C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4AC3C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10DBD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36B67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7B9E1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8F9AB">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7C08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13B188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9" w:type="dxa"/>
            <w:tcBorders>
              <w:top w:val="nil"/>
              <w:left w:val="nil"/>
              <w:bottom w:val="single" w:color="auto" w:sz="4" w:space="0"/>
              <w:right w:val="single" w:color="auto" w:sz="4" w:space="0"/>
            </w:tcBorders>
            <w:noWrap w:val="0"/>
            <w:vAlign w:val="center"/>
          </w:tcPr>
          <w:p w14:paraId="1C30C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32FCD1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0" w:type="dxa"/>
            <w:tcBorders>
              <w:top w:val="nil"/>
              <w:left w:val="nil"/>
              <w:bottom w:val="single" w:color="auto" w:sz="4" w:space="0"/>
              <w:right w:val="single" w:color="auto" w:sz="4" w:space="0"/>
            </w:tcBorders>
            <w:noWrap w:val="0"/>
            <w:vAlign w:val="center"/>
          </w:tcPr>
          <w:p w14:paraId="2FBB6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noWrap w:val="0"/>
            <w:vAlign w:val="center"/>
          </w:tcPr>
          <w:p w14:paraId="3FF1B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40C42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0B100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5F3BC1">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41828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9" w:type="dxa"/>
            <w:gridSpan w:val="4"/>
            <w:tcBorders>
              <w:top w:val="single" w:color="auto" w:sz="4" w:space="0"/>
              <w:left w:val="nil"/>
              <w:bottom w:val="single" w:color="auto" w:sz="4" w:space="0"/>
              <w:right w:val="single" w:color="000000" w:sz="4" w:space="0"/>
            </w:tcBorders>
            <w:noWrap w:val="0"/>
            <w:vAlign w:val="center"/>
          </w:tcPr>
          <w:p w14:paraId="34FEF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8" w:type="dxa"/>
            <w:gridSpan w:val="4"/>
            <w:tcBorders>
              <w:top w:val="single" w:color="auto" w:sz="4" w:space="0"/>
              <w:left w:val="nil"/>
              <w:bottom w:val="single" w:color="auto" w:sz="4" w:space="0"/>
              <w:right w:val="single" w:color="auto" w:sz="4" w:space="0"/>
            </w:tcBorders>
            <w:noWrap w:val="0"/>
            <w:vAlign w:val="center"/>
          </w:tcPr>
          <w:p w14:paraId="779E1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C4332E">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9D71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9" w:type="dxa"/>
            <w:gridSpan w:val="4"/>
            <w:tcBorders>
              <w:top w:val="single" w:color="auto" w:sz="4" w:space="0"/>
              <w:left w:val="nil"/>
              <w:bottom w:val="single" w:color="auto" w:sz="4" w:space="0"/>
              <w:right w:val="single" w:color="000000" w:sz="4" w:space="0"/>
            </w:tcBorders>
            <w:noWrap w:val="0"/>
            <w:vAlign w:val="center"/>
          </w:tcPr>
          <w:p w14:paraId="2D89F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开展辖区环境监察、监测日常工作，为辖区内经济建设、生态保护更好地服务</w:t>
            </w:r>
          </w:p>
        </w:tc>
        <w:tc>
          <w:tcPr>
            <w:tcW w:w="4278" w:type="dxa"/>
            <w:gridSpan w:val="4"/>
            <w:tcBorders>
              <w:top w:val="single" w:color="auto" w:sz="4" w:space="0"/>
              <w:left w:val="nil"/>
              <w:bottom w:val="single" w:color="auto" w:sz="4" w:space="0"/>
              <w:right w:val="single" w:color="auto" w:sz="4" w:space="0"/>
            </w:tcBorders>
            <w:noWrap w:val="0"/>
            <w:vAlign w:val="center"/>
          </w:tcPr>
          <w:p w14:paraId="34DD5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100%</w:t>
            </w:r>
          </w:p>
        </w:tc>
      </w:tr>
      <w:tr w14:paraId="2CD39AFB">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26AAD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E9F5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5D7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2A6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61EC0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14:paraId="2732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9" w:type="dxa"/>
            <w:tcBorders>
              <w:top w:val="nil"/>
              <w:left w:val="nil"/>
              <w:bottom w:val="single" w:color="auto" w:sz="4" w:space="0"/>
              <w:right w:val="single" w:color="auto" w:sz="4" w:space="0"/>
            </w:tcBorders>
            <w:noWrap w:val="0"/>
            <w:vAlign w:val="center"/>
          </w:tcPr>
          <w:p w14:paraId="0EBC4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0" w:type="dxa"/>
            <w:tcBorders>
              <w:top w:val="nil"/>
              <w:left w:val="nil"/>
              <w:bottom w:val="single" w:color="auto" w:sz="4" w:space="0"/>
              <w:right w:val="single" w:color="auto" w:sz="4" w:space="0"/>
            </w:tcBorders>
            <w:noWrap w:val="0"/>
            <w:vAlign w:val="center"/>
          </w:tcPr>
          <w:p w14:paraId="6755D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066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14:paraId="483EB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E7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28D0D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266D8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07" w:type="dxa"/>
            <w:tcBorders>
              <w:top w:val="nil"/>
              <w:left w:val="nil"/>
              <w:bottom w:val="single" w:color="auto" w:sz="4" w:space="0"/>
              <w:right w:val="single" w:color="auto" w:sz="4" w:space="0"/>
            </w:tcBorders>
            <w:noWrap w:val="0"/>
            <w:vAlign w:val="center"/>
          </w:tcPr>
          <w:p w14:paraId="05AC09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004BF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C9B7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58F03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4207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025FB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5487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9" w:type="dxa"/>
            <w:tcBorders>
              <w:top w:val="nil"/>
              <w:left w:val="nil"/>
              <w:bottom w:val="single" w:color="auto" w:sz="4" w:space="0"/>
              <w:right w:val="single" w:color="auto" w:sz="4" w:space="0"/>
            </w:tcBorders>
            <w:noWrap w:val="0"/>
            <w:vAlign w:val="center"/>
          </w:tcPr>
          <w:p w14:paraId="705F1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强力开展各项专项行动</w:t>
            </w:r>
          </w:p>
        </w:tc>
        <w:tc>
          <w:tcPr>
            <w:tcW w:w="1130" w:type="dxa"/>
            <w:tcBorders>
              <w:top w:val="nil"/>
              <w:left w:val="nil"/>
              <w:bottom w:val="single" w:color="auto" w:sz="4" w:space="0"/>
              <w:right w:val="single" w:color="auto" w:sz="4" w:space="0"/>
            </w:tcBorders>
            <w:noWrap w:val="0"/>
            <w:vAlign w:val="center"/>
          </w:tcPr>
          <w:p w14:paraId="0AE02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1130" w:type="dxa"/>
            <w:tcBorders>
              <w:top w:val="nil"/>
              <w:left w:val="nil"/>
              <w:bottom w:val="single" w:color="auto" w:sz="4" w:space="0"/>
              <w:right w:val="single" w:color="auto" w:sz="4" w:space="0"/>
            </w:tcBorders>
            <w:noWrap w:val="0"/>
            <w:vAlign w:val="center"/>
          </w:tcPr>
          <w:p w14:paraId="1C787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825" w:type="dxa"/>
            <w:tcBorders>
              <w:top w:val="nil"/>
              <w:left w:val="nil"/>
              <w:bottom w:val="single" w:color="auto" w:sz="4" w:space="0"/>
              <w:right w:val="single" w:color="auto" w:sz="4" w:space="0"/>
            </w:tcBorders>
            <w:noWrap w:val="0"/>
            <w:vAlign w:val="center"/>
          </w:tcPr>
          <w:p w14:paraId="4E3F2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FC7E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58BDF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0D6B004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26B6D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13417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D74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9" w:type="dxa"/>
            <w:tcBorders>
              <w:top w:val="nil"/>
              <w:left w:val="nil"/>
              <w:bottom w:val="single" w:color="auto" w:sz="4" w:space="0"/>
              <w:right w:val="single" w:color="auto" w:sz="4" w:space="0"/>
            </w:tcBorders>
            <w:noWrap w:val="0"/>
            <w:vAlign w:val="center"/>
          </w:tcPr>
          <w:p w14:paraId="23758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环保工作信访处理率</w:t>
            </w:r>
          </w:p>
        </w:tc>
        <w:tc>
          <w:tcPr>
            <w:tcW w:w="1130" w:type="dxa"/>
            <w:tcBorders>
              <w:top w:val="nil"/>
              <w:left w:val="nil"/>
              <w:bottom w:val="single" w:color="auto" w:sz="4" w:space="0"/>
              <w:right w:val="single" w:color="auto" w:sz="4" w:space="0"/>
            </w:tcBorders>
            <w:noWrap w:val="0"/>
            <w:vAlign w:val="center"/>
          </w:tcPr>
          <w:p w14:paraId="1B34D2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0" w:type="dxa"/>
            <w:tcBorders>
              <w:top w:val="nil"/>
              <w:left w:val="nil"/>
              <w:bottom w:val="single" w:color="auto" w:sz="4" w:space="0"/>
              <w:right w:val="single" w:color="auto" w:sz="4" w:space="0"/>
            </w:tcBorders>
            <w:noWrap w:val="0"/>
            <w:vAlign w:val="center"/>
          </w:tcPr>
          <w:p w14:paraId="6AF004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99%</w:t>
            </w:r>
          </w:p>
        </w:tc>
        <w:tc>
          <w:tcPr>
            <w:tcW w:w="825" w:type="dxa"/>
            <w:tcBorders>
              <w:top w:val="nil"/>
              <w:left w:val="nil"/>
              <w:bottom w:val="single" w:color="auto" w:sz="4" w:space="0"/>
              <w:right w:val="single" w:color="auto" w:sz="4" w:space="0"/>
            </w:tcBorders>
            <w:noWrap w:val="0"/>
            <w:vAlign w:val="center"/>
          </w:tcPr>
          <w:p w14:paraId="56D2E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42C4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07" w:type="dxa"/>
            <w:tcBorders>
              <w:top w:val="nil"/>
              <w:left w:val="nil"/>
              <w:bottom w:val="single" w:color="auto" w:sz="4" w:space="0"/>
              <w:right w:val="single" w:color="auto" w:sz="4" w:space="0"/>
            </w:tcBorders>
            <w:noWrap w:val="0"/>
            <w:vAlign w:val="center"/>
          </w:tcPr>
          <w:p w14:paraId="410E5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711DC3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19DCC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92A27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3544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9" w:type="dxa"/>
            <w:tcBorders>
              <w:top w:val="nil"/>
              <w:left w:val="nil"/>
              <w:bottom w:val="single" w:color="auto" w:sz="4" w:space="0"/>
              <w:right w:val="single" w:color="auto" w:sz="4" w:space="0"/>
            </w:tcBorders>
            <w:noWrap w:val="0"/>
            <w:vAlign w:val="center"/>
          </w:tcPr>
          <w:p w14:paraId="373DB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130" w:type="dxa"/>
            <w:tcBorders>
              <w:top w:val="nil"/>
              <w:left w:val="nil"/>
              <w:bottom w:val="single" w:color="auto" w:sz="4" w:space="0"/>
              <w:right w:val="single" w:color="auto" w:sz="4" w:space="0"/>
            </w:tcBorders>
            <w:noWrap w:val="0"/>
            <w:vAlign w:val="center"/>
          </w:tcPr>
          <w:p w14:paraId="58696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2025年度</w:t>
            </w:r>
          </w:p>
        </w:tc>
        <w:tc>
          <w:tcPr>
            <w:tcW w:w="1130" w:type="dxa"/>
            <w:tcBorders>
              <w:top w:val="nil"/>
              <w:left w:val="nil"/>
              <w:bottom w:val="single" w:color="auto" w:sz="4" w:space="0"/>
              <w:right w:val="single" w:color="auto" w:sz="4" w:space="0"/>
            </w:tcBorders>
            <w:noWrap w:val="0"/>
            <w:vAlign w:val="center"/>
          </w:tcPr>
          <w:p w14:paraId="2FDF3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2025年度</w:t>
            </w:r>
          </w:p>
        </w:tc>
        <w:tc>
          <w:tcPr>
            <w:tcW w:w="825" w:type="dxa"/>
            <w:tcBorders>
              <w:top w:val="nil"/>
              <w:left w:val="nil"/>
              <w:bottom w:val="single" w:color="auto" w:sz="4" w:space="0"/>
              <w:right w:val="single" w:color="auto" w:sz="4" w:space="0"/>
            </w:tcBorders>
            <w:noWrap w:val="0"/>
            <w:vAlign w:val="center"/>
          </w:tcPr>
          <w:p w14:paraId="4267E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75D9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1E422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D5E4E7D">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75EAE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DBC11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E58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9" w:type="dxa"/>
            <w:tcBorders>
              <w:top w:val="nil"/>
              <w:left w:val="nil"/>
              <w:bottom w:val="single" w:color="auto" w:sz="4" w:space="0"/>
              <w:right w:val="single" w:color="auto" w:sz="4" w:space="0"/>
            </w:tcBorders>
            <w:noWrap w:val="0"/>
            <w:vAlign w:val="center"/>
          </w:tcPr>
          <w:p w14:paraId="0977C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支出控制在预算内</w:t>
            </w:r>
          </w:p>
        </w:tc>
        <w:tc>
          <w:tcPr>
            <w:tcW w:w="1130" w:type="dxa"/>
            <w:tcBorders>
              <w:top w:val="nil"/>
              <w:left w:val="nil"/>
              <w:bottom w:val="single" w:color="auto" w:sz="4" w:space="0"/>
              <w:right w:val="single" w:color="auto" w:sz="4" w:space="0"/>
            </w:tcBorders>
            <w:noWrap w:val="0"/>
            <w:vAlign w:val="center"/>
          </w:tcPr>
          <w:p w14:paraId="6FCCD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≤68.25万元</w:t>
            </w:r>
          </w:p>
        </w:tc>
        <w:tc>
          <w:tcPr>
            <w:tcW w:w="1130" w:type="dxa"/>
            <w:tcBorders>
              <w:top w:val="nil"/>
              <w:left w:val="nil"/>
              <w:bottom w:val="single" w:color="auto" w:sz="4" w:space="0"/>
              <w:right w:val="single" w:color="auto" w:sz="4" w:space="0"/>
            </w:tcBorders>
            <w:noWrap w:val="0"/>
            <w:vAlign w:val="center"/>
          </w:tcPr>
          <w:p w14:paraId="7976B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68.25万元</w:t>
            </w:r>
          </w:p>
        </w:tc>
        <w:tc>
          <w:tcPr>
            <w:tcW w:w="825" w:type="dxa"/>
            <w:tcBorders>
              <w:top w:val="nil"/>
              <w:left w:val="nil"/>
              <w:bottom w:val="single" w:color="auto" w:sz="4" w:space="0"/>
              <w:right w:val="single" w:color="auto" w:sz="4" w:space="0"/>
            </w:tcBorders>
            <w:noWrap w:val="0"/>
            <w:vAlign w:val="center"/>
          </w:tcPr>
          <w:p w14:paraId="659EB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916" w:type="dxa"/>
            <w:tcBorders>
              <w:top w:val="nil"/>
              <w:left w:val="nil"/>
              <w:bottom w:val="single" w:color="auto" w:sz="4" w:space="0"/>
              <w:right w:val="single" w:color="auto" w:sz="4" w:space="0"/>
            </w:tcBorders>
            <w:noWrap w:val="0"/>
            <w:vAlign w:val="center"/>
          </w:tcPr>
          <w:p w14:paraId="1F639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407" w:type="dxa"/>
            <w:tcBorders>
              <w:top w:val="nil"/>
              <w:left w:val="nil"/>
              <w:bottom w:val="single" w:color="auto" w:sz="4" w:space="0"/>
              <w:right w:val="single" w:color="auto" w:sz="4" w:space="0"/>
            </w:tcBorders>
            <w:noWrap w:val="0"/>
            <w:vAlign w:val="center"/>
          </w:tcPr>
          <w:p w14:paraId="6DCAE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1495214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6807E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783B0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43E8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0F3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9E7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B01B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C38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9" w:type="dxa"/>
            <w:tcBorders>
              <w:top w:val="nil"/>
              <w:left w:val="nil"/>
              <w:bottom w:val="single" w:color="auto" w:sz="4" w:space="0"/>
              <w:right w:val="single" w:color="auto" w:sz="4" w:space="0"/>
            </w:tcBorders>
            <w:noWrap w:val="0"/>
            <w:vAlign w:val="center"/>
          </w:tcPr>
          <w:p w14:paraId="4B183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130" w:type="dxa"/>
            <w:tcBorders>
              <w:top w:val="nil"/>
              <w:left w:val="nil"/>
              <w:bottom w:val="single" w:color="auto" w:sz="4" w:space="0"/>
              <w:right w:val="single" w:color="auto" w:sz="4" w:space="0"/>
            </w:tcBorders>
            <w:noWrap w:val="0"/>
            <w:vAlign w:val="center"/>
          </w:tcPr>
          <w:p w14:paraId="76497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0" w:type="dxa"/>
            <w:tcBorders>
              <w:top w:val="nil"/>
              <w:left w:val="nil"/>
              <w:bottom w:val="single" w:color="auto" w:sz="4" w:space="0"/>
              <w:right w:val="single" w:color="auto" w:sz="4" w:space="0"/>
            </w:tcBorders>
            <w:noWrap w:val="0"/>
            <w:vAlign w:val="center"/>
          </w:tcPr>
          <w:p w14:paraId="25866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5" w:type="dxa"/>
            <w:tcBorders>
              <w:top w:val="nil"/>
              <w:left w:val="nil"/>
              <w:bottom w:val="single" w:color="auto" w:sz="4" w:space="0"/>
              <w:right w:val="single" w:color="auto" w:sz="4" w:space="0"/>
            </w:tcBorders>
            <w:noWrap w:val="0"/>
            <w:vAlign w:val="center"/>
          </w:tcPr>
          <w:p w14:paraId="00BB3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357BC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57C79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5E6233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D5A5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1FACA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EFCAA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7F1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9" w:type="dxa"/>
            <w:tcBorders>
              <w:top w:val="nil"/>
              <w:left w:val="nil"/>
              <w:bottom w:val="single" w:color="auto" w:sz="4" w:space="0"/>
              <w:right w:val="single" w:color="auto" w:sz="4" w:space="0"/>
            </w:tcBorders>
            <w:noWrap w:val="0"/>
            <w:vAlign w:val="center"/>
          </w:tcPr>
          <w:p w14:paraId="5A8A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改善居民生产、生活环境，提升幸福生活指数</w:t>
            </w:r>
          </w:p>
        </w:tc>
        <w:tc>
          <w:tcPr>
            <w:tcW w:w="1130" w:type="dxa"/>
            <w:tcBorders>
              <w:top w:val="nil"/>
              <w:left w:val="nil"/>
              <w:bottom w:val="single" w:color="auto" w:sz="4" w:space="0"/>
              <w:right w:val="single" w:color="auto" w:sz="4" w:space="0"/>
            </w:tcBorders>
            <w:noWrap w:val="0"/>
            <w:vAlign w:val="center"/>
          </w:tcPr>
          <w:p w14:paraId="1A572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1130" w:type="dxa"/>
            <w:tcBorders>
              <w:top w:val="nil"/>
              <w:left w:val="nil"/>
              <w:bottom w:val="single" w:color="auto" w:sz="4" w:space="0"/>
              <w:right w:val="single" w:color="auto" w:sz="4" w:space="0"/>
            </w:tcBorders>
            <w:noWrap w:val="0"/>
            <w:vAlign w:val="center"/>
          </w:tcPr>
          <w:p w14:paraId="0856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825" w:type="dxa"/>
            <w:tcBorders>
              <w:top w:val="nil"/>
              <w:left w:val="nil"/>
              <w:bottom w:val="single" w:color="auto" w:sz="4" w:space="0"/>
              <w:right w:val="single" w:color="auto" w:sz="4" w:space="0"/>
            </w:tcBorders>
            <w:noWrap w:val="0"/>
            <w:vAlign w:val="center"/>
          </w:tcPr>
          <w:p w14:paraId="5032A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684F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4586B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3AAC0C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D2488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C1CA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8EA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6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9" w:type="dxa"/>
            <w:tcBorders>
              <w:top w:val="nil"/>
              <w:left w:val="nil"/>
              <w:bottom w:val="single" w:color="auto" w:sz="4" w:space="0"/>
              <w:right w:val="single" w:color="auto" w:sz="4" w:space="0"/>
            </w:tcBorders>
            <w:noWrap w:val="0"/>
            <w:vAlign w:val="center"/>
          </w:tcPr>
          <w:p w14:paraId="2AF82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对生态环境未造成</w:t>
            </w:r>
            <w:r>
              <w:rPr>
                <w:rFonts w:hint="default" w:ascii="仿宋_GB2312" w:hAnsi="仿宋_GB2312" w:eastAsia="仿宋_GB2312" w:cs="仿宋_GB2312"/>
                <w:color w:val="000000"/>
                <w:sz w:val="20"/>
                <w:szCs w:val="20"/>
                <w:highlight w:val="none"/>
                <w:lang w:val="en-US" w:eastAsia="zh-CN"/>
              </w:rPr>
              <w:t>较大污染</w:t>
            </w:r>
          </w:p>
        </w:tc>
        <w:tc>
          <w:tcPr>
            <w:tcW w:w="1130" w:type="dxa"/>
            <w:tcBorders>
              <w:top w:val="nil"/>
              <w:left w:val="nil"/>
              <w:bottom w:val="single" w:color="auto" w:sz="4" w:space="0"/>
              <w:right w:val="single" w:color="auto" w:sz="4" w:space="0"/>
            </w:tcBorders>
            <w:noWrap w:val="0"/>
            <w:vAlign w:val="center"/>
          </w:tcPr>
          <w:p w14:paraId="21B7D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无较大污染事件发生</w:t>
            </w:r>
          </w:p>
        </w:tc>
        <w:tc>
          <w:tcPr>
            <w:tcW w:w="1130" w:type="dxa"/>
            <w:tcBorders>
              <w:top w:val="nil"/>
              <w:left w:val="nil"/>
              <w:bottom w:val="single" w:color="auto" w:sz="4" w:space="0"/>
              <w:right w:val="single" w:color="auto" w:sz="4" w:space="0"/>
            </w:tcBorders>
            <w:noWrap w:val="0"/>
            <w:vAlign w:val="center"/>
          </w:tcPr>
          <w:p w14:paraId="05107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无较大污染事件发生</w:t>
            </w:r>
          </w:p>
        </w:tc>
        <w:tc>
          <w:tcPr>
            <w:tcW w:w="825" w:type="dxa"/>
            <w:tcBorders>
              <w:top w:val="nil"/>
              <w:left w:val="nil"/>
              <w:bottom w:val="single" w:color="auto" w:sz="4" w:space="0"/>
              <w:right w:val="single" w:color="auto" w:sz="4" w:space="0"/>
            </w:tcBorders>
            <w:noWrap w:val="0"/>
            <w:vAlign w:val="center"/>
          </w:tcPr>
          <w:p w14:paraId="32944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0D0F1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7" w:type="dxa"/>
            <w:tcBorders>
              <w:top w:val="nil"/>
              <w:left w:val="nil"/>
              <w:bottom w:val="single" w:color="auto" w:sz="4" w:space="0"/>
              <w:right w:val="single" w:color="auto" w:sz="4" w:space="0"/>
            </w:tcBorders>
            <w:noWrap w:val="0"/>
            <w:vAlign w:val="center"/>
          </w:tcPr>
          <w:p w14:paraId="7E07D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F69AD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53BD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8A06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465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E2625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320793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val="en-US" w:eastAsia="zh-CN"/>
              </w:rPr>
              <w:t>持续改善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2D562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持续改善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5F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06F1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D71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6470D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17D09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nil"/>
              <w:right w:val="single" w:color="auto" w:sz="4" w:space="0"/>
            </w:tcBorders>
            <w:noWrap w:val="0"/>
            <w:vAlign w:val="center"/>
          </w:tcPr>
          <w:p w14:paraId="0127A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EA39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138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AEBA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9" w:type="dxa"/>
            <w:tcBorders>
              <w:top w:val="nil"/>
              <w:left w:val="nil"/>
              <w:bottom w:val="single" w:color="auto" w:sz="4" w:space="0"/>
              <w:right w:val="single" w:color="auto" w:sz="4" w:space="0"/>
            </w:tcBorders>
            <w:noWrap w:val="0"/>
            <w:vAlign w:val="center"/>
          </w:tcPr>
          <w:p w14:paraId="716CC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0" w:type="dxa"/>
            <w:tcBorders>
              <w:top w:val="nil"/>
              <w:left w:val="nil"/>
              <w:bottom w:val="single" w:color="auto" w:sz="4" w:space="0"/>
              <w:right w:val="single" w:color="auto" w:sz="4" w:space="0"/>
            </w:tcBorders>
            <w:noWrap w:val="0"/>
            <w:vAlign w:val="center"/>
          </w:tcPr>
          <w:p w14:paraId="205FF3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0" w:type="dxa"/>
            <w:tcBorders>
              <w:top w:val="nil"/>
              <w:left w:val="nil"/>
              <w:bottom w:val="single" w:color="auto" w:sz="4" w:space="0"/>
              <w:right w:val="single" w:color="auto" w:sz="4" w:space="0"/>
            </w:tcBorders>
            <w:noWrap w:val="0"/>
            <w:vAlign w:val="center"/>
          </w:tcPr>
          <w:p w14:paraId="5D8C1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6DF47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5B7B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6C604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AD069AF">
        <w:tblPrEx>
          <w:tblCellMar>
            <w:top w:w="0" w:type="dxa"/>
            <w:left w:w="108" w:type="dxa"/>
            <w:bottom w:w="0" w:type="dxa"/>
            <w:right w:w="108" w:type="dxa"/>
          </w:tblCellMar>
        </w:tblPrEx>
        <w:trPr>
          <w:jc w:val="center"/>
        </w:trPr>
        <w:tc>
          <w:tcPr>
            <w:tcW w:w="6703" w:type="dxa"/>
            <w:gridSpan w:val="6"/>
            <w:tcBorders>
              <w:top w:val="single" w:color="auto" w:sz="4" w:space="0"/>
              <w:left w:val="single" w:color="auto" w:sz="4" w:space="0"/>
              <w:bottom w:val="single" w:color="auto" w:sz="4" w:space="0"/>
              <w:right w:val="single" w:color="000000" w:sz="4" w:space="0"/>
            </w:tcBorders>
            <w:noWrap w:val="0"/>
            <w:vAlign w:val="center"/>
          </w:tcPr>
          <w:p w14:paraId="657AA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75298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68E8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07" w:type="dxa"/>
            <w:tcBorders>
              <w:top w:val="nil"/>
              <w:left w:val="nil"/>
              <w:bottom w:val="single" w:color="auto" w:sz="4" w:space="0"/>
              <w:right w:val="single" w:color="auto" w:sz="4" w:space="0"/>
            </w:tcBorders>
            <w:noWrap w:val="0"/>
            <w:vAlign w:val="center"/>
          </w:tcPr>
          <w:p w14:paraId="4AFCC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E293FED">
      <w:pPr>
        <w:rPr>
          <w:rFonts w:hint="default" w:ascii="Times New Roman" w:hAnsi="Times New Roman" w:eastAsia="仿宋_GB2312" w:cs="Times New Roman"/>
          <w:sz w:val="18"/>
          <w:szCs w:val="18"/>
          <w:highlight w:val="none"/>
        </w:rPr>
      </w:pPr>
    </w:p>
    <w:p w14:paraId="111FE0D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33B7C13">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A771178">
      <w:pPr>
        <w:jc w:val="center"/>
        <w:rPr>
          <w:rFonts w:hint="default" w:ascii="Times New Roman" w:hAnsi="Times New Roman" w:eastAsia="方正小标宋_GBK" w:cs="Times New Roman"/>
          <w:sz w:val="52"/>
          <w:szCs w:val="52"/>
          <w:highlight w:val="none"/>
        </w:rPr>
      </w:pPr>
    </w:p>
    <w:p w14:paraId="0586A46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p>
    <w:p w14:paraId="16A5FFC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岳阳市生态环境保护综合行政执法支队</w:t>
      </w:r>
    </w:p>
    <w:p w14:paraId="7A99F17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39AF2398">
      <w:pPr>
        <w:jc w:val="center"/>
        <w:rPr>
          <w:rFonts w:hint="default" w:ascii="Times New Roman" w:hAnsi="Times New Roman" w:eastAsia="楷体_GB2312" w:cs="Times New Roman"/>
          <w:b/>
          <w:sz w:val="32"/>
          <w:szCs w:val="32"/>
          <w:highlight w:val="none"/>
        </w:rPr>
      </w:pPr>
    </w:p>
    <w:p w14:paraId="426823C6">
      <w:pPr>
        <w:jc w:val="center"/>
        <w:rPr>
          <w:rFonts w:hint="default" w:ascii="Times New Roman" w:hAnsi="Times New Roman" w:eastAsia="楷体_GB2312" w:cs="Times New Roman"/>
          <w:b/>
          <w:sz w:val="32"/>
          <w:szCs w:val="32"/>
          <w:highlight w:val="none"/>
        </w:rPr>
      </w:pPr>
    </w:p>
    <w:p w14:paraId="24B096F0">
      <w:pPr>
        <w:jc w:val="center"/>
        <w:rPr>
          <w:rFonts w:hint="default" w:ascii="Times New Roman" w:hAnsi="Times New Roman" w:eastAsia="楷体_GB2312" w:cs="Times New Roman"/>
          <w:b/>
          <w:sz w:val="32"/>
          <w:szCs w:val="32"/>
          <w:highlight w:val="none"/>
        </w:rPr>
      </w:pPr>
    </w:p>
    <w:p w14:paraId="28B22D20">
      <w:pPr>
        <w:jc w:val="center"/>
        <w:rPr>
          <w:rFonts w:hint="default" w:ascii="Times New Roman" w:hAnsi="Times New Roman" w:eastAsia="楷体_GB2312" w:cs="Times New Roman"/>
          <w:b/>
          <w:sz w:val="32"/>
          <w:szCs w:val="32"/>
          <w:highlight w:val="none"/>
        </w:rPr>
      </w:pPr>
    </w:p>
    <w:p w14:paraId="6A8A4396">
      <w:pPr>
        <w:jc w:val="center"/>
        <w:rPr>
          <w:rFonts w:hint="default" w:ascii="Times New Roman" w:hAnsi="Times New Roman" w:eastAsia="黑体" w:cs="Times New Roman"/>
          <w:sz w:val="32"/>
          <w:szCs w:val="32"/>
          <w:highlight w:val="none"/>
        </w:rPr>
      </w:pPr>
    </w:p>
    <w:p w14:paraId="73A09967">
      <w:pPr>
        <w:jc w:val="center"/>
        <w:rPr>
          <w:rFonts w:hint="default" w:ascii="Times New Roman" w:hAnsi="Times New Roman" w:eastAsia="黑体" w:cs="Times New Roman"/>
          <w:sz w:val="32"/>
          <w:szCs w:val="32"/>
          <w:highlight w:val="none"/>
        </w:rPr>
      </w:pPr>
    </w:p>
    <w:p w14:paraId="1F29360E">
      <w:pPr>
        <w:jc w:val="center"/>
        <w:rPr>
          <w:rFonts w:hint="default" w:ascii="Times New Roman" w:hAnsi="Times New Roman" w:eastAsia="黑体" w:cs="Times New Roman"/>
          <w:sz w:val="32"/>
          <w:szCs w:val="32"/>
          <w:highlight w:val="none"/>
        </w:rPr>
      </w:pPr>
    </w:p>
    <w:p w14:paraId="4FE662CA">
      <w:pPr>
        <w:jc w:val="both"/>
        <w:rPr>
          <w:rFonts w:hint="default" w:ascii="Times New Roman" w:hAnsi="Times New Roman" w:eastAsia="黑体" w:cs="Times New Roman"/>
          <w:sz w:val="32"/>
          <w:szCs w:val="32"/>
          <w:highlight w:val="none"/>
        </w:rPr>
      </w:pPr>
    </w:p>
    <w:p w14:paraId="3603E7EC">
      <w:pPr>
        <w:jc w:val="center"/>
        <w:rPr>
          <w:rFonts w:hint="default" w:ascii="Times New Roman" w:hAnsi="Times New Roman" w:eastAsia="黑体" w:cs="Times New Roman"/>
          <w:sz w:val="32"/>
          <w:szCs w:val="32"/>
          <w:highlight w:val="none"/>
        </w:rPr>
      </w:pPr>
    </w:p>
    <w:p w14:paraId="0C62F9DA">
      <w:pPr>
        <w:jc w:val="center"/>
        <w:rPr>
          <w:rFonts w:hint="default" w:ascii="Times New Roman" w:hAnsi="Times New Roman" w:eastAsia="黑体" w:cs="Times New Roman"/>
          <w:sz w:val="32"/>
          <w:szCs w:val="32"/>
          <w:highlight w:val="none"/>
        </w:rPr>
      </w:pPr>
    </w:p>
    <w:p w14:paraId="60C8A397">
      <w:pPr>
        <w:jc w:val="center"/>
        <w:rPr>
          <w:rFonts w:hint="default" w:ascii="Times New Roman" w:hAnsi="Times New Roman" w:eastAsia="黑体" w:cs="Times New Roman"/>
          <w:sz w:val="32"/>
          <w:szCs w:val="32"/>
          <w:highlight w:val="none"/>
        </w:rPr>
      </w:pPr>
    </w:p>
    <w:p w14:paraId="0B51C6B9">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A7451FF">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55374FAF">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6EA566D">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p>
    <w:p w14:paraId="1AAB230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岳阳市生态环境保护综合行政执法支队</w:t>
      </w:r>
    </w:p>
    <w:p w14:paraId="4ECE1AB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668562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C490A50">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一、部门基本情况</w:t>
      </w:r>
    </w:p>
    <w:p w14:paraId="0E609EEE">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(一)职能职责</w:t>
      </w:r>
    </w:p>
    <w:p w14:paraId="5E52D5E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1、贯彻执行有关生态环境保护行政执法方面的法律、法规、规章和政策规定。</w:t>
      </w:r>
    </w:p>
    <w:p w14:paraId="79CD8CB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2、依法行使污染防治、生态保护、核与辐射安全的行政处罚权以及与行政处罚相关的行政检查、行政强制权等执法职能；负责全市生态环境重大违法案件和跨县（市、区）违法案件的查处。</w:t>
      </w:r>
    </w:p>
    <w:p w14:paraId="681549F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3、负责全市生态环境保护行政执法的业务指导、组织协调、考核评价和稽查。</w:t>
      </w:r>
    </w:p>
    <w:p w14:paraId="7C64EF5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4、负责组织协调或配合生态环境保护部门联合执法行动。</w:t>
      </w:r>
    </w:p>
    <w:p w14:paraId="27B4C38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5、负责组织实施重点污染源自动监控相关工作。</w:t>
      </w:r>
    </w:p>
    <w:p w14:paraId="02C5788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6、负责环境应急与事故调查处理和管理；受理、承办、交办、督办生态环境保护信访（举报、投诉）案件；协调处理重要信访事项。</w:t>
      </w:r>
    </w:p>
    <w:p w14:paraId="4764580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7、完成上级部门交办的其他任务。</w:t>
      </w:r>
    </w:p>
    <w:p w14:paraId="42C75EF5">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(二)机构设置</w:t>
      </w:r>
    </w:p>
    <w:p w14:paraId="6015D4D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pacing w:val="0"/>
          <w:position w:val="0"/>
          <w:sz w:val="32"/>
          <w:szCs w:val="32"/>
          <w:lang w:val="en-US" w:eastAsia="zh-CN"/>
        </w:rPr>
        <w:t>市生态环保综合执法支队核定编制55名,现有在职人员55人，退休人员8人;下设8个机构，分别为综合科、法制科、市生态环境保护综合行政执法支队岳阳楼大队、市生态环境保护综合行政执法支队云溪大队、市生态环境保护综合行政执法支队君山大队、市生态环境保护综合行政执法支队园区执法大队、应急机动执法大队、环境稽查执法大队。</w:t>
      </w:r>
    </w:p>
    <w:p w14:paraId="1FD7CBA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96005CB">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13750B3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2025年基本支出预算数867.90万元，实际支出决算数1013.41万元。其中：人员经费879.77万元，主要包括：基本工资、津贴补贴、奖金、伙食补助、绩效工资、机关事业单位基本养老保险缴费、职工基本医疗保险缴费、其他社会保障缴费、住房公积金、退休费、医疗费补助、其他对个人和家庭的补助；公用经费133.64万元，主要包括：办公费、印刷费、水费、电费、邮电费、物业管理费、差旅费、维修（护）费、公务接待费、劳务费、委托业务费、工会经费、福利费、公务用车运行维护费、其他交通费用、其他商品和服务支出、办公设备购置等。</w:t>
      </w:r>
    </w:p>
    <w:p w14:paraId="0966C07D">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538C6A8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2025年项目支出预算数81.50万元，实际支出决算数68.25万元，用于环境监察、监测等运行经费项目支出。</w:t>
      </w:r>
    </w:p>
    <w:p w14:paraId="3EF121E3">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472182FA">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14:textFill>
            <w14:solidFill>
              <w14:schemeClr w14:val="tx1"/>
            </w14:solidFill>
          </w14:textFill>
        </w:rPr>
        <w:t>202</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5</w:t>
      </w:r>
      <w:r>
        <w:rPr>
          <w:rFonts w:hint="eastAsia" w:ascii="FangSong_GB2312" w:hAnsi="FangSong_GB2312" w:eastAsia="FangSong_GB2312" w:cs="FangSong_GB2312"/>
          <w:color w:val="000000" w:themeColor="text1"/>
          <w:sz w:val="32"/>
          <w:szCs w:val="32"/>
          <w14:textFill>
            <w14:solidFill>
              <w14:schemeClr w14:val="tx1"/>
            </w14:solidFill>
          </w14:textFill>
        </w:rPr>
        <w:t>年度本单位无政府性基金安排的支出。</w:t>
      </w:r>
    </w:p>
    <w:p w14:paraId="0203AA17">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4E3DFEC6">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FangSong_GB2312" w:hAnsi="FangSong_GB2312" w:eastAsia="FangSong_GB2312" w:cs="FangSong_GB2312"/>
          <w:color w:val="000000" w:themeColor="text1"/>
          <w:sz w:val="32"/>
          <w:szCs w:val="32"/>
          <w14:textFill>
            <w14:solidFill>
              <w14:schemeClr w14:val="tx1"/>
            </w14:solidFill>
          </w14:textFill>
        </w:rPr>
      </w:pPr>
      <w:r>
        <w:rPr>
          <w:rFonts w:hint="eastAsia" w:ascii="FangSong_GB2312" w:hAnsi="FangSong_GB2312" w:eastAsia="FangSong_GB2312" w:cs="FangSong_GB2312"/>
          <w:color w:val="000000" w:themeColor="text1"/>
          <w:sz w:val="32"/>
          <w:szCs w:val="32"/>
          <w14:textFill>
            <w14:solidFill>
              <w14:schemeClr w14:val="tx1"/>
            </w14:solidFill>
          </w14:textFill>
        </w:rPr>
        <w:t>202</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5</w:t>
      </w:r>
      <w:r>
        <w:rPr>
          <w:rFonts w:hint="eastAsia" w:ascii="FangSong_GB2312" w:hAnsi="FangSong_GB2312" w:eastAsia="FangSong_GB2312" w:cs="FangSong_GB2312"/>
          <w:color w:val="000000" w:themeColor="text1"/>
          <w:sz w:val="32"/>
          <w:szCs w:val="32"/>
          <w14:textFill>
            <w14:solidFill>
              <w14:schemeClr w14:val="tx1"/>
            </w14:solidFill>
          </w14:textFill>
        </w:rPr>
        <w:t>年度本单位无国有资本经营预算支出。</w:t>
      </w:r>
    </w:p>
    <w:p w14:paraId="2498260B">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E893384">
      <w:pPr>
        <w:ind w:firstLine="640" w:firstLineChars="200"/>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14:textFill>
            <w14:solidFill>
              <w14:schemeClr w14:val="tx1"/>
            </w14:solidFill>
          </w14:textFill>
        </w:rPr>
        <w:t>202</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5</w:t>
      </w:r>
      <w:r>
        <w:rPr>
          <w:rFonts w:hint="eastAsia" w:ascii="FangSong_GB2312" w:hAnsi="FangSong_GB2312" w:eastAsia="FangSong_GB2312" w:cs="FangSong_GB2312"/>
          <w:color w:val="000000" w:themeColor="text1"/>
          <w:sz w:val="32"/>
          <w:szCs w:val="32"/>
          <w14:textFill>
            <w14:solidFill>
              <w14:schemeClr w14:val="tx1"/>
            </w14:solidFill>
          </w14:textFill>
        </w:rPr>
        <w:t>年度本单位无社会保险基金预算支出。</w:t>
      </w:r>
    </w:p>
    <w:p w14:paraId="67C836B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1E3B91A">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(一)</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环境</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执法专项行动。</w:t>
      </w:r>
    </w:p>
    <w:p w14:paraId="00FD40CC">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坚持“严”的主基调不动摇，严厉打击环境违法犯罪行为。支队系统全年出动执法人员</w:t>
      </w:r>
      <w:bookmarkStart w:id="0" w:name="_GoBack"/>
      <w:bookmarkEnd w:id="0"/>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1960多人次，强力开展移动源污染防治标志性战役、涉重涉水、畜禽养殖污染、饮用水水源地突出环境问题整治等专项行动12次，排查环境风险点850多个，共办理环境违法案件71起，其中行政处罚案件49起，罚款380.7</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0</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万元。全市生态环境部门立案233起，处罚金额775</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.00</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万元。持续深化行政执法与刑事司法衔接，坚决查办非法倾倒固危废、三方检测机构弄虚作假等一批有影响、强震慑的大案要案，全年共办理移送案件4件，其中行政拘留案件2起，环境污染犯罪案件2起。对湘阴恒瑞、汨罗顺通等13家机动车检测进行立案查处，通过以点带面、专项行动推进行业治理，有力规范了市场秩序，形成了打击非法排污的强力震慑效应。</w:t>
      </w:r>
      <w:r>
        <w:rPr>
          <w:rFonts w:hint="eastAsia" w:ascii="仿宋_GB2312" w:hAnsi="仿宋_GB2312" w:eastAsia="仿宋_GB2312" w:cs="仿宋_GB2312"/>
          <w:color w:val="auto"/>
          <w:sz w:val="32"/>
          <w:szCs w:val="32"/>
          <w:lang w:val="en-US" w:eastAsia="zh-CN"/>
        </w:rPr>
        <w:t>常态化开展环境风险隐患排查整治，涉水涉重专项行动，</w:t>
      </w:r>
      <w:r>
        <w:rPr>
          <w:rFonts w:hint="eastAsia" w:ascii="仿宋_GB2312" w:hAnsi="仿宋_GB2312" w:eastAsia="仿宋_GB2312" w:cs="仿宋_GB2312"/>
          <w:color w:val="000000"/>
          <w:sz w:val="32"/>
          <w:szCs w:val="32"/>
        </w:rPr>
        <w:t>共排查</w:t>
      </w:r>
      <w:r>
        <w:rPr>
          <w:rFonts w:hint="eastAsia" w:ascii="仿宋_GB2312" w:hAnsi="仿宋_GB2312" w:eastAsia="仿宋_GB2312" w:cs="仿宋_GB2312"/>
          <w:color w:val="auto"/>
          <w:sz w:val="32"/>
          <w:szCs w:val="32"/>
          <w:lang w:val="en-US" w:eastAsia="zh-CN"/>
        </w:rPr>
        <w:t>重点企业、区域、流域的风险隐患</w:t>
      </w:r>
      <w:r>
        <w:rPr>
          <w:rFonts w:hint="eastAsia" w:ascii="仿宋_GB2312" w:hAnsi="仿宋_GB2312" w:eastAsia="仿宋_GB2312" w:cs="仿宋_GB2312"/>
          <w:color w:val="000000"/>
          <w:sz w:val="32"/>
          <w:szCs w:val="32"/>
        </w:rPr>
        <w:t>企业</w:t>
      </w:r>
      <w:r>
        <w:rPr>
          <w:rFonts w:hint="eastAsia" w:ascii="仿宋_GB2312" w:hAnsi="仿宋_GB2312" w:eastAsia="仿宋_GB2312" w:cs="仿宋_GB2312"/>
          <w:color w:val="000000"/>
          <w:sz w:val="32"/>
          <w:szCs w:val="32"/>
          <w:lang w:val="en-US" w:eastAsia="zh-CN"/>
        </w:rPr>
        <w:t>510</w:t>
      </w:r>
      <w:r>
        <w:rPr>
          <w:rFonts w:hint="eastAsia" w:ascii="仿宋_GB2312" w:hAnsi="仿宋_GB2312" w:eastAsia="仿宋_GB2312" w:cs="仿宋_GB2312"/>
          <w:color w:val="000000"/>
          <w:sz w:val="32"/>
          <w:szCs w:val="32"/>
        </w:rPr>
        <w:t>余家次，查处问题企业7</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家，</w:t>
      </w:r>
      <w:r>
        <w:rPr>
          <w:rFonts w:hint="eastAsia" w:ascii="仿宋_GB2312" w:hAnsi="仿宋_GB2312" w:eastAsia="仿宋_GB2312" w:cs="仿宋_GB2312"/>
          <w:color w:val="000000"/>
          <w:sz w:val="32"/>
          <w:szCs w:val="32"/>
          <w:lang w:val="en-US" w:eastAsia="zh-CN"/>
        </w:rPr>
        <w:t>发现问题76个，均已完成整改销号，真正</w:t>
      </w:r>
      <w:r>
        <w:rPr>
          <w:rFonts w:hint="eastAsia" w:ascii="仿宋_GB2312" w:hAnsi="仿宋_GB2312" w:eastAsia="仿宋_GB2312" w:cs="仿宋_GB2312"/>
          <w:color w:val="auto"/>
          <w:sz w:val="32"/>
          <w:szCs w:val="32"/>
          <w:lang w:val="en-US" w:eastAsia="zh-CN"/>
        </w:rPr>
        <w:t>做到了“底数清、情况明、问题清、责任清、措施清、隐患清”，确保将环境风险消除在萌芽状态。</w:t>
      </w:r>
    </w:p>
    <w:p w14:paraId="5D6AABC6">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二</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、环境信访案件处理。</w:t>
      </w:r>
    </w:p>
    <w:p w14:paraId="1645698E">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坚持把环境信访作为了解、解决群众急难愁盼问题的一面“镜子”，将维护公众环境权益作为工作的出发点和落脚点，运用法治手段，将矛盾纠纷化解在基层、化解在萌芽状态。全年共转办各类信访件2377件，办结率99％，群众满意95％，特别是在第四届湖南旅发会、两节两会等重要节点，信访提前介入、及时化解，确保全年没有发生一起群访、越级上访事件。其中，“快查快处，某电磁科技有限公司异味扰民”“市、区两级联动，化解湖南某新材料股份有限公司‘偷排漏排’危险化学品”两个信访获得市局官微推介。</w:t>
      </w:r>
    </w:p>
    <w:p w14:paraId="42D01E22">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三</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、助力企业发展。</w:t>
      </w:r>
    </w:p>
    <w:p w14:paraId="19BAF6B8">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牢固树立“执法为民、服务发展”的理念，坚持优化执法方式，提升执法效能，以高水平环境保护助推高质量发展。严格落实落细正面清单企业激励措施，实行差异化监管，将环境风险低的121家企业纳入正面清单，坚守对守法企业“无事不扰”态度，鼓励企业形成守法常态。规范自由裁量权，确保行政处罚“罚当其过”。进一步完善生态环境执法制度，避免“小过大罚”，免罚案件27件，免罚金额433.71万元，轻罚案件18件，轻罚金额141.11万元。采取污染源在线、用电监控平台及无人机等开展非现场执法2884次，逐步实现生态环境执法由“人防为主”向“技防优先”的转变，切实提升环境执法的质效。</w:t>
      </w:r>
    </w:p>
    <w:p w14:paraId="52970E89">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四</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、环境应急事件管理。</w:t>
      </w:r>
    </w:p>
    <w:p w14:paraId="2A79EDF2">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坚持实行环境应急管理关口前移，不断提升应急处突能力，确保实现不发生次生灾害、不影响敏感目标、不出现群体性事件的“三确保”目标，一年来，全市生态环境部门科学应对处置突发环境事件1起，牢牢守住了环境安全底线。先后联合主办“2025年液氨重大危险源泄漏综合应急演练”、“2025年城陵矶高速胥家桥收费站危化品运输车辆交通事故应急救援演练”，全市环境应急能力得到明显提升。湖南岳阳绿色化工高新技术产业开发区“一园一策一图”试点工作顺利完成，得到生态环境部、省厅高度肯定。湖南临湘高新技术产业开发区成功入选全省第一批推广应用化工园区三级防控体系建设成果单位。</w:t>
      </w:r>
    </w:p>
    <w:p w14:paraId="572AE9B1">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2865464">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在</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信访</w:t>
      </w: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案件问题上，环境信访投诉量持续处于高位,信访量激增，调处的及时性可能会出现滞后，影响环境满意度。特别是在第四届湖南旅发会、两节两会等重要节点，需要提前介入、及时化解，将矛盾纠纷化解在基层、化解在萌芽状态。在环境应急专业化能力与风险形势要求上仍存在差距，需继续努力提升。</w:t>
      </w:r>
      <w:r>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我单位将积极采取改进措施，持续改进，不断规范和强化管理。</w:t>
      </w:r>
    </w:p>
    <w:p w14:paraId="4D11A62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1C560398">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抓好新一年的环境执法工作，通过“五个强化”，做到“两个确保”，即确保全市不发生较大以上突发环境事故，确保区域环境安全。始终保持对环境违法行为严查重处的高压态势。持续加大对部、省推送、交办环境违法线索交办、督办力度。主攻重大环境违法行为、较大社会影响及跨区域案件，重点排查化工、涉重、危废处置、机动车检测、第三方环保服务机构等领域，切实改变“大水漫灌”式普查，更多采取“点穴式”暗访、突击夜查、跨区域交叉检查等方式，直奔问题点位，精准打击偷排偷放、监测数据弄虚作假、治污设施不正常运行等恶意违法行为。以制度约束确保案件办理、执法公开透明，杜绝办理“人情案、关系案、金钱案”。进一步规范使用“双随机、一公开”监管平台，日常监管抽查应通过省级平台随机抽取，不得使用临时导入的检查对象库，禁止任何形式的线下指定或替换，每季度抽取的企业，重点源不低于25%。实施个性化、定制化的系统培训，开展全员、全年执法大练兵活动，“理论培训+实际操作”、请进来和送出去相结合，加快专业型执法人才成长，不断提升执法专业素养和能力。</w:t>
      </w:r>
    </w:p>
    <w:p w14:paraId="3F05A0B0">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72B412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高度重视预算支出绩效自评工作，积极落实主体责任，成立预算绩效管理领导小组，加强组织领导，按照绩效管理工作方案和绩效评价相关制度规定，认真开展自评，确保绩效自评工作顺利实施，并按照要求进行信息公开，对存在的问题积极整改。</w:t>
      </w:r>
    </w:p>
    <w:p w14:paraId="317036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572DCB73">
      <w:pPr>
        <w:pStyle w:val="2"/>
        <w:ind w:firstLine="640" w:firstLineChars="200"/>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position w:val="0"/>
          <w:sz w:val="32"/>
          <w:szCs w:val="32"/>
          <w:lang w:val="en-US" w:eastAsia="zh-CN" w:bidi="ar-SA"/>
          <w14:textFill>
            <w14:solidFill>
              <w14:schemeClr w14:val="tx1"/>
            </w14:solidFill>
          </w14:textFill>
        </w:rPr>
        <w:t>无。</w:t>
      </w:r>
    </w:p>
    <w:p w14:paraId="1ACA5AF8">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14:paraId="1C34E52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A1AD3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C0231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68DF4AB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6A441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7C5C52A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14:paraId="640C6BE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161A4"/>
    <w:multiLevelType w:val="singleLevel"/>
    <w:tmpl w:val="843161A4"/>
    <w:lvl w:ilvl="0" w:tentative="0">
      <w:start w:val="9"/>
      <w:numFmt w:val="chineseCounting"/>
      <w:suff w:val="nothing"/>
      <w:lvlText w:val="%1、"/>
      <w:lvlJc w:val="left"/>
      <w:rPr>
        <w:rFonts w:hint="eastAsia"/>
      </w:rPr>
    </w:lvl>
  </w:abstractNum>
  <w:abstractNum w:abstractNumId="1">
    <w:nsid w:val="0B20C324"/>
    <w:multiLevelType w:val="singleLevel"/>
    <w:tmpl w:val="0B20C324"/>
    <w:lvl w:ilvl="0" w:tentative="0">
      <w:start w:val="3"/>
      <w:numFmt w:val="chineseCounting"/>
      <w:suff w:val="nothing"/>
      <w:lvlText w:val="%1、"/>
      <w:lvlJc w:val="left"/>
      <w:rPr>
        <w:rFonts w:hint="eastAsia"/>
      </w:rPr>
    </w:lvl>
  </w:abstractNum>
  <w:abstractNum w:abstractNumId="2">
    <w:nsid w:val="0E475AF1"/>
    <w:multiLevelType w:val="singleLevel"/>
    <w:tmpl w:val="0E475AF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30B6598"/>
    <w:rsid w:val="06FA69DA"/>
    <w:rsid w:val="072B5D6D"/>
    <w:rsid w:val="19373535"/>
    <w:rsid w:val="19E5593D"/>
    <w:rsid w:val="1CBF395D"/>
    <w:rsid w:val="1D7D6E43"/>
    <w:rsid w:val="22AC6B8A"/>
    <w:rsid w:val="23B0550D"/>
    <w:rsid w:val="27C42122"/>
    <w:rsid w:val="280654C4"/>
    <w:rsid w:val="2A684D72"/>
    <w:rsid w:val="2B8970C1"/>
    <w:rsid w:val="30087837"/>
    <w:rsid w:val="31D17975"/>
    <w:rsid w:val="363B127A"/>
    <w:rsid w:val="36985DB9"/>
    <w:rsid w:val="387E1E78"/>
    <w:rsid w:val="394F03C5"/>
    <w:rsid w:val="421B164C"/>
    <w:rsid w:val="44CC4ADE"/>
    <w:rsid w:val="454419EF"/>
    <w:rsid w:val="47617B58"/>
    <w:rsid w:val="4BFD628E"/>
    <w:rsid w:val="4CFA4C80"/>
    <w:rsid w:val="4D3748FA"/>
    <w:rsid w:val="4F0E2987"/>
    <w:rsid w:val="52A37C3C"/>
    <w:rsid w:val="536845DB"/>
    <w:rsid w:val="54CF7305"/>
    <w:rsid w:val="561F3061"/>
    <w:rsid w:val="569722BB"/>
    <w:rsid w:val="593736CB"/>
    <w:rsid w:val="59886344"/>
    <w:rsid w:val="5C9574C9"/>
    <w:rsid w:val="5DAB78D0"/>
    <w:rsid w:val="63A177AC"/>
    <w:rsid w:val="64770B81"/>
    <w:rsid w:val="66157FDD"/>
    <w:rsid w:val="6A817215"/>
    <w:rsid w:val="6B8359E9"/>
    <w:rsid w:val="6CEA6205"/>
    <w:rsid w:val="6FF15617"/>
    <w:rsid w:val="70EB3F67"/>
    <w:rsid w:val="713412E8"/>
    <w:rsid w:val="74911176"/>
    <w:rsid w:val="794744F9"/>
    <w:rsid w:val="7B75228A"/>
    <w:rsid w:val="7E0F6949"/>
    <w:rsid w:val="7E820F2E"/>
    <w:rsid w:val="7F693D2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5"/>
    <w:next w:val="1"/>
    <w:qFormat/>
    <w:uiPriority w:val="0"/>
    <w:pPr>
      <w:widowControl w:val="0"/>
      <w:ind w:left="1680" w:leftChars="800"/>
      <w:jc w:val="both"/>
    </w:pPr>
    <w:rPr>
      <w:rFonts w:ascii="仿宋" w:hAnsi="仿宋" w:eastAsia="宋体" w:cs="Times New Roman"/>
      <w:kern w:val="0"/>
      <w:sz w:val="28"/>
      <w:szCs w:val="24"/>
      <w:lang w:val="en-US" w:eastAsia="zh-CN" w:bidi="ar-SA"/>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4674</Words>
  <Characters>5133</Characters>
  <Lines>0</Lines>
  <Paragraphs>0</Paragraphs>
  <TotalTime>35</TotalTime>
  <ScaleCrop>false</ScaleCrop>
  <LinksUpToDate>false</LinksUpToDate>
  <CharactersWithSpaces>5301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李晨</cp:lastModifiedBy>
  <dcterms:modified xsi:type="dcterms:W3CDTF">2026-06-01T02:02:54Z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6430ED8D65C848BCA5B1FB485FDC1D07_13</vt:lpwstr>
  </property>
  <property fmtid="{D5CDD505-2E9C-101B-9397-08002B2CF9AE}" pid="4" name="KSOTemplateDocerSaveRecord">
    <vt:lpwstr>eyJoZGlkIjoiYTI1ZWRhODIzZjNkMzE5ODI3Y2UwZTM2NjQ3YjE4YjIiLCJ1c2VySWQiOiIyNDA2NTM0MjMifQ==</vt:lpwstr>
  </property>
</Properties>
</file>