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9E03">
      <w:pPr>
        <w:spacing w:after="0" w:afterLines="0" w:line="5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368BEEE1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231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25B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96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2E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29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3EAD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415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695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2E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D2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88.24%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ACE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5B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353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36A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061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12A61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392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6536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AB63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3D4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0.97</w:t>
            </w:r>
          </w:p>
        </w:tc>
      </w:tr>
      <w:tr w14:paraId="0419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9FD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ADE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D3EE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9803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0.97</w:t>
            </w:r>
          </w:p>
        </w:tc>
      </w:tr>
      <w:tr w14:paraId="2DC3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A1D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60C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7ED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E48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D30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1F9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1EF4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1536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3CAC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0.97</w:t>
            </w:r>
          </w:p>
        </w:tc>
      </w:tr>
      <w:tr w14:paraId="3C03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FE8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D3A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22B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ECA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5A81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63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B57A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6B72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C851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4B1C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1F8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8806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398.63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4376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84DA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250.27</w:t>
            </w:r>
          </w:p>
        </w:tc>
      </w:tr>
      <w:tr w14:paraId="6BF7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A5E9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1、日常工作经费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A9CC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AF1C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E40A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37.63</w:t>
            </w:r>
          </w:p>
        </w:tc>
      </w:tr>
      <w:tr w14:paraId="5E97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7D37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14B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C58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124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E75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8067">
            <w:pPr>
              <w:widowControl/>
              <w:spacing w:line="36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17C8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365.63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728F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35D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212.64</w:t>
            </w:r>
          </w:p>
        </w:tc>
      </w:tr>
      <w:tr w14:paraId="6645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E2E0">
            <w:pPr>
              <w:widowControl/>
              <w:spacing w:line="36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污染减排生态环境执法监察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A74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71.71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184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86F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625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F755">
            <w:pPr>
              <w:widowControl/>
              <w:spacing w:line="36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大气污染防治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9620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7FC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04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872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33B6">
            <w:pPr>
              <w:widowControl/>
              <w:spacing w:line="36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环境监察、监测等运行经费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776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243.92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A0D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743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C057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941"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污染防治攻坚专项经费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3A10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DEA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C55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8.16</w:t>
            </w:r>
          </w:p>
        </w:tc>
      </w:tr>
      <w:tr w14:paraId="5494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DF5A">
            <w:pPr>
              <w:widowControl/>
              <w:spacing w:line="36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其他资金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B6B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A6D7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FED8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184.15</w:t>
            </w:r>
          </w:p>
        </w:tc>
      </w:tr>
      <w:tr w14:paraId="7551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CFC1"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2024年其他资金结余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17B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D28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2FB6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20.33</w:t>
            </w:r>
          </w:p>
        </w:tc>
      </w:tr>
      <w:tr w14:paraId="1A2C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C7A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980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72.1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3780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47.6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0D0F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43.06</w:t>
            </w:r>
          </w:p>
        </w:tc>
      </w:tr>
      <w:tr w14:paraId="2216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55B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8B7D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AD6A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33.39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1550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28.88</w:t>
            </w:r>
          </w:p>
        </w:tc>
      </w:tr>
      <w:tr w14:paraId="40E4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16A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732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6.88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360D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C58B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2.81</w:t>
            </w:r>
          </w:p>
        </w:tc>
      </w:tr>
      <w:tr w14:paraId="2D44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FC1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C04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F69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358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740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BB3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E53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270.64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56DC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76.40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E0CE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10.24</w:t>
            </w:r>
          </w:p>
        </w:tc>
      </w:tr>
      <w:tr w14:paraId="4DBD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E1E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部门基本支出预算调整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A20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304D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79.70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720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——</w:t>
            </w:r>
          </w:p>
        </w:tc>
      </w:tr>
      <w:tr w14:paraId="1738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C7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2E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07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9B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7B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A8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C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none"/>
              </w:rPr>
              <w:t>投资概算控制率</w:t>
            </w:r>
          </w:p>
        </w:tc>
      </w:tr>
      <w:tr w14:paraId="4FFE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312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C2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29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ED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75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33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BD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9DC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D8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6E3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严格落实中央八项规定，从严控制“三公”经费。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275044DF"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B334FD9"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 w14:paraId="2EB0F568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36203195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95"/>
        <w:gridCol w:w="1064"/>
        <w:gridCol w:w="1623"/>
        <w:gridCol w:w="1223"/>
        <w:gridCol w:w="1273"/>
        <w:gridCol w:w="596"/>
        <w:gridCol w:w="877"/>
        <w:gridCol w:w="1330"/>
      </w:tblGrid>
      <w:tr w14:paraId="50E2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21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E8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岳阳市生态环境局岳阳楼分局　</w:t>
            </w:r>
          </w:p>
        </w:tc>
      </w:tr>
      <w:tr w14:paraId="173B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68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098C3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EE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3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0A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9F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92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26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D1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FE0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3A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20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D48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332.46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4D5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830.11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2C0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603.53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B7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224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72.70%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349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7.27</w:t>
            </w:r>
          </w:p>
        </w:tc>
      </w:tr>
      <w:tr w14:paraId="4B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E1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C4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8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717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F6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F71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421.21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64F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353.26</w:t>
            </w:r>
          </w:p>
        </w:tc>
      </w:tr>
      <w:tr w14:paraId="1174A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77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1EF7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7DF8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250.27</w:t>
            </w:r>
          </w:p>
        </w:tc>
      </w:tr>
      <w:tr w14:paraId="262C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C8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5F4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F4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580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6F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F30F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408.90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12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064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EFC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010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5C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D44A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820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C63D4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持续抓实中央、省级等各类环保督察的回头看及整改工作，加强日常监管；</w:t>
            </w:r>
          </w:p>
          <w:p w14:paraId="2AC8C0EC"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全面推进污染防治攻坚战，全面落实“夏季攻势”专项行动；</w:t>
            </w:r>
          </w:p>
          <w:p w14:paraId="4234F39A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3、坚持依法行政，严肃查处各类环境违法行为，加强环境宣传，提高公众环境保护意识。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92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</w:tr>
      <w:tr w14:paraId="1E2C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8E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452D0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C2072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0ADAD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055F21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B8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C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9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22E3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6D5B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B1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C0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F293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264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443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8CFA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00691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3E19F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68CF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DB6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开展生态环境类执法活动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623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80次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F09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87次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A5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6AB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EC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510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333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2085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AA95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1C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受理各类环境信访件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办结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6C8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180件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5D9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180件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9D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E0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F8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12A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D64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0434C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12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3D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完成的罚没款征缴任务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557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15万元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5B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6万元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EE6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146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3E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FF9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F4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68D51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2B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94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城区空气质量优良率达标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1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FE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87.4%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CC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C0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56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344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E5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33F07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19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64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无较大污染事件发生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57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争取0发生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4E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0发生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B9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AA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F4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C6A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A4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2D8BE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DA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99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按时完成各项指标任务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15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A0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FE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0B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74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09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A6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F9D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BE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6C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成本控制在预算内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F6F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830.11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E29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603.53万元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D2B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5AE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F9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BB0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0A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95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44389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BC87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55182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A7C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E000C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21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推动污染治理环保产业发展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B6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48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6B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CA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15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DA6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B0B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EF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D2C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48955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70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提升公众环保意识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75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B6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56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01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0E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49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D99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3A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068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34CEC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76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区域内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生态环境考核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AF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达标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D4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达标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1D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C0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72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15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78E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BD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67C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D5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绿色发展稳步推进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CE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效益明显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11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效益明显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47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ED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91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6AA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752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5B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294F7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4C22C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41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D0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全体人民群众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81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1C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16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25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6B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50D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E77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F7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418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09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82F760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5B006F0E">
      <w:pPr>
        <w:widowControl/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E823395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0EC4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1F8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日常工作经费</w:t>
            </w:r>
          </w:p>
        </w:tc>
      </w:tr>
      <w:tr w14:paraId="67EF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9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岳阳市生态环境局岳阳楼分局</w:t>
            </w:r>
          </w:p>
        </w:tc>
      </w:tr>
      <w:tr w14:paraId="34F0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8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0C7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77C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938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6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D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D04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F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37.5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37.63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BA5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B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37.5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37.5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37.5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A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3B3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1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00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C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48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2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E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0D4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A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B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目标1：日常环境监管、执法工作；</w:t>
            </w:r>
          </w:p>
          <w:p w14:paraId="0731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目标2：委托第三方进行执法性监督监测；</w:t>
            </w:r>
          </w:p>
          <w:p w14:paraId="5D9E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目标3：环保迎检、应急处置经费；</w:t>
            </w:r>
          </w:p>
          <w:p w14:paraId="3352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目标4：节能环保宣传费用。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</w:p>
        </w:tc>
      </w:tr>
      <w:tr w14:paraId="6EDA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439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780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DD0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569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6F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4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11F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E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6BC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143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监测频次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每月一次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0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2BFC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E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各种整治符合环保标准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完成主要污染物减排目标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C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53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_GoBack" w:colFirst="4" w:colLast="5"/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5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按时完成各项指标任务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5D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7B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bookmarkEnd w:id="0"/>
      <w:tr w14:paraId="3446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A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D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84E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突发任务及时完成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15E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即时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0AB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即时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A0A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BFD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DC1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3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45C7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预算内开支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≤37.63</w:t>
            </w:r>
          </w:p>
          <w:p w14:paraId="537EC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37.63</w:t>
            </w:r>
          </w:p>
          <w:p w14:paraId="2555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001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0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E39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8F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ADF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2E9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实现节能减排，减少环保治理经费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6C77D2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C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D25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对社会造成的负面影响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B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E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DCE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C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0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7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F05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1D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城区空气质量优良率达标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DC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1F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87.4%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19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E3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F1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4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2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推动辖区生态环境质量持续改善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A8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环境质量稳步提升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2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稳步提升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D0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8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6F6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A7E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C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全体人民群众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23F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7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EAF25AD"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BF0CD51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562F0FA7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 w14:paraId="23393597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 w14:paraId="79442272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2B47577A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0B8B9E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年度岳阳市生态环境局岳阳楼分局</w:t>
      </w:r>
    </w:p>
    <w:p w14:paraId="05C74D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2BD5C23F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D3B023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B7AFF5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849E02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5C78EF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42F979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A43DF9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710C85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B6590D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115CC6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018543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882CC3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DCF09B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AD86D3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61D49F7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651926A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4D22A5C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56F32A61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年度岳阳市生态环境局岳阳楼分局</w:t>
      </w:r>
    </w:p>
    <w:p w14:paraId="053CB687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42444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821696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7DC9F260">
      <w:pPr>
        <w:pStyle w:val="2"/>
        <w:numPr>
          <w:ilvl w:val="0"/>
          <w:numId w:val="0"/>
        </w:num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    （一）职能职责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     受岳阳市生态环境局委托，主要是贯彻落实环境保护政策，执行国家环保法律法规。负责辖区内环境规划、环境管理、环境宣传教育、环境监察等工作。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     （二）机构设置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      独立编制、核算机构数1个，核定编制数为17人，现在实有编制人员15人。离退休人员15人，为岳阳市生态环境局的派出机构。</w:t>
      </w:r>
    </w:p>
    <w:p w14:paraId="5086D90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7FBB801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（一）基本支出情况</w:t>
      </w:r>
    </w:p>
    <w:p w14:paraId="0BD8E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2025年基本支出年初预算数为</w:t>
      </w:r>
      <w:r>
        <w:rPr>
          <w:rFonts w:hint="eastAsia" w:ascii="宋体" w:hAnsi="宋体"/>
          <w:sz w:val="32"/>
          <w:szCs w:val="24"/>
        </w:rPr>
        <w:t>294.9</w:t>
      </w:r>
      <w:r>
        <w:rPr>
          <w:rFonts w:hint="eastAsia" w:ascii="宋体" w:hAnsi="宋体"/>
          <w:sz w:val="32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万元，决算实际支出数为353.26万元。其中：人员经费310.20万元，主要包括：基本工资、津贴补贴、奖金、伙食补助费、机关事业单位基本养老保险缴费、职工基本医疗保险缴费、其他社会保障缴费、住房公积金、医疗费、退休费、医疗费补助、其他对个人和家庭的补助等；公用经费43.06万元，主要包括：办公费、印刷费、水费、电费、物业管理费、差旅费、维修（护）费、工会经费、劳务费、福利费、公务用车运行维护费、其他交通费用、其他商品和服务支出等。</w:t>
      </w:r>
    </w:p>
    <w:p w14:paraId="34EEBF8C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项目支出情况</w:t>
      </w:r>
    </w:p>
    <w:p w14:paraId="7CB73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2025年项目支出年初预算数为37.50万元，决算实际支出数为250.27万元。主要用于日常工作经费、污染防治攻坚专项经费、其他资金、2024年其他资金结余等方面。</w:t>
      </w:r>
    </w:p>
    <w:p w14:paraId="6F4DE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三、政府性基金预算支出情况</w:t>
      </w:r>
    </w:p>
    <w:p w14:paraId="48EE01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2025年本单位无政府性基金预算安排的支出。</w:t>
      </w:r>
    </w:p>
    <w:p w14:paraId="3915CA11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国有资本经营预算支出情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况</w:t>
      </w:r>
    </w:p>
    <w:p w14:paraId="343E1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2025年本单位无国有资本经营预算安排的支出。</w:t>
      </w:r>
    </w:p>
    <w:p w14:paraId="42C8E0A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社会保险基金预算支出情况</w:t>
      </w:r>
    </w:p>
    <w:p w14:paraId="09AEC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2025年本单位无社会保险基金预算安排的支出。</w:t>
      </w:r>
    </w:p>
    <w:p w14:paraId="15277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7BD0B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1.环境治理效能</w:t>
      </w:r>
    </w:p>
    <w:p w14:paraId="3778C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全年执法87次，办理环境违法案件10个，其中下达行政处罚决定书3个，罚款16万元，下达不予行政处罚决定书7个，免罚34.4万元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办结各类环境信访件180件。办理建设项目环评报告表11个，审核50家排污许可简化管理单位年度执行报告。组织辖区内11家重点监管企业在华能电厂组织开展的液氨泄露生态环境应急演练，提升突发环境应急事件处置能力能力，预防突发事件。</w:t>
      </w:r>
    </w:p>
    <w:p w14:paraId="06817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2.环境质量改善</w:t>
      </w:r>
    </w:p>
    <w:p w14:paraId="55185EAA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深入打好污染防治攻坚战，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严厉打击超标排放等违法行为，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全年完成柴油货车OBD安装10台、非道路移动机械电子标签安装17台、非道路移动机械尾气抽测39台次；组织相关街道对三个国控空气质量站点制定“一站一策”精细化管控方案；强化秸秆禁烧、烟花爆竹禁燃禁放管控，制定管控方案，实施人员打桩定位，建立健全全天候、立体化的管控体系，随意焚烧燃放现象明显减少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中心城区连续两年达到国家空气质量二级标准，楼区三个站点PM2.5平均浓度降至36.3微克/立方米，同比下降2.7%，优良天数比率87.4%。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5个国家、省水质监测断面水质均达到考核要求，劣五类污水比例为0，集中式饮用水水源水质达标率100%。</w:t>
      </w:r>
      <w:r>
        <w:rPr>
          <w:rFonts w:hint="eastAsia" w:ascii="仿宋_GB2312" w:hAnsi="仿宋" w:eastAsia="仿宋_GB2312" w:cs="仿宋_GB2312"/>
          <w:color w:val="0C0C0C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仿宋" w:eastAsia="仿宋_GB2312" w:cs="仿宋_GB2312"/>
          <w:color w:val="0C0C0C"/>
          <w:sz w:val="32"/>
          <w:szCs w:val="32"/>
          <w:highlight w:val="none"/>
          <w:lang w:val="en-US" w:eastAsia="zh-CN"/>
        </w:rPr>
        <w:t>6个排口的现场排查和溯源监测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完成兰桥水库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等“千吨万人”饮用水源保护区水质监测工作，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饮用水水源地水质达标率稳定保持100%；完成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东风湖流域水生态修复一期工程、二期工程、吉家湖环境综合治理、凉亭水库溢流口生态建设等项目，着力改善重点河湖水环境。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完成3个优先监管地块污染状况调查和风险管控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；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动态更新全区土壤污染重点监管单位清单，督促企业开展土壤隐患排查和自行监测；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开展</w:t>
      </w:r>
      <w:r>
        <w:rPr>
          <w:rFonts w:hint="eastAsia" w:ascii="仿宋_GB2312" w:hAnsi="仿宋" w:eastAsia="仿宋_GB2312" w:cs="仿宋"/>
          <w:sz w:val="32"/>
          <w:szCs w:val="32"/>
        </w:rPr>
        <w:t>农村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环境综合</w:t>
      </w:r>
      <w:r>
        <w:rPr>
          <w:rFonts w:hint="eastAsia" w:ascii="仿宋_GB2312" w:hAnsi="仿宋" w:eastAsia="仿宋_GB2312" w:cs="仿宋"/>
          <w:sz w:val="32"/>
          <w:szCs w:val="32"/>
        </w:rPr>
        <w:t>治理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项目申报，通过省厅评审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强化危固废监管，核实135家企业管理计划，审核一般工业固废申报9家；加强辐射安全监管，对现场检查申请辐射安全许可证的11家单位。</w:t>
      </w:r>
    </w:p>
    <w:p w14:paraId="54AC3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3.环境问题整改</w:t>
      </w:r>
    </w:p>
    <w:p w14:paraId="6CC8B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制定并印发岳阳楼区2025年度污染防治攻坚战方案，全力开展“夏季攻势”，圆满完成省、市下达的32项任务整改销号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制定岳阳楼区贯彻落实第二轮省生态环境保护督察、第三轮中央生态环境保护督察报告整改方案。发挥生环委办统筹协调的和督查督办职能，对督察反馈问题开展回头看，督促推动整改，完成22项突出生态环境问题整改销号，华泰小区黑臭水塘污染整治入选省生态环境警示片优秀案例。</w:t>
      </w:r>
    </w:p>
    <w:p w14:paraId="6BEAF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.运行成本控制</w:t>
      </w:r>
    </w:p>
    <w:p w14:paraId="32E50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“三公经费”、公用经费均控制在预算范围内，预算编制完整，预算执行率达到标准，项目支出预算调整率偏高，主要原因是追加项目增加导致预算调整金额增加。</w:t>
      </w:r>
    </w:p>
    <w:p w14:paraId="539C3F9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1D975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1、环境质量改善仍任重道远，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部分区域环境基础设施短板明显，如东风湖流域的青年堤调蓄池、高家组调蓄池等在暴雨的特殊天气仍然存在初期雨水溢流现象。大气污染防治形势不乐观，虽然2025年达到了国家二级标准，但这是在全市平均的基础上获得的，我区三个空气站点PM2.5平均浓度仍高于35ug/m3，联防联控水平亟待提升，餐饮油烟治理、扬尘管控、烟花爆竹禁燃禁放、秸秆生物质禁烧等还存在较大差距。</w:t>
      </w:r>
    </w:p>
    <w:p w14:paraId="5FC61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2、信访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案件问题。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岳阳楼区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人口与产业高度集中，导致环境信访投诉量持续处于高位。加之经开区改革后社会事务移交，信访量激增，而分局人员有限，调处的及时性可能会出现滞后，影响环境满意度。还有一些复杂的投诉事项，不仅涉及环境污染信访，更牵扯邻里纠纷等多重矛盾，而责任都往生环部门压，挑战巨大。</w:t>
      </w:r>
    </w:p>
    <w:p w14:paraId="23967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3、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统筹协调职能。生环委统筹协调职能发挥不充分，多部门联动开展工作、处理环境事件的能力和经验不足，部门衔接、信息共享、行动协同常态化、制度化水平不高，如在今年4月应对杭瑞大桥下污水直排的突发网络舆情时，住建、生环、水利等各自为战，沟通不足，应对被动。</w:t>
      </w:r>
    </w:p>
    <w:p w14:paraId="680B9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545A3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（一）打好污染防治攻坚战。以持续改善区域环境质量为核心，高标准统筹打好蓝天、碧水、净土保卫战。严格落实空气质量改善行动方案，强化秸秆与生物质禁烧、扬尘、油烟及工业污染等重点源头管控，做好重污染天气应急应对，全力降低PM2.5浓度，提升优良天数比率。加强洞庭湖等重点河湖排污口监管，巩固整治成效，减少污水溢流。保障饮用水源地安全，持续推进东风湖水生态修复，稳定水质达标。抓好重点污染地块风险管控与治理修复，加强固体废物与危险废物规范化管理，保障土壤环境安全。</w:t>
      </w:r>
    </w:p>
    <w:p w14:paraId="5D5CF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巩固环境问题整改成效。突出抓好中央、省、市各级生态环境保护督察反馈问题及自查问题的整改闭环管理。对已完成整改的任务，制度化开展“回头看”与效果评估，严防问题反弹与回潮。对需持续推进的整改事项，实施清单化管理与动态销号，压实主体责任，确保按时限与标准落实到位，以扎实成效迎接可能开展的新一轮环保督察。</w:t>
      </w:r>
    </w:p>
    <w:p w14:paraId="471A2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（三）强化生态系统保护与修复。 坚持山水林田湖草沙一体化保护和系统治理，筑牢区域生态安全屏障。重点推进东风湖流域水生态修复治理工程，切实增强生态系统的连通性、稳定性与可持续性。积极申报并实施中心城区入湖排口整治工程、农村环境整治等项目，以具体工程支撑整体生态功能提升。</w:t>
      </w:r>
    </w:p>
    <w:p w14:paraId="02704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45035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单位高度重视预算支出绩效自评工作，积极落实主体责任，成立预算绩效管理领导小组，加强组织领导，按照绩效管理工作方案和绩效评价相关制度规定，认真开展自评，确保绩效自评工作顺利实施，根据本单位年初工作规划和重点工作，积极履行职责，强化管理，较好地完成了年度工作目标，并按照要求进行信息公开，对存在的问题积极整改。</w:t>
      </w:r>
    </w:p>
    <w:p w14:paraId="11803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72DCB73"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无。</w:t>
      </w:r>
    </w:p>
    <w:p w14:paraId="4025D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5D83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BD67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109C9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0A9BF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42C2F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</w:t>
      </w:r>
    </w:p>
    <w:sectPr>
      <w:footerReference r:id="rId3" w:type="default"/>
      <w:footerReference r:id="rId4" w:type="even"/>
      <w:pgSz w:w="11906" w:h="16838"/>
      <w:pgMar w:top="1587" w:right="1588" w:bottom="1587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5C34">
    <w:pPr>
      <w:pStyle w:val="4"/>
      <w:framePr w:wrap="around" w:vAnchor="text" w:hAnchor="margin" w:xAlign="outside" w:y="1"/>
      <w:rPr>
        <w:rStyle w:val="7"/>
        <w:rFonts w:eastAsia="宋体" w:cs="Times New Roman"/>
        <w:sz w:val="24"/>
        <w:szCs w:val="24"/>
      </w:rPr>
    </w:pPr>
    <w:r>
      <w:rPr>
        <w:rStyle w:val="7"/>
        <w:rFonts w:hint="eastAsia" w:eastAsia="宋体" w:cs="Times New Roman"/>
        <w:kern w:val="2"/>
        <w:sz w:val="24"/>
        <w:szCs w:val="24"/>
      </w:rPr>
      <w:t xml:space="preserve">— </w:t>
    </w:r>
    <w:r>
      <w:rPr>
        <w:rFonts w:eastAsia="宋体" w:cs="Times New Roman"/>
        <w:sz w:val="24"/>
        <w:szCs w:val="24"/>
      </w:rPr>
      <w:fldChar w:fldCharType="begin"/>
    </w:r>
    <w:r>
      <w:rPr>
        <w:rStyle w:val="7"/>
        <w:rFonts w:eastAsia="宋体" w:cs="Times New Roman"/>
        <w:kern w:val="2"/>
        <w:sz w:val="24"/>
        <w:szCs w:val="24"/>
      </w:rPr>
      <w:instrText xml:space="preserve">PAGE  </w:instrText>
    </w:r>
    <w:r>
      <w:rPr>
        <w:rFonts w:eastAsia="宋体" w:cs="Times New Roman"/>
        <w:sz w:val="24"/>
        <w:szCs w:val="24"/>
      </w:rPr>
      <w:fldChar w:fldCharType="separate"/>
    </w:r>
    <w:r>
      <w:rPr>
        <w:rStyle w:val="7"/>
        <w:rFonts w:eastAsia="宋体" w:cs="Times New Roman"/>
        <w:kern w:val="2"/>
        <w:sz w:val="24"/>
        <w:szCs w:val="24"/>
      </w:rPr>
      <w:t>1</w:t>
    </w:r>
    <w:r>
      <w:rPr>
        <w:rFonts w:eastAsia="宋体" w:cs="Times New Roman"/>
        <w:sz w:val="24"/>
        <w:szCs w:val="24"/>
      </w:rPr>
      <w:fldChar w:fldCharType="end"/>
    </w:r>
    <w:r>
      <w:rPr>
        <w:rStyle w:val="7"/>
        <w:rFonts w:hint="eastAsia" w:eastAsia="宋体" w:cs="Times New Roman"/>
        <w:kern w:val="2"/>
        <w:sz w:val="24"/>
        <w:szCs w:val="24"/>
      </w:rPr>
      <w:t xml:space="preserve"> —</w:t>
    </w:r>
  </w:p>
  <w:p w14:paraId="0D216405">
    <w:pPr>
      <w:pStyle w:val="4"/>
      <w:ind w:right="360" w:firstLine="360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45F89">
    <w:pPr>
      <w:pStyle w:val="4"/>
      <w:framePr w:wrap="around" w:vAnchor="text" w:hAnchor="margin" w:xAlign="outside" w:y="1"/>
      <w:rPr>
        <w:rStyle w:val="7"/>
        <w:rFonts w:eastAsia="宋体" w:cs="Times New Roman"/>
      </w:rPr>
    </w:pPr>
    <w:r>
      <w:rPr>
        <w:rFonts w:eastAsia="宋体" w:cs="Times New Roman"/>
      </w:rPr>
      <w:fldChar w:fldCharType="begin"/>
    </w:r>
    <w:r>
      <w:rPr>
        <w:rStyle w:val="7"/>
        <w:rFonts w:eastAsia="宋体" w:cs="Times New Roman"/>
        <w:kern w:val="2"/>
        <w:sz w:val="21"/>
        <w:szCs w:val="24"/>
      </w:rPr>
      <w:instrText xml:space="preserve">PAGE  </w:instrText>
    </w:r>
    <w:r>
      <w:rPr>
        <w:rFonts w:eastAsia="宋体" w:cs="Times New Roman"/>
      </w:rPr>
      <w:fldChar w:fldCharType="end"/>
    </w:r>
  </w:p>
  <w:p w14:paraId="2CE8E564">
    <w:pPr>
      <w:pStyle w:val="4"/>
      <w:ind w:right="360" w:firstLine="360"/>
      <w:rPr>
        <w:rFonts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6EE3A"/>
    <w:multiLevelType w:val="singleLevel"/>
    <w:tmpl w:val="9986EE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475AF1"/>
    <w:multiLevelType w:val="singleLevel"/>
    <w:tmpl w:val="0E475AF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8855DE"/>
    <w:multiLevelType w:val="singleLevel"/>
    <w:tmpl w:val="258855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72DDDE8"/>
    <w:multiLevelType w:val="singleLevel"/>
    <w:tmpl w:val="472DDDE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7B47"/>
    <w:rsid w:val="00481283"/>
    <w:rsid w:val="04554457"/>
    <w:rsid w:val="0E321624"/>
    <w:rsid w:val="14080AAF"/>
    <w:rsid w:val="1C1E7F2D"/>
    <w:rsid w:val="26541E80"/>
    <w:rsid w:val="2D947006"/>
    <w:rsid w:val="2DBC426D"/>
    <w:rsid w:val="2EDA2117"/>
    <w:rsid w:val="33151970"/>
    <w:rsid w:val="345F515F"/>
    <w:rsid w:val="35B35D03"/>
    <w:rsid w:val="3767417F"/>
    <w:rsid w:val="40643251"/>
    <w:rsid w:val="46457B47"/>
    <w:rsid w:val="48953389"/>
    <w:rsid w:val="4BED2AE8"/>
    <w:rsid w:val="4EB104B0"/>
    <w:rsid w:val="4EC15329"/>
    <w:rsid w:val="563722FC"/>
    <w:rsid w:val="5C142F3C"/>
    <w:rsid w:val="69416A6E"/>
    <w:rsid w:val="6A7E25F5"/>
    <w:rsid w:val="6E274D51"/>
    <w:rsid w:val="6E313E22"/>
    <w:rsid w:val="71652B2F"/>
    <w:rsid w:val="71C07FB0"/>
    <w:rsid w:val="79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1122</Words>
  <Characters>1397</Characters>
  <Lines>0</Lines>
  <Paragraphs>0</Paragraphs>
  <TotalTime>0</TotalTime>
  <ScaleCrop>false</ScaleCrop>
  <LinksUpToDate>false</LinksUpToDate>
  <CharactersWithSpaces>1525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2025-06-09T10:23:00Z</dcterms:created>
  <dc:creator>严碧琪</dc:creator>
  <cp:lastModifiedBy>李晨</cp:lastModifiedBy>
  <dcterms:modified xsi:type="dcterms:W3CDTF">2026-05-29T07:42:08Z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8008C3C34B8046F59A4D47E020869A12_11</vt:lpwstr>
  </property>
  <property fmtid="{D5CDD505-2E9C-101B-9397-08002B2CF9AE}" pid="4" name="KSOTemplateDocerSaveRecord">
    <vt:lpwstr>eyJoZGlkIjoiYTI1ZWRhODIzZjNkMzE5ODI3Y2UwZTM2NjQ3YjE4YjIiLCJ1c2VySWQiOiIyNDA2NTM0MjMifQ==</vt:lpwstr>
  </property>
</Properties>
</file>