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EC3E">
      <w:pPr>
        <w:keepNext w:val="0"/>
        <w:keepLines w:val="0"/>
        <w:pageBreakBefore w:val="0"/>
        <w:widowControl w:val="0"/>
        <w:kinsoku/>
        <w:overflowPunct/>
        <w:topLinePunct w:val="0"/>
        <w:autoSpaceDE/>
        <w:autoSpaceDN/>
        <w:bidi w:val="0"/>
        <w:adjustRightInd/>
        <w:snapToGrid/>
        <w:spacing w:after="0" w:afterLines="0" w:line="500" w:lineRule="exact"/>
        <w:ind w:firstLine="320" w:firstLineChars="1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DFE0473">
      <w:pPr>
        <w:keepNext w:val="0"/>
        <w:keepLines w:val="0"/>
        <w:pageBreakBefore w:val="0"/>
        <w:widowControl w:val="0"/>
        <w:kinsoku/>
        <w:overflowPunct/>
        <w:topLinePunct w:val="0"/>
        <w:autoSpaceDE/>
        <w:autoSpaceDN/>
        <w:bidi w:val="0"/>
        <w:adjustRightInd/>
        <w:snapToGrid/>
        <w:spacing w:after="120" w:afterLines="50" w:line="600" w:lineRule="exact"/>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E25A8B5">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602E31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3716A0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FF33B4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9FC78F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D0C15C0">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7FDE50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68D04E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84</w:t>
            </w:r>
          </w:p>
        </w:tc>
        <w:tc>
          <w:tcPr>
            <w:tcW w:w="2240" w:type="dxa"/>
            <w:gridSpan w:val="2"/>
            <w:tcBorders>
              <w:top w:val="single" w:color="auto" w:sz="4" w:space="0"/>
              <w:left w:val="nil"/>
              <w:bottom w:val="single" w:color="auto" w:sz="4" w:space="0"/>
              <w:right w:val="single" w:color="auto" w:sz="4" w:space="0"/>
            </w:tcBorders>
            <w:noWrap w:val="0"/>
            <w:vAlign w:val="center"/>
          </w:tcPr>
          <w:p w14:paraId="6D0615A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84</w:t>
            </w:r>
          </w:p>
        </w:tc>
        <w:tc>
          <w:tcPr>
            <w:tcW w:w="2041" w:type="dxa"/>
            <w:gridSpan w:val="2"/>
            <w:tcBorders>
              <w:top w:val="single" w:color="auto" w:sz="4" w:space="0"/>
              <w:left w:val="nil"/>
              <w:bottom w:val="single" w:color="auto" w:sz="4" w:space="0"/>
              <w:right w:val="single" w:color="auto" w:sz="4" w:space="0"/>
            </w:tcBorders>
            <w:noWrap w:val="0"/>
            <w:vAlign w:val="center"/>
          </w:tcPr>
          <w:p w14:paraId="4167959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14:paraId="6AE1EB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ADB21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0C7F73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B2574E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895C16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145E53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E1B6E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FAAB3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7.68</w:t>
            </w:r>
          </w:p>
        </w:tc>
        <w:tc>
          <w:tcPr>
            <w:tcW w:w="2240" w:type="dxa"/>
            <w:gridSpan w:val="2"/>
            <w:tcBorders>
              <w:top w:val="single" w:color="auto" w:sz="4" w:space="0"/>
              <w:left w:val="nil"/>
              <w:bottom w:val="single" w:color="auto" w:sz="4" w:space="0"/>
              <w:right w:val="single" w:color="000000" w:sz="4" w:space="0"/>
            </w:tcBorders>
            <w:noWrap w:val="0"/>
            <w:vAlign w:val="center"/>
          </w:tcPr>
          <w:p w14:paraId="70D38CA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12.00</w:t>
            </w:r>
          </w:p>
        </w:tc>
        <w:tc>
          <w:tcPr>
            <w:tcW w:w="2041" w:type="dxa"/>
            <w:gridSpan w:val="2"/>
            <w:tcBorders>
              <w:top w:val="single" w:color="auto" w:sz="4" w:space="0"/>
              <w:left w:val="nil"/>
              <w:bottom w:val="single" w:color="auto" w:sz="4" w:space="0"/>
              <w:right w:val="single" w:color="000000" w:sz="4" w:space="0"/>
            </w:tcBorders>
            <w:noWrap w:val="0"/>
            <w:vAlign w:val="center"/>
          </w:tcPr>
          <w:p w14:paraId="3DAB5E2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7.62</w:t>
            </w:r>
          </w:p>
        </w:tc>
      </w:tr>
      <w:tr w14:paraId="61E856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34B0D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1AA032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5.82</w:t>
            </w:r>
          </w:p>
        </w:tc>
        <w:tc>
          <w:tcPr>
            <w:tcW w:w="2240" w:type="dxa"/>
            <w:gridSpan w:val="2"/>
            <w:tcBorders>
              <w:top w:val="single" w:color="auto" w:sz="4" w:space="0"/>
              <w:left w:val="nil"/>
              <w:bottom w:val="single" w:color="auto" w:sz="4" w:space="0"/>
              <w:right w:val="single" w:color="000000" w:sz="4" w:space="0"/>
            </w:tcBorders>
            <w:noWrap w:val="0"/>
            <w:vAlign w:val="center"/>
          </w:tcPr>
          <w:p w14:paraId="358CA5D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60EEF5E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7.62</w:t>
            </w:r>
            <w:r>
              <w:rPr>
                <w:rFonts w:hint="eastAsia" w:ascii="仿宋_GB2312" w:hAnsi="仿宋_GB2312" w:eastAsia="仿宋_GB2312" w:cs="仿宋_GB2312"/>
                <w:sz w:val="20"/>
                <w:szCs w:val="20"/>
                <w:highlight w:val="none"/>
              </w:rPr>
              <w:t>　</w:t>
            </w:r>
          </w:p>
        </w:tc>
      </w:tr>
      <w:tr w14:paraId="40E9016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41F47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26DC34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D5A1994">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3C3A6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8521A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A5C9C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96953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5.82</w:t>
            </w:r>
          </w:p>
        </w:tc>
        <w:tc>
          <w:tcPr>
            <w:tcW w:w="2240" w:type="dxa"/>
            <w:gridSpan w:val="2"/>
            <w:tcBorders>
              <w:top w:val="single" w:color="auto" w:sz="4" w:space="0"/>
              <w:left w:val="nil"/>
              <w:bottom w:val="single" w:color="auto" w:sz="4" w:space="0"/>
              <w:right w:val="single" w:color="000000" w:sz="4" w:space="0"/>
            </w:tcBorders>
            <w:noWrap w:val="0"/>
            <w:vAlign w:val="center"/>
          </w:tcPr>
          <w:p w14:paraId="5D80C26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D8F06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7.62</w:t>
            </w:r>
            <w:r>
              <w:rPr>
                <w:rFonts w:hint="eastAsia" w:ascii="仿宋_GB2312" w:hAnsi="仿宋_GB2312" w:eastAsia="仿宋_GB2312" w:cs="仿宋_GB2312"/>
                <w:sz w:val="20"/>
                <w:szCs w:val="20"/>
                <w:highlight w:val="none"/>
              </w:rPr>
              <w:t>　</w:t>
            </w:r>
          </w:p>
        </w:tc>
      </w:tr>
      <w:tr w14:paraId="5173188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6DB82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55FB6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35E23A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A178C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D038D0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BBFDD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1B64C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1.86</w:t>
            </w:r>
          </w:p>
        </w:tc>
        <w:tc>
          <w:tcPr>
            <w:tcW w:w="2240" w:type="dxa"/>
            <w:gridSpan w:val="2"/>
            <w:tcBorders>
              <w:top w:val="single" w:color="auto" w:sz="4" w:space="0"/>
              <w:left w:val="nil"/>
              <w:bottom w:val="single" w:color="auto" w:sz="4" w:space="0"/>
              <w:right w:val="single" w:color="000000" w:sz="4" w:space="0"/>
            </w:tcBorders>
            <w:noWrap w:val="0"/>
            <w:vAlign w:val="center"/>
          </w:tcPr>
          <w:p w14:paraId="3ECE1B8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20952E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AB757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901AB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72BB7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980.94</w:t>
            </w:r>
          </w:p>
        </w:tc>
        <w:tc>
          <w:tcPr>
            <w:tcW w:w="2240" w:type="dxa"/>
            <w:gridSpan w:val="2"/>
            <w:tcBorders>
              <w:top w:val="single" w:color="auto" w:sz="4" w:space="0"/>
              <w:left w:val="nil"/>
              <w:bottom w:val="single" w:color="auto" w:sz="4" w:space="0"/>
              <w:right w:val="single" w:color="000000" w:sz="4" w:space="0"/>
            </w:tcBorders>
            <w:noWrap w:val="0"/>
            <w:vAlign w:val="center"/>
          </w:tcPr>
          <w:p w14:paraId="462494E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216.3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9474A8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1458.54</w:t>
            </w:r>
            <w:r>
              <w:rPr>
                <w:rFonts w:hint="eastAsia" w:ascii="仿宋_GB2312" w:hAnsi="仿宋_GB2312" w:eastAsia="仿宋_GB2312" w:cs="仿宋_GB2312"/>
                <w:sz w:val="20"/>
                <w:szCs w:val="20"/>
                <w:highlight w:val="none"/>
              </w:rPr>
              <w:t>　</w:t>
            </w:r>
          </w:p>
        </w:tc>
      </w:tr>
      <w:tr w14:paraId="1091FF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699B4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D35F0C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3B35FA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FFF2F5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386AEF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BFD78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45D01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FD949D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FA3C6B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C14BDF5">
        <w:tblPrEx>
          <w:tblCellMar>
            <w:top w:w="0" w:type="dxa"/>
            <w:left w:w="108" w:type="dxa"/>
            <w:bottom w:w="0" w:type="dxa"/>
            <w:right w:w="108" w:type="dxa"/>
          </w:tblCellMar>
        </w:tblPrEx>
        <w:trPr>
          <w:trHeight w:val="3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7D0A4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087D65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980.94</w:t>
            </w:r>
          </w:p>
        </w:tc>
        <w:tc>
          <w:tcPr>
            <w:tcW w:w="2240" w:type="dxa"/>
            <w:gridSpan w:val="2"/>
            <w:tcBorders>
              <w:top w:val="single" w:color="auto" w:sz="4" w:space="0"/>
              <w:left w:val="nil"/>
              <w:bottom w:val="single" w:color="auto" w:sz="4" w:space="0"/>
              <w:right w:val="single" w:color="000000" w:sz="4" w:space="0"/>
            </w:tcBorders>
            <w:noWrap w:val="0"/>
            <w:vAlign w:val="center"/>
          </w:tcPr>
          <w:p w14:paraId="72FAC0AD">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216.3</w:t>
            </w:r>
          </w:p>
        </w:tc>
        <w:tc>
          <w:tcPr>
            <w:tcW w:w="2041" w:type="dxa"/>
            <w:gridSpan w:val="2"/>
            <w:tcBorders>
              <w:top w:val="single" w:color="auto" w:sz="4" w:space="0"/>
              <w:left w:val="nil"/>
              <w:bottom w:val="single" w:color="auto" w:sz="4" w:space="0"/>
              <w:right w:val="single" w:color="000000" w:sz="4" w:space="0"/>
            </w:tcBorders>
            <w:noWrap w:val="0"/>
            <w:vAlign w:val="center"/>
          </w:tcPr>
          <w:p w14:paraId="57EA8ED4">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14:paraId="096C01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A65D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8B716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53.75</w:t>
            </w:r>
          </w:p>
        </w:tc>
        <w:tc>
          <w:tcPr>
            <w:tcW w:w="2240" w:type="dxa"/>
            <w:gridSpan w:val="2"/>
            <w:tcBorders>
              <w:top w:val="single" w:color="auto" w:sz="4" w:space="0"/>
              <w:left w:val="nil"/>
              <w:bottom w:val="single" w:color="auto" w:sz="4" w:space="0"/>
              <w:right w:val="single" w:color="000000" w:sz="4" w:space="0"/>
            </w:tcBorders>
            <w:noWrap w:val="0"/>
            <w:vAlign w:val="center"/>
          </w:tcPr>
          <w:p w14:paraId="356B101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11.00</w:t>
            </w:r>
          </w:p>
        </w:tc>
        <w:tc>
          <w:tcPr>
            <w:tcW w:w="2041" w:type="dxa"/>
            <w:gridSpan w:val="2"/>
            <w:tcBorders>
              <w:top w:val="single" w:color="auto" w:sz="4" w:space="0"/>
              <w:left w:val="nil"/>
              <w:bottom w:val="single" w:color="auto" w:sz="4" w:space="0"/>
              <w:right w:val="single" w:color="000000" w:sz="4" w:space="0"/>
            </w:tcBorders>
            <w:noWrap w:val="0"/>
            <w:vAlign w:val="center"/>
          </w:tcPr>
          <w:p w14:paraId="3F86FE5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83</w:t>
            </w:r>
          </w:p>
        </w:tc>
      </w:tr>
      <w:tr w14:paraId="44153D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A0947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05B0728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64.86</w:t>
            </w:r>
          </w:p>
        </w:tc>
        <w:tc>
          <w:tcPr>
            <w:tcW w:w="2240" w:type="dxa"/>
            <w:gridSpan w:val="2"/>
            <w:tcBorders>
              <w:top w:val="single" w:color="auto" w:sz="4" w:space="0"/>
              <w:left w:val="nil"/>
              <w:bottom w:val="single" w:color="auto" w:sz="4" w:space="0"/>
              <w:right w:val="single" w:color="000000" w:sz="4" w:space="0"/>
            </w:tcBorders>
            <w:noWrap w:val="0"/>
            <w:vAlign w:val="center"/>
          </w:tcPr>
          <w:p w14:paraId="684E2E90">
            <w:pPr>
              <w:keepNext w:val="0"/>
              <w:keepLines w:val="0"/>
              <w:widowControl/>
              <w:suppressLineNumbers w:val="0"/>
              <w:jc w:val="right"/>
              <w:textAlignment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386BC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r>
      <w:tr w14:paraId="3AF5662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F194F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DBC15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130.56</w:t>
            </w:r>
          </w:p>
        </w:tc>
        <w:tc>
          <w:tcPr>
            <w:tcW w:w="2240" w:type="dxa"/>
            <w:gridSpan w:val="2"/>
            <w:tcBorders>
              <w:top w:val="single" w:color="auto" w:sz="4" w:space="0"/>
              <w:left w:val="nil"/>
              <w:bottom w:val="single" w:color="auto" w:sz="4" w:space="0"/>
              <w:right w:val="single" w:color="000000" w:sz="4" w:space="0"/>
            </w:tcBorders>
            <w:noWrap w:val="0"/>
            <w:vAlign w:val="center"/>
          </w:tcPr>
          <w:p w14:paraId="0FA8947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205.30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0BE571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209.26</w:t>
            </w:r>
          </w:p>
        </w:tc>
      </w:tr>
      <w:tr w14:paraId="31429785">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FBBB9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eastAsia="zh-CN"/>
              </w:rPr>
              <w:t>业务工作</w:t>
            </w:r>
            <w:r>
              <w:rPr>
                <w:rFonts w:hint="eastAsia" w:ascii="仿宋_GB2312" w:hAnsi="仿宋_GB2312" w:eastAsia="仿宋_GB2312" w:cs="仿宋_GB2312"/>
                <w:sz w:val="20"/>
                <w:szCs w:val="20"/>
                <w:highlight w:val="none"/>
              </w:rPr>
              <w:t>专项</w:t>
            </w:r>
            <w:r>
              <w:rPr>
                <w:rFonts w:hint="eastAsia" w:ascii="仿宋_GB2312" w:hAnsi="仿宋_GB2312" w:eastAsia="仿宋_GB2312" w:cs="仿宋_GB2312"/>
                <w:sz w:val="20"/>
                <w:szCs w:val="20"/>
                <w:highlight w:val="none"/>
                <w:lang w:eastAsia="zh-CN"/>
              </w:rPr>
              <w:t>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71363B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731.77</w:t>
            </w:r>
          </w:p>
        </w:tc>
        <w:tc>
          <w:tcPr>
            <w:tcW w:w="2240" w:type="dxa"/>
            <w:gridSpan w:val="2"/>
            <w:tcBorders>
              <w:top w:val="single" w:color="auto" w:sz="4" w:space="0"/>
              <w:left w:val="nil"/>
              <w:bottom w:val="single" w:color="auto" w:sz="4" w:space="0"/>
              <w:right w:val="single" w:color="000000" w:sz="4" w:space="0"/>
            </w:tcBorders>
            <w:noWrap w:val="0"/>
            <w:vAlign w:val="center"/>
          </w:tcPr>
          <w:p w14:paraId="23FB03DD">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B2E2D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3733C85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BC6941">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秸秆禁限烧管控工作资金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E5E840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8C98FD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2747D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w:t>
            </w:r>
          </w:p>
        </w:tc>
      </w:tr>
      <w:tr w14:paraId="1050FC1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439CB2">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临湘市级环保工作经费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3E299D">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9879A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55249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778.63</w:t>
            </w:r>
          </w:p>
        </w:tc>
      </w:tr>
      <w:tr w14:paraId="4C517257">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FA1C5A">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临湘市级环境监察监测支出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5B9804E">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982910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2C63D3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48.5</w:t>
            </w:r>
          </w:p>
        </w:tc>
      </w:tr>
      <w:tr w14:paraId="01A34A0B">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EAE453">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农村生活污水</w:t>
            </w:r>
          </w:p>
        </w:tc>
        <w:tc>
          <w:tcPr>
            <w:tcW w:w="2038" w:type="dxa"/>
            <w:gridSpan w:val="2"/>
            <w:tcBorders>
              <w:top w:val="single" w:color="auto" w:sz="4" w:space="0"/>
              <w:left w:val="nil"/>
              <w:bottom w:val="single" w:color="auto" w:sz="4" w:space="0"/>
              <w:right w:val="single" w:color="000000" w:sz="4" w:space="0"/>
            </w:tcBorders>
            <w:noWrap w:val="0"/>
            <w:vAlign w:val="center"/>
          </w:tcPr>
          <w:p w14:paraId="516EDC87">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6BA32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21374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w:t>
            </w:r>
          </w:p>
        </w:tc>
      </w:tr>
      <w:tr w14:paraId="588509DF">
        <w:tblPrEx>
          <w:tblCellMar>
            <w:top w:w="0" w:type="dxa"/>
            <w:left w:w="108" w:type="dxa"/>
            <w:bottom w:w="0" w:type="dxa"/>
            <w:right w:w="108" w:type="dxa"/>
          </w:tblCellMar>
        </w:tblPrEx>
        <w:trPr>
          <w:trHeight w:val="37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242DE9">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入河排污口排查、溯源与监测</w:t>
            </w:r>
          </w:p>
        </w:tc>
        <w:tc>
          <w:tcPr>
            <w:tcW w:w="2038" w:type="dxa"/>
            <w:gridSpan w:val="2"/>
            <w:tcBorders>
              <w:top w:val="single" w:color="auto" w:sz="4" w:space="0"/>
              <w:left w:val="nil"/>
              <w:bottom w:val="single" w:color="auto" w:sz="4" w:space="0"/>
              <w:right w:val="single" w:color="000000" w:sz="4" w:space="0"/>
            </w:tcBorders>
            <w:noWrap w:val="0"/>
            <w:vAlign w:val="center"/>
          </w:tcPr>
          <w:p w14:paraId="03467FE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397F50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D8877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139.32</w:t>
            </w:r>
          </w:p>
        </w:tc>
      </w:tr>
      <w:tr w14:paraId="44DA3ED8">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9DF5A7">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上年结转资金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0D26704">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B202D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273509">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4074CA5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6158D7">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乡村振兴支出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92B5A0C">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50EF80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53FCDC9">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w:t>
            </w:r>
          </w:p>
        </w:tc>
      </w:tr>
      <w:tr w14:paraId="69D39DC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ACBA2E">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8CCDF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980.94</w:t>
            </w:r>
          </w:p>
        </w:tc>
        <w:tc>
          <w:tcPr>
            <w:tcW w:w="2240" w:type="dxa"/>
            <w:gridSpan w:val="2"/>
            <w:tcBorders>
              <w:top w:val="single" w:color="auto" w:sz="4" w:space="0"/>
              <w:left w:val="nil"/>
              <w:bottom w:val="single" w:color="auto" w:sz="4" w:space="0"/>
              <w:right w:val="single" w:color="000000" w:sz="4" w:space="0"/>
            </w:tcBorders>
            <w:noWrap w:val="0"/>
            <w:vAlign w:val="center"/>
          </w:tcPr>
          <w:p w14:paraId="57D9D37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240.61</w:t>
            </w:r>
          </w:p>
        </w:tc>
        <w:tc>
          <w:tcPr>
            <w:tcW w:w="2041" w:type="dxa"/>
            <w:gridSpan w:val="2"/>
            <w:tcBorders>
              <w:top w:val="single" w:color="auto" w:sz="4" w:space="0"/>
              <w:left w:val="nil"/>
              <w:bottom w:val="single" w:color="auto" w:sz="4" w:space="0"/>
              <w:right w:val="single" w:color="000000" w:sz="4" w:space="0"/>
            </w:tcBorders>
            <w:noWrap w:val="0"/>
            <w:vAlign w:val="center"/>
          </w:tcPr>
          <w:p w14:paraId="696B410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228.63　</w:t>
            </w:r>
          </w:p>
        </w:tc>
      </w:tr>
      <w:tr w14:paraId="2ADF0D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DC0B9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4616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53.75</w:t>
            </w:r>
          </w:p>
        </w:tc>
        <w:tc>
          <w:tcPr>
            <w:tcW w:w="2240" w:type="dxa"/>
            <w:gridSpan w:val="2"/>
            <w:tcBorders>
              <w:top w:val="single" w:color="auto" w:sz="4" w:space="0"/>
              <w:left w:val="nil"/>
              <w:bottom w:val="single" w:color="auto" w:sz="4" w:space="0"/>
              <w:right w:val="single" w:color="000000" w:sz="4" w:space="0"/>
            </w:tcBorders>
            <w:noWrap w:val="0"/>
            <w:vAlign w:val="center"/>
          </w:tcPr>
          <w:p w14:paraId="048E1CFA">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152.56</w:t>
            </w:r>
          </w:p>
        </w:tc>
        <w:tc>
          <w:tcPr>
            <w:tcW w:w="2041" w:type="dxa"/>
            <w:gridSpan w:val="2"/>
            <w:tcBorders>
              <w:top w:val="single" w:color="auto" w:sz="4" w:space="0"/>
              <w:left w:val="nil"/>
              <w:bottom w:val="single" w:color="auto" w:sz="4" w:space="0"/>
              <w:right w:val="single" w:color="000000" w:sz="4" w:space="0"/>
            </w:tcBorders>
            <w:noWrap w:val="0"/>
            <w:vAlign w:val="center"/>
          </w:tcPr>
          <w:p w14:paraId="48003D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177.63　</w:t>
            </w:r>
          </w:p>
        </w:tc>
      </w:tr>
      <w:tr w14:paraId="66672A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2243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93D0575">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64.86</w:t>
            </w:r>
          </w:p>
        </w:tc>
        <w:tc>
          <w:tcPr>
            <w:tcW w:w="2240" w:type="dxa"/>
            <w:gridSpan w:val="2"/>
            <w:tcBorders>
              <w:top w:val="single" w:color="auto" w:sz="4" w:space="0"/>
              <w:left w:val="nil"/>
              <w:bottom w:val="single" w:color="auto" w:sz="4" w:space="0"/>
              <w:right w:val="single" w:color="000000" w:sz="4" w:space="0"/>
            </w:tcBorders>
            <w:noWrap w:val="0"/>
            <w:vAlign w:val="center"/>
          </w:tcPr>
          <w:p w14:paraId="244FCA4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　</w:t>
            </w:r>
          </w:p>
        </w:tc>
        <w:tc>
          <w:tcPr>
            <w:tcW w:w="2041" w:type="dxa"/>
            <w:gridSpan w:val="2"/>
            <w:tcBorders>
              <w:top w:val="single" w:color="auto" w:sz="4" w:space="0"/>
              <w:left w:val="nil"/>
              <w:bottom w:val="single" w:color="auto" w:sz="4" w:space="0"/>
              <w:right w:val="single" w:color="000000" w:sz="4" w:space="0"/>
            </w:tcBorders>
            <w:noWrap w:val="0"/>
            <w:vAlign w:val="center"/>
          </w:tcPr>
          <w:p w14:paraId="5E253C4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48.07　</w:t>
            </w:r>
          </w:p>
        </w:tc>
      </w:tr>
      <w:tr w14:paraId="6900D7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6E639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6C12E63">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130.56</w:t>
            </w:r>
          </w:p>
        </w:tc>
        <w:tc>
          <w:tcPr>
            <w:tcW w:w="2240" w:type="dxa"/>
            <w:gridSpan w:val="2"/>
            <w:tcBorders>
              <w:top w:val="single" w:color="auto" w:sz="4" w:space="0"/>
              <w:left w:val="nil"/>
              <w:bottom w:val="single" w:color="auto" w:sz="4" w:space="0"/>
              <w:right w:val="single" w:color="000000" w:sz="4" w:space="0"/>
            </w:tcBorders>
            <w:noWrap w:val="0"/>
            <w:vAlign w:val="center"/>
          </w:tcPr>
          <w:p w14:paraId="4BCC17E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8.00　</w:t>
            </w:r>
          </w:p>
        </w:tc>
        <w:tc>
          <w:tcPr>
            <w:tcW w:w="2041" w:type="dxa"/>
            <w:gridSpan w:val="2"/>
            <w:tcBorders>
              <w:top w:val="single" w:color="auto" w:sz="4" w:space="0"/>
              <w:left w:val="nil"/>
              <w:bottom w:val="single" w:color="auto" w:sz="4" w:space="0"/>
              <w:right w:val="single" w:color="000000" w:sz="4" w:space="0"/>
            </w:tcBorders>
            <w:noWrap w:val="0"/>
            <w:vAlign w:val="center"/>
          </w:tcPr>
          <w:p w14:paraId="2ECC472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2.93　</w:t>
            </w:r>
          </w:p>
        </w:tc>
      </w:tr>
      <w:tr w14:paraId="3D89F00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2BBC9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422B69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F3ABBE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B84234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r>
      <w:tr w14:paraId="7F2219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07AEA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8247A8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A112DD1">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C7A268C">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9F3A3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25094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2038" w:type="dxa"/>
            <w:gridSpan w:val="2"/>
            <w:tcBorders>
              <w:top w:val="nil"/>
              <w:left w:val="nil"/>
              <w:bottom w:val="single" w:color="auto" w:sz="4" w:space="0"/>
              <w:right w:val="single" w:color="auto" w:sz="4" w:space="0"/>
            </w:tcBorders>
            <w:noWrap w:val="0"/>
            <w:vAlign w:val="center"/>
          </w:tcPr>
          <w:p w14:paraId="3576371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2240" w:type="dxa"/>
            <w:gridSpan w:val="2"/>
            <w:tcBorders>
              <w:top w:val="nil"/>
              <w:left w:val="nil"/>
              <w:bottom w:val="single" w:color="auto" w:sz="4" w:space="0"/>
              <w:right w:val="single" w:color="auto" w:sz="4" w:space="0"/>
            </w:tcBorders>
            <w:noWrap w:val="0"/>
            <w:vAlign w:val="center"/>
          </w:tcPr>
          <w:p w14:paraId="122D49AD">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rPr>
              <w:t>实际规模（㎡）</w:t>
            </w:r>
          </w:p>
        </w:tc>
        <w:tc>
          <w:tcPr>
            <w:tcW w:w="2041" w:type="dxa"/>
            <w:gridSpan w:val="2"/>
            <w:tcBorders>
              <w:top w:val="nil"/>
              <w:left w:val="nil"/>
              <w:bottom w:val="single" w:color="auto" w:sz="4" w:space="0"/>
              <w:right w:val="single" w:color="auto" w:sz="4" w:space="0"/>
            </w:tcBorders>
            <w:noWrap w:val="0"/>
            <w:vAlign w:val="center"/>
          </w:tcPr>
          <w:p w14:paraId="545B210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rPr>
              <w:t>规模控制率</w:t>
            </w:r>
          </w:p>
        </w:tc>
      </w:tr>
      <w:tr w14:paraId="69955E8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right w:val="single" w:color="auto" w:sz="4" w:space="0"/>
            </w:tcBorders>
            <w:noWrap w:val="0"/>
            <w:vAlign w:val="center"/>
          </w:tcPr>
          <w:p w14:paraId="11E95F17">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1189" w:type="dxa"/>
            <w:tcBorders>
              <w:top w:val="nil"/>
              <w:left w:val="nil"/>
              <w:bottom w:val="single" w:color="auto" w:sz="4" w:space="0"/>
              <w:right w:val="single" w:color="auto" w:sz="4" w:space="0"/>
            </w:tcBorders>
            <w:noWrap w:val="0"/>
            <w:vAlign w:val="center"/>
          </w:tcPr>
          <w:p w14:paraId="0D0FA32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7A15D5A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13928B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C182984">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769837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EFAD8E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9DDE553">
        <w:tblPrEx>
          <w:tblCellMar>
            <w:top w:w="0" w:type="dxa"/>
            <w:left w:w="108" w:type="dxa"/>
            <w:bottom w:w="0" w:type="dxa"/>
            <w:right w:w="108" w:type="dxa"/>
          </w:tblCellMar>
        </w:tblPrEx>
        <w:trPr>
          <w:trHeight w:val="0" w:hRule="atLeast"/>
          <w:jc w:val="center"/>
        </w:trPr>
        <w:tc>
          <w:tcPr>
            <w:tcW w:w="3354" w:type="dxa"/>
            <w:vMerge w:val="continue"/>
            <w:tcBorders>
              <w:left w:val="single" w:color="auto" w:sz="4" w:space="0"/>
              <w:right w:val="single" w:color="auto" w:sz="4" w:space="0"/>
            </w:tcBorders>
            <w:noWrap w:val="0"/>
            <w:vAlign w:val="center"/>
          </w:tcPr>
          <w:p w14:paraId="391D4E07">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6319" w:type="dxa"/>
            <w:gridSpan w:val="6"/>
            <w:tcBorders>
              <w:top w:val="single" w:color="auto" w:sz="4" w:space="0"/>
              <w:left w:val="nil"/>
              <w:bottom w:val="single" w:color="auto" w:sz="4" w:space="0"/>
              <w:right w:val="single" w:color="auto" w:sz="4" w:space="0"/>
            </w:tcBorders>
            <w:noWrap w:val="0"/>
            <w:vAlign w:val="center"/>
          </w:tcPr>
          <w:p w14:paraId="224591F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6A44D244">
      <w:pPr>
        <w:keepNext w:val="0"/>
        <w:keepLines w:val="0"/>
        <w:pageBreakBefore w:val="0"/>
        <w:widowControl w:val="0"/>
        <w:kinsoku/>
        <w:overflowPunct/>
        <w:topLinePunct w:val="0"/>
        <w:autoSpaceDE/>
        <w:autoSpaceDN/>
        <w:bidi w:val="0"/>
        <w:adjustRightInd/>
        <w:snapToGrid/>
        <w:spacing w:afterLines="0" w:line="400" w:lineRule="exact"/>
        <w:ind w:left="660" w:hanging="660" w:hangingChars="300"/>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5687BD5D">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E3A0137">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p>
    <w:p w14:paraId="184ABC0D">
      <w:pPr>
        <w:keepNext w:val="0"/>
        <w:keepLines w:val="0"/>
        <w:pageBreakBefore w:val="0"/>
        <w:widowControl w:val="0"/>
        <w:kinsoku/>
        <w:overflowPunct/>
        <w:topLinePunct w:val="0"/>
        <w:autoSpaceDE/>
        <w:autoSpaceDN/>
        <w:bidi w:val="0"/>
        <w:adjustRightInd/>
        <w:snapToGrid/>
        <w:spacing w:after="120" w:afterLines="5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57BABC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E2FAC4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03DFDF4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岳阳市生态环境局临湘分局</w:t>
            </w:r>
            <w:r>
              <w:rPr>
                <w:rFonts w:hint="eastAsia" w:ascii="仿宋_GB2312" w:hAnsi="仿宋_GB2312" w:eastAsia="仿宋_GB2312" w:cs="仿宋_GB2312"/>
                <w:color w:val="000000"/>
                <w:sz w:val="20"/>
                <w:szCs w:val="20"/>
                <w:highlight w:val="none"/>
              </w:rPr>
              <w:t>　</w:t>
            </w:r>
          </w:p>
        </w:tc>
      </w:tr>
      <w:tr w14:paraId="57CF2B0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915440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6DE6F0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4C2AE8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B7BC3B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756E5C7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26F016A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36FA54D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9FC5E7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1BFC377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3375900">
        <w:tblPrEx>
          <w:tblCellMar>
            <w:top w:w="0" w:type="dxa"/>
            <w:left w:w="108" w:type="dxa"/>
            <w:bottom w:w="0" w:type="dxa"/>
            <w:right w:w="108" w:type="dxa"/>
          </w:tblCellMar>
        </w:tblPrEx>
        <w:trPr>
          <w:trHeight w:val="364" w:hRule="atLeast"/>
          <w:jc w:val="center"/>
        </w:trPr>
        <w:tc>
          <w:tcPr>
            <w:tcW w:w="1080" w:type="dxa"/>
            <w:vMerge w:val="continue"/>
            <w:tcBorders>
              <w:top w:val="nil"/>
              <w:left w:val="single" w:color="auto" w:sz="4" w:space="0"/>
              <w:right w:val="single" w:color="auto" w:sz="4" w:space="0"/>
            </w:tcBorders>
            <w:noWrap w:val="0"/>
            <w:vAlign w:val="center"/>
          </w:tcPr>
          <w:p w14:paraId="5A8D4DA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492D2DC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2E76D50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1698.28</w:t>
            </w:r>
          </w:p>
        </w:tc>
        <w:tc>
          <w:tcPr>
            <w:tcW w:w="1311" w:type="dxa"/>
            <w:tcBorders>
              <w:top w:val="nil"/>
              <w:left w:val="nil"/>
              <w:bottom w:val="single" w:color="auto" w:sz="4" w:space="0"/>
              <w:right w:val="single" w:color="auto" w:sz="4" w:space="0"/>
            </w:tcBorders>
            <w:noWrap w:val="0"/>
            <w:vAlign w:val="center"/>
          </w:tcPr>
          <w:p w14:paraId="04F8E37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3288.1</w:t>
            </w:r>
            <w:r>
              <w:rPr>
                <w:rFonts w:hint="eastAsia" w:ascii="仿宋_GB2312" w:hAnsi="仿宋_GB2312" w:eastAsia="仿宋_GB2312" w:cs="仿宋_GB2312"/>
                <w:sz w:val="20"/>
                <w:szCs w:val="20"/>
                <w:highlight w:val="none"/>
                <w:lang w:val="en-US" w:eastAsia="zh-CN"/>
              </w:rPr>
              <w:t>9</w:t>
            </w:r>
          </w:p>
        </w:tc>
        <w:tc>
          <w:tcPr>
            <w:tcW w:w="1269" w:type="dxa"/>
            <w:tcBorders>
              <w:top w:val="nil"/>
              <w:left w:val="nil"/>
              <w:bottom w:val="single" w:color="auto" w:sz="4" w:space="0"/>
              <w:right w:val="single" w:color="auto" w:sz="4" w:space="0"/>
            </w:tcBorders>
            <w:noWrap w:val="0"/>
            <w:vAlign w:val="center"/>
          </w:tcPr>
          <w:p w14:paraId="09DD0A2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3198.6</w:t>
            </w:r>
            <w:r>
              <w:rPr>
                <w:rFonts w:hint="eastAsia" w:ascii="仿宋_GB2312" w:hAnsi="仿宋_GB2312" w:eastAsia="仿宋_GB2312" w:cs="仿宋_GB2312"/>
                <w:sz w:val="20"/>
                <w:szCs w:val="20"/>
                <w:highlight w:val="none"/>
                <w:lang w:val="en-US" w:eastAsia="zh-CN"/>
              </w:rPr>
              <w:t>8</w:t>
            </w:r>
          </w:p>
        </w:tc>
        <w:tc>
          <w:tcPr>
            <w:tcW w:w="716" w:type="dxa"/>
            <w:tcBorders>
              <w:top w:val="nil"/>
              <w:left w:val="nil"/>
              <w:bottom w:val="single" w:color="auto" w:sz="4" w:space="0"/>
              <w:right w:val="single" w:color="auto" w:sz="4" w:space="0"/>
            </w:tcBorders>
            <w:noWrap w:val="0"/>
            <w:vAlign w:val="center"/>
          </w:tcPr>
          <w:p w14:paraId="1774F14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D77F35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14:paraId="585355A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9.72</w:t>
            </w:r>
          </w:p>
        </w:tc>
      </w:tr>
      <w:tr w14:paraId="5A6245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87E7D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AFB1D3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8911DF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C7E2A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565A9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8438E0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2057.9</w:t>
            </w:r>
          </w:p>
        </w:tc>
        <w:tc>
          <w:tcPr>
            <w:tcW w:w="4304" w:type="dxa"/>
            <w:gridSpan w:val="4"/>
            <w:tcBorders>
              <w:top w:val="nil"/>
              <w:left w:val="nil"/>
              <w:bottom w:val="single" w:color="auto" w:sz="4" w:space="0"/>
              <w:right w:val="single" w:color="auto" w:sz="4" w:space="0"/>
            </w:tcBorders>
            <w:noWrap w:val="0"/>
            <w:vAlign w:val="center"/>
          </w:tcPr>
          <w:p w14:paraId="7067D35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其中：基本支出：1735.1</w:t>
            </w:r>
            <w:r>
              <w:rPr>
                <w:rFonts w:hint="eastAsia" w:ascii="仿宋_GB2312" w:hAnsi="仿宋_GB2312" w:eastAsia="仿宋_GB2312" w:cs="仿宋_GB2312"/>
                <w:color w:val="000000"/>
                <w:sz w:val="20"/>
                <w:szCs w:val="20"/>
                <w:highlight w:val="none"/>
                <w:lang w:val="en-US" w:eastAsia="zh-CN"/>
              </w:rPr>
              <w:t>4</w:t>
            </w:r>
          </w:p>
        </w:tc>
      </w:tr>
      <w:tr w14:paraId="52CE76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13A3E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DFC399C">
            <w:pPr>
              <w:keepNext w:val="0"/>
              <w:keepLines w:val="0"/>
              <w:pageBreakBefore w:val="0"/>
              <w:widowControl w:val="0"/>
              <w:kinsoku/>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0142989F">
            <w:pPr>
              <w:keepNext w:val="0"/>
              <w:keepLines w:val="0"/>
              <w:pageBreakBefore w:val="0"/>
              <w:widowControl w:val="0"/>
              <w:kinsoku/>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项目支出：1458.5</w:t>
            </w:r>
            <w:r>
              <w:rPr>
                <w:rFonts w:hint="eastAsia" w:ascii="仿宋_GB2312" w:hAnsi="仿宋_GB2312" w:eastAsia="仿宋_GB2312" w:cs="仿宋_GB2312"/>
                <w:color w:val="000000"/>
                <w:sz w:val="20"/>
                <w:szCs w:val="20"/>
                <w:highlight w:val="none"/>
                <w:lang w:val="en-US" w:eastAsia="zh-CN"/>
              </w:rPr>
              <w:t>4</w:t>
            </w:r>
          </w:p>
        </w:tc>
      </w:tr>
      <w:tr w14:paraId="172BC9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6B84A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BEC917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444441A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41AAF0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55E4D9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B640C08">
            <w:pPr>
              <w:keepNext w:val="0"/>
              <w:keepLines w:val="0"/>
              <w:pageBreakBefore w:val="0"/>
              <w:widowControl w:val="0"/>
              <w:kinsoku/>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其他资金：1230.2</w:t>
            </w:r>
            <w:r>
              <w:rPr>
                <w:rFonts w:hint="eastAsia" w:ascii="仿宋_GB2312" w:hAnsi="仿宋_GB2312" w:eastAsia="仿宋_GB2312" w:cs="仿宋_GB2312"/>
                <w:color w:val="000000"/>
                <w:sz w:val="20"/>
                <w:szCs w:val="20"/>
                <w:highlight w:val="none"/>
                <w:lang w:val="en-US" w:eastAsia="zh-CN"/>
              </w:rPr>
              <w:t>9</w:t>
            </w:r>
          </w:p>
        </w:tc>
        <w:tc>
          <w:tcPr>
            <w:tcW w:w="4304" w:type="dxa"/>
            <w:gridSpan w:val="4"/>
            <w:tcBorders>
              <w:top w:val="nil"/>
              <w:left w:val="nil"/>
              <w:bottom w:val="single" w:color="auto" w:sz="4" w:space="0"/>
              <w:right w:val="single" w:color="auto" w:sz="4" w:space="0"/>
            </w:tcBorders>
            <w:noWrap w:val="0"/>
            <w:vAlign w:val="center"/>
          </w:tcPr>
          <w:p w14:paraId="2EE5ED1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CBFC28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5791348">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BEB638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799842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6FDAC8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1B76F65">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5375CA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落实全市减排目标责任，对全市环境保护工作实施统一监管，开展环境监测、环境监察、污染防治、核与辐射监管，以及生态保护和建设等工作。　　</w:t>
            </w:r>
          </w:p>
        </w:tc>
        <w:tc>
          <w:tcPr>
            <w:tcW w:w="4304" w:type="dxa"/>
            <w:gridSpan w:val="4"/>
            <w:tcBorders>
              <w:top w:val="single" w:color="auto" w:sz="4" w:space="0"/>
              <w:left w:val="nil"/>
              <w:bottom w:val="single" w:color="auto" w:sz="4" w:space="0"/>
              <w:right w:val="single" w:color="auto" w:sz="4" w:space="0"/>
            </w:tcBorders>
            <w:noWrap w:val="0"/>
            <w:vAlign w:val="center"/>
          </w:tcPr>
          <w:p w14:paraId="44AFA9B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r>
      <w:tr w14:paraId="7346972C">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F1DAE2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135268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B34E07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5FC8B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B22A6B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D7632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83E82D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188E5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F969F3A">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D8017E1">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3E656D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55BB06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35A0034">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2EAA66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9FAB3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D827FD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2EEB93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6987AA2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5C0C493">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37F6E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整改销号</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F1869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EC9AB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E4A0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76F1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5E458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DDC4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F834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5DC94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1C81CC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334E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扬尘整治检查等各项环境污染检查</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5E594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239E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F004E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E6B0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504B8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88BEBA">
        <w:tblPrEx>
          <w:tblCellMar>
            <w:top w:w="0" w:type="dxa"/>
            <w:left w:w="108" w:type="dxa"/>
            <w:bottom w:w="0" w:type="dxa"/>
            <w:right w:w="108" w:type="dxa"/>
          </w:tblCellMar>
        </w:tblPrEx>
        <w:trPr>
          <w:trHeight w:val="27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79FD88">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20974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AEE239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F3877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全市环境质量达标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22A6C0C">
            <w:pPr>
              <w:widowControl/>
              <w:spacing w:line="240" w:lineRule="exact"/>
              <w:ind w:firstLine="200" w:firstLineChars="10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494EF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404A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9E49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bookmarkStart w:id="0" w:name="_GoBack"/>
            <w:bookmarkEnd w:id="0"/>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20953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47EC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CA708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A70F4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FA335A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C90FA71">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信访办理、办结率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E6000F">
            <w:pPr>
              <w:widowControl/>
              <w:spacing w:line="240" w:lineRule="exact"/>
              <w:ind w:firstLine="200" w:firstLineChars="1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0E89A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1D37BD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A4CE4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2440E3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B4EA92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437E3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C2D8F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C951ADE">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30FEB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无较大污染事件发生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BC08CF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争取0发生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D3AA69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0发生</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04339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612B6B">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BC4471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00374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3295C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0FFE4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48217F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5B8D7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污染防治目标任务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E5E6F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142F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053C477">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E8C8E8">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6E77402">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D505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0C754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7756A5">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5E2568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763B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B4A33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4733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854841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1C8353">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90467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567CFD">
        <w:tblPrEx>
          <w:tblCellMar>
            <w:top w:w="0" w:type="dxa"/>
            <w:left w:w="108" w:type="dxa"/>
            <w:bottom w:w="0" w:type="dxa"/>
            <w:right w:w="108" w:type="dxa"/>
          </w:tblCellMar>
        </w:tblPrEx>
        <w:trPr>
          <w:trHeight w:val="66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28BF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CF1B6E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D53589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7EF7E7B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21E990">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41C647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8836E8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941B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CCCA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50BD8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4D1BECA">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1B7B41">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52B870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E1E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6D902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FC1D71">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1C3510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35979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4CD1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改善辖区环境质量及群众生产生活环境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CF05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B3317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社会效益好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94190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547F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4B2F13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8D157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60C23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E7200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C98550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448F7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C03D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有所提升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6F0813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4124D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3027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42C2B3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75CB4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432E15">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C56EC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605397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E18E09F">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F93E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_GB2312"/>
                <w:kern w:val="0"/>
                <w:sz w:val="20"/>
                <w:szCs w:val="20"/>
                <w:lang w:eastAsia="zh-CN"/>
              </w:rPr>
              <w:t>治理重点污染城市环境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914CE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_GB2312"/>
                <w:kern w:val="0"/>
                <w:sz w:val="20"/>
                <w:szCs w:val="20"/>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AEC35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_GB2312"/>
                <w:kern w:val="0"/>
                <w:sz w:val="20"/>
                <w:szCs w:val="20"/>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0B86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6205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D242169">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F7182E">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85D2B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A4E7DC">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C246C9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49D1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C22E75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社会可持续发展良好</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24AA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效益明显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6769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0C1E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E950D7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E7A808">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F17CE4">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FFA67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ACCAB7">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207196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0B936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A73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临湘市全体人民群众</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049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1F2E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DAB5E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8B03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19BD6F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6286DF">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3284D06A">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F75333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1BEEF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10130E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E03F22">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3C2E2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1D1AF46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54511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5907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9A46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A2C0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6B7B376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39702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5C29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E53D7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0C4F0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岳阳市生态环境局临湘分局</w:t>
            </w:r>
            <w:r>
              <w:rPr>
                <w:rFonts w:hint="eastAsia" w:ascii="仿宋_GB2312" w:hAnsi="仿宋_GB2312" w:eastAsia="仿宋_GB2312" w:cs="仿宋_GB2312"/>
                <w:color w:val="000000"/>
                <w:sz w:val="20"/>
                <w:szCs w:val="20"/>
                <w:highlight w:val="none"/>
              </w:rPr>
              <w:t>　</w:t>
            </w:r>
          </w:p>
        </w:tc>
      </w:tr>
      <w:tr w14:paraId="651AB5B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CDEE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70989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718D2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3998C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B224A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FF27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13BA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90F9F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A6AEF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AFAC4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46D16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096BCA7">
        <w:tblPrEx>
          <w:tblCellMar>
            <w:top w:w="0" w:type="dxa"/>
            <w:left w:w="108" w:type="dxa"/>
            <w:bottom w:w="0" w:type="dxa"/>
            <w:right w:w="108" w:type="dxa"/>
          </w:tblCellMar>
        </w:tblPrEx>
        <w:trPr>
          <w:trHeight w:val="29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B118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E159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B2F7C0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9EEA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209.26</w:t>
            </w:r>
          </w:p>
        </w:tc>
        <w:tc>
          <w:tcPr>
            <w:tcW w:w="1134" w:type="dxa"/>
            <w:tcBorders>
              <w:top w:val="nil"/>
              <w:left w:val="nil"/>
              <w:bottom w:val="single" w:color="auto" w:sz="4" w:space="0"/>
              <w:right w:val="single" w:color="auto" w:sz="4" w:space="0"/>
            </w:tcBorders>
            <w:noWrap w:val="0"/>
            <w:vAlign w:val="center"/>
          </w:tcPr>
          <w:p w14:paraId="23E3C3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209.26</w:t>
            </w:r>
          </w:p>
        </w:tc>
        <w:tc>
          <w:tcPr>
            <w:tcW w:w="828" w:type="dxa"/>
            <w:tcBorders>
              <w:top w:val="nil"/>
              <w:left w:val="nil"/>
              <w:bottom w:val="single" w:color="auto" w:sz="4" w:space="0"/>
              <w:right w:val="single" w:color="auto" w:sz="4" w:space="0"/>
            </w:tcBorders>
            <w:noWrap w:val="0"/>
            <w:vAlign w:val="center"/>
          </w:tcPr>
          <w:p w14:paraId="4EBD79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FAC48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021E9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2562F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D04F0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412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B3733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shd w:val="clear" w:color="auto" w:fill="auto"/>
            <w:noWrap w:val="0"/>
            <w:vAlign w:val="center"/>
          </w:tcPr>
          <w:p w14:paraId="47C8D6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209.26</w:t>
            </w:r>
          </w:p>
        </w:tc>
        <w:tc>
          <w:tcPr>
            <w:tcW w:w="1134" w:type="dxa"/>
            <w:tcBorders>
              <w:top w:val="nil"/>
              <w:left w:val="nil"/>
              <w:bottom w:val="single" w:color="auto" w:sz="4" w:space="0"/>
              <w:right w:val="single" w:color="auto" w:sz="4" w:space="0"/>
            </w:tcBorders>
            <w:noWrap w:val="0"/>
            <w:vAlign w:val="center"/>
          </w:tcPr>
          <w:p w14:paraId="5E7BAB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209.26</w:t>
            </w:r>
          </w:p>
        </w:tc>
        <w:tc>
          <w:tcPr>
            <w:tcW w:w="828" w:type="dxa"/>
            <w:tcBorders>
              <w:top w:val="nil"/>
              <w:left w:val="nil"/>
              <w:bottom w:val="single" w:color="auto" w:sz="4" w:space="0"/>
              <w:right w:val="single" w:color="auto" w:sz="4" w:space="0"/>
            </w:tcBorders>
            <w:noWrap w:val="0"/>
            <w:vAlign w:val="center"/>
          </w:tcPr>
          <w:p w14:paraId="7F6653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F496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24A27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9712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4A744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8E0DEF6">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6BF15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6E117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4F277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7D65EB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5867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7BC4F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D2FD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9120D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417BDB5">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77CD9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FA7DB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C2721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8AC6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9E161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22CF3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0C556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F9850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3595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055AD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CD0D49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B73CE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20092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25FAF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tc>
        <w:tc>
          <w:tcPr>
            <w:tcW w:w="4253" w:type="dxa"/>
            <w:gridSpan w:val="4"/>
            <w:tcBorders>
              <w:top w:val="single" w:color="auto" w:sz="4" w:space="0"/>
              <w:left w:val="nil"/>
              <w:bottom w:val="single" w:color="auto" w:sz="4" w:space="0"/>
              <w:right w:val="single" w:color="auto" w:sz="4" w:space="0"/>
            </w:tcBorders>
            <w:noWrap w:val="0"/>
            <w:vAlign w:val="center"/>
          </w:tcPr>
          <w:p w14:paraId="25852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763E03D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1A2A2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2B6F8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6A5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F8537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68804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9DD4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D3F18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FA6AF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5BFBF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3F07A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8B8E1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39D65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FE1B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949ED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CFB16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B39A3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5161D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F104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B20EA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D98D7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254A3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nil"/>
              <w:left w:val="nil"/>
              <w:bottom w:val="single" w:color="auto" w:sz="4" w:space="0"/>
              <w:right w:val="single" w:color="auto" w:sz="4" w:space="0"/>
            </w:tcBorders>
            <w:noWrap w:val="0"/>
            <w:vAlign w:val="center"/>
          </w:tcPr>
          <w:p w14:paraId="1F3F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B14D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7F77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C6E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1B7B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4D82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81916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B1FB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CFAA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F5A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nil"/>
              <w:left w:val="nil"/>
              <w:bottom w:val="single" w:color="auto" w:sz="4" w:space="0"/>
              <w:right w:val="single" w:color="auto" w:sz="4" w:space="0"/>
            </w:tcBorders>
            <w:noWrap w:val="0"/>
            <w:vAlign w:val="center"/>
          </w:tcPr>
          <w:p w14:paraId="427B1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0D07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F520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7B7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BB1B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276E7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42D32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5C64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D2FE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887A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全市环境质量达标</w:t>
            </w:r>
          </w:p>
        </w:tc>
        <w:tc>
          <w:tcPr>
            <w:tcW w:w="1134" w:type="dxa"/>
            <w:tcBorders>
              <w:top w:val="nil"/>
              <w:left w:val="nil"/>
              <w:bottom w:val="single" w:color="auto" w:sz="4" w:space="0"/>
              <w:right w:val="single" w:color="auto" w:sz="4" w:space="0"/>
            </w:tcBorders>
            <w:noWrap w:val="0"/>
            <w:vAlign w:val="center"/>
          </w:tcPr>
          <w:p w14:paraId="30BA5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85</w:t>
            </w: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14:paraId="418C2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85%以上</w:t>
            </w:r>
          </w:p>
        </w:tc>
        <w:tc>
          <w:tcPr>
            <w:tcW w:w="828" w:type="dxa"/>
            <w:tcBorders>
              <w:top w:val="nil"/>
              <w:left w:val="nil"/>
              <w:bottom w:val="single" w:color="auto" w:sz="4" w:space="0"/>
              <w:right w:val="single" w:color="auto" w:sz="4" w:space="0"/>
            </w:tcBorders>
            <w:noWrap w:val="0"/>
            <w:vAlign w:val="center"/>
          </w:tcPr>
          <w:p w14:paraId="7D9B5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F3C4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73F3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E337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46799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1BC95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C81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861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w:t>
            </w:r>
            <w:r>
              <w:rPr>
                <w:rFonts w:hint="eastAsia" w:ascii="仿宋_GB2312" w:hAnsi="仿宋_GB2312" w:eastAsia="仿宋_GB2312" w:cs="仿宋_GB2312"/>
                <w:color w:val="000000"/>
                <w:sz w:val="20"/>
                <w:szCs w:val="20"/>
              </w:rPr>
              <w:t>指标</w:t>
            </w:r>
          </w:p>
        </w:tc>
        <w:tc>
          <w:tcPr>
            <w:tcW w:w="1134" w:type="dxa"/>
            <w:tcBorders>
              <w:top w:val="nil"/>
              <w:left w:val="nil"/>
              <w:bottom w:val="single" w:color="auto" w:sz="4" w:space="0"/>
              <w:right w:val="single" w:color="auto" w:sz="4" w:space="0"/>
            </w:tcBorders>
            <w:noWrap w:val="0"/>
            <w:vAlign w:val="center"/>
          </w:tcPr>
          <w:p w14:paraId="4A437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2025年整年</w:t>
            </w:r>
          </w:p>
        </w:tc>
        <w:tc>
          <w:tcPr>
            <w:tcW w:w="1134" w:type="dxa"/>
            <w:tcBorders>
              <w:top w:val="nil"/>
              <w:left w:val="nil"/>
              <w:bottom w:val="single" w:color="auto" w:sz="4" w:space="0"/>
              <w:right w:val="single" w:color="auto" w:sz="4" w:space="0"/>
            </w:tcBorders>
            <w:noWrap w:val="0"/>
            <w:vAlign w:val="center"/>
          </w:tcPr>
          <w:p w14:paraId="7331A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340B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00C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7E95A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6CE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CD76D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9A0C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8D7C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FD43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71EEE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209.26</w:t>
            </w:r>
            <w:r>
              <w:rPr>
                <w:rFonts w:hint="eastAsia" w:ascii="仿宋_GB2312" w:hAnsi="仿宋_GB2312" w:eastAsia="仿宋_GB2312" w:cs="仿宋_GB2312"/>
                <w:color w:val="000000"/>
                <w:sz w:val="20"/>
                <w:szCs w:val="20"/>
                <w:highlight w:val="none"/>
              </w:rPr>
              <w:t>万元</w:t>
            </w:r>
          </w:p>
        </w:tc>
        <w:tc>
          <w:tcPr>
            <w:tcW w:w="1134" w:type="dxa"/>
            <w:tcBorders>
              <w:top w:val="nil"/>
              <w:left w:val="nil"/>
              <w:bottom w:val="single" w:color="auto" w:sz="4" w:space="0"/>
              <w:right w:val="single" w:color="auto" w:sz="4" w:space="0"/>
            </w:tcBorders>
            <w:noWrap w:val="0"/>
            <w:vAlign w:val="center"/>
          </w:tcPr>
          <w:p w14:paraId="1C49B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209.26万元</w:t>
            </w:r>
          </w:p>
        </w:tc>
        <w:tc>
          <w:tcPr>
            <w:tcW w:w="828" w:type="dxa"/>
            <w:tcBorders>
              <w:top w:val="nil"/>
              <w:left w:val="nil"/>
              <w:bottom w:val="single" w:color="auto" w:sz="4" w:space="0"/>
              <w:right w:val="single" w:color="auto" w:sz="4" w:space="0"/>
            </w:tcBorders>
            <w:noWrap w:val="0"/>
            <w:vAlign w:val="center"/>
          </w:tcPr>
          <w:p w14:paraId="6413B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59C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1E48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A717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4AB2B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0E69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40F65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CDA93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08FA0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F22C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3508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FEC42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45885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733B2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noWrap w:val="0"/>
            <w:vAlign w:val="center"/>
          </w:tcPr>
          <w:p w14:paraId="18FE8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2BD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CDCC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79E93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A770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CCE1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941B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419ED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D92B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noWrap w:val="0"/>
            <w:vAlign w:val="center"/>
          </w:tcPr>
          <w:p w14:paraId="679AB3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2DA598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03109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CA88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DC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3E47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7213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6AD4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1F9F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4F8E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6D5C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noWrap w:val="0"/>
            <w:vAlign w:val="center"/>
          </w:tcPr>
          <w:p w14:paraId="3C752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大于等于85%</w:t>
            </w:r>
          </w:p>
        </w:tc>
        <w:tc>
          <w:tcPr>
            <w:tcW w:w="1134" w:type="dxa"/>
            <w:tcBorders>
              <w:top w:val="nil"/>
              <w:left w:val="nil"/>
              <w:bottom w:val="single" w:color="auto" w:sz="4" w:space="0"/>
              <w:right w:val="single" w:color="auto" w:sz="4" w:space="0"/>
            </w:tcBorders>
            <w:noWrap w:val="0"/>
            <w:vAlign w:val="center"/>
          </w:tcPr>
          <w:p w14:paraId="0BE8F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noWrap w:val="0"/>
            <w:vAlign w:val="center"/>
          </w:tcPr>
          <w:p w14:paraId="545A7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4308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4A99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620F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7FF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541F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0F21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E04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社会可持续发展良好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63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797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46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D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611C1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4217D8">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14:paraId="1E6F5A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64A6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29C95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522B5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3607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5E21C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60EFBA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042F4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63B6ADB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1658F84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8ED4B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3312E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149C8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013E1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C4BD74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4E2C7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EFAD1A">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1C7C8E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003B3394">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3ABA9F1">
      <w:pPr>
        <w:pStyle w:val="2"/>
        <w:rPr>
          <w:rFonts w:hint="eastAsia"/>
          <w:lang w:val="en-US" w:eastAsia="zh-CN"/>
        </w:rPr>
      </w:pPr>
    </w:p>
    <w:p w14:paraId="7540C7CD">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036C303">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52"/>
          <w:szCs w:val="52"/>
          <w:highlight w:val="none"/>
        </w:rPr>
      </w:pPr>
    </w:p>
    <w:p w14:paraId="2142A42A">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年度岳阳市生态环境局临湘分局</w:t>
      </w:r>
    </w:p>
    <w:p w14:paraId="4D618793">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79264AC">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highlight w:val="none"/>
        </w:rPr>
      </w:pPr>
    </w:p>
    <w:p w14:paraId="7B004AB5">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0C02E78D">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4ACDF2CD">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462BDA15">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536A6CE3">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5235F412">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14:paraId="3D17F8F6">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47B11447">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67795274">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09A75DD3">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14:paraId="2D7F6791">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5F57DE90">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29456874">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14:paraId="6A1247B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A9E414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188063B1">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7CCDB44F">
      <w:pPr>
        <w:keepNext w:val="0"/>
        <w:keepLines w:val="0"/>
        <w:pageBreakBefore w:val="0"/>
        <w:widowControl w:val="0"/>
        <w:kinsoku/>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年度岳阳市生态环境局临湘分局</w:t>
      </w:r>
    </w:p>
    <w:p w14:paraId="68C2A72B">
      <w:pPr>
        <w:keepNext w:val="0"/>
        <w:keepLines w:val="0"/>
        <w:pageBreakBefore w:val="0"/>
        <w:widowControl w:val="0"/>
        <w:kinsoku/>
        <w:overflowPunct/>
        <w:topLinePunct w:val="0"/>
        <w:autoSpaceDE/>
        <w:autoSpaceDN/>
        <w:bidi w:val="0"/>
        <w:adjustRightInd/>
        <w:snapToGrid/>
        <w:ind w:firstLine="2200" w:firstLineChars="500"/>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A249D3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743FBF2">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330C413">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（一）职能职责</w:t>
      </w:r>
    </w:p>
    <w:p w14:paraId="4C864D73">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eastAsia" w:ascii="仿宋" w:hAnsi="仿宋" w:eastAsia="仿宋" w:cs="仿宋"/>
          <w:kern w:val="0"/>
          <w:sz w:val="31"/>
          <w:szCs w:val="31"/>
          <w:lang w:val="en-US" w:eastAsia="en-US" w:bidi="ar-SA"/>
        </w:rPr>
      </w:pPr>
      <w:r>
        <w:rPr>
          <w:rFonts w:hint="eastAsia" w:ascii="仿宋" w:hAnsi="仿宋" w:eastAsia="仿宋" w:cs="仿宋"/>
          <w:kern w:val="0"/>
          <w:sz w:val="31"/>
          <w:szCs w:val="31"/>
          <w:lang w:val="en-US" w:eastAsia="en-US" w:bidi="ar-SA"/>
        </w:rPr>
        <w:t>1、受市生态环境局委托，承担辖区内的生态环境相关工作；承担市生态环境局和市委、市政府交办的其他任务。</w:t>
      </w:r>
    </w:p>
    <w:p w14:paraId="0696C06B">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eastAsia" w:ascii="仿宋" w:hAnsi="仿宋" w:eastAsia="仿宋" w:cs="仿宋"/>
          <w:kern w:val="0"/>
          <w:sz w:val="31"/>
          <w:szCs w:val="31"/>
          <w:lang w:val="en-US" w:eastAsia="en-US" w:bidi="ar-SA"/>
        </w:rPr>
      </w:pPr>
      <w:r>
        <w:rPr>
          <w:rFonts w:hint="eastAsia" w:ascii="仿宋" w:hAnsi="仿宋" w:eastAsia="仿宋" w:cs="仿宋"/>
          <w:kern w:val="0"/>
          <w:sz w:val="31"/>
          <w:szCs w:val="31"/>
          <w:lang w:val="en-US" w:eastAsia="en-US" w:bidi="ar-SA"/>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14:paraId="2AC0FC6F">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eastAsia" w:ascii="仿宋" w:hAnsi="仿宋" w:eastAsia="仿宋" w:cs="仿宋"/>
          <w:kern w:val="0"/>
          <w:sz w:val="31"/>
          <w:szCs w:val="31"/>
          <w:lang w:val="en-US" w:eastAsia="en-US" w:bidi="ar-SA"/>
        </w:rPr>
      </w:pPr>
      <w:r>
        <w:rPr>
          <w:rFonts w:hint="eastAsia" w:ascii="仿宋" w:hAnsi="仿宋" w:eastAsia="仿宋" w:cs="仿宋"/>
          <w:kern w:val="0"/>
          <w:sz w:val="31"/>
          <w:szCs w:val="31"/>
          <w:lang w:val="en-US" w:eastAsia="en-US" w:bidi="ar-SA"/>
        </w:rPr>
        <w:t>3、负责本辖区生态环境质量监测、执法监测、污染源监测和应急监测。</w:t>
      </w:r>
    </w:p>
    <w:p w14:paraId="2778D5B4">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（二）机构设置</w:t>
      </w:r>
    </w:p>
    <w:p w14:paraId="6D4304D6">
      <w:pPr>
        <w:keepNext w:val="0"/>
        <w:keepLines w:val="0"/>
        <w:pageBreakBefore w:val="0"/>
        <w:widowControl w:val="0"/>
        <w:numPr>
          <w:ilvl w:val="0"/>
          <w:numId w:val="0"/>
        </w:numPr>
        <w:kinsoku/>
        <w:wordWrap/>
        <w:overflowPunct/>
        <w:topLinePunct w:val="0"/>
        <w:autoSpaceDE/>
        <w:autoSpaceDN/>
        <w:bidi w:val="0"/>
        <w:adjustRightInd/>
        <w:snapToGrid/>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岳阳市生态环境局临湘分局部门预算包括局机关本级决算及所属二级机构（根据财政预算管理制度，所属二级机构由岳阳市生态环境局临湘分局统一预算），临湘分局现有干部职工128人，其中在职84人，退休44人，84名在职人员中，全额行政编9人，全额事业编75人。下设办公室、政工人事股、科技与财务股、环评与污染排放股、自然生态保护股、水生态环境股、大气环境与应对气候变化股、土壤生态环境股、核辐射与固体废物管理股、法规标准与宣教监测股、综合协调与生态环境监督股、工会与党务办12个股室；综合行政执法大队、生态环境监测站、滨江环保工作站、三湾环保工作站4个二级机构。</w:t>
      </w:r>
    </w:p>
    <w:p w14:paraId="02D31FBF">
      <w:pPr>
        <w:pStyle w:val="9"/>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C06C04C">
      <w:pPr>
        <w:pStyle w:val="9"/>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0E772E80">
      <w:pPr>
        <w:pStyle w:val="9"/>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 w:val="0"/>
          <w:bCs/>
          <w:sz w:val="32"/>
          <w:szCs w:val="32"/>
          <w:lang w:val="en-US" w:eastAsia="zh-CN"/>
        </w:rPr>
        <w:t>2025年基本支出年初预算数为1698.28万元，决算实际支出数为1968.32万元。其中：人员经费1503.06万元，主要包括：基本工资、津贴补贴、奖金、绩效工资、机关事业单位基本养老保险缴费、职工基本医疗保险缴费、其他社会保障缴费、住房公积金、其他工资福利支出、退休费等；公用经费244.27万元，主要包括：办公费、印刷费、水电费、邮电费、差旅费、培训费、维修（护）费、工会经费、公务接待费、劳务费、委托业务费、福利费、公务用车运行维护费、其他交通费用、其他商品和服务支出等。</w:t>
      </w:r>
    </w:p>
    <w:p w14:paraId="2F3E3E0A">
      <w:pPr>
        <w:pStyle w:val="9"/>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42129D44">
      <w:pPr>
        <w:pStyle w:val="9"/>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4508F0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2025年本单位无政府性基金预算安排的支出。</w:t>
      </w:r>
    </w:p>
    <w:p w14:paraId="0FB0027D">
      <w:pPr>
        <w:pStyle w:val="9"/>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189F30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2025年本单位无国有资本经营预算安排的支出。</w:t>
      </w:r>
    </w:p>
    <w:p w14:paraId="5F1BC178">
      <w:pPr>
        <w:pStyle w:val="9"/>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ACBDC21">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2025年本单位无社会保险基金预算安排的支出。</w:t>
      </w:r>
    </w:p>
    <w:p w14:paraId="39A8BD56">
      <w:pPr>
        <w:pStyle w:val="9"/>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14:paraId="5BD5900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7AB32C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 xml:space="preserve">（一）部门资金情况分析 </w:t>
      </w:r>
    </w:p>
    <w:p w14:paraId="6B9A1DB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我局2025年资金总额3193.68万元，专项经费实行专款专用，严格按照相关规定支付，资金支付合规合法，资金使用率100%。</w:t>
      </w:r>
    </w:p>
    <w:p w14:paraId="16299710">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项目绩效指标完成情况分析。</w:t>
      </w:r>
    </w:p>
    <w:p w14:paraId="0D8F123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1.管理效率情况分析</w:t>
      </w:r>
    </w:p>
    <w:p w14:paraId="565A307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w:t>
      </w:r>
    </w:p>
    <w:p w14:paraId="215DAC6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2.运行成本控制情况分析</w:t>
      </w:r>
    </w:p>
    <w:p w14:paraId="6420705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“三公经费”、公用经费均控制在预算范围内，项目支出有所超出预算，原因在于本年度县区财政项目经费增多。</w:t>
      </w:r>
    </w:p>
    <w:p w14:paraId="75830E2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3.服务满意度指标完成情况分析</w:t>
      </w:r>
    </w:p>
    <w:p w14:paraId="285BC7D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color w:val="000000"/>
          <w:spacing w:val="0"/>
          <w:kern w:val="0"/>
          <w:position w:val="0"/>
          <w:sz w:val="32"/>
          <w:szCs w:val="32"/>
          <w:lang w:val="en-US" w:eastAsia="zh-CN"/>
        </w:rPr>
      </w:pPr>
      <w:r>
        <w:rPr>
          <w:rFonts w:hint="eastAsia" w:ascii="仿宋_GB2312" w:hAnsi="仿宋_GB2312" w:eastAsia="仿宋_GB2312" w:cs="仿宋_GB2312"/>
          <w:color w:val="000000"/>
          <w:spacing w:val="0"/>
          <w:kern w:val="0"/>
          <w:position w:val="0"/>
          <w:sz w:val="32"/>
          <w:szCs w:val="32"/>
          <w:lang w:val="en-US" w:eastAsia="zh-CN"/>
        </w:rPr>
        <w:t>全年投诉件受理、办结率100%，化解率100%，总体满意度95%以上。</w:t>
      </w:r>
    </w:p>
    <w:p w14:paraId="7465CBC0">
      <w:pPr>
        <w:pStyle w:val="9"/>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539CC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default" w:ascii="仿宋_GB2312" w:hAnsi="仿宋_GB2312" w:eastAsia="仿宋_GB2312" w:cs="仿宋_GB2312"/>
          <w:color w:val="000000"/>
          <w:spacing w:val="0"/>
          <w:kern w:val="0"/>
          <w:position w:val="0"/>
          <w:sz w:val="32"/>
          <w:szCs w:val="32"/>
          <w:lang w:val="en-US" w:eastAsia="zh-CN" w:bidi="ar"/>
        </w:rPr>
        <w:t>存在问题个别项目资金使用方面预算与实际存在差异。问题产生的主要原因</w:t>
      </w:r>
      <w:r>
        <w:rPr>
          <w:rFonts w:hint="eastAsia" w:ascii="仿宋_GB2312" w:hAnsi="仿宋_GB2312" w:eastAsia="仿宋_GB2312" w:cs="仿宋_GB2312"/>
          <w:color w:val="000000"/>
          <w:spacing w:val="0"/>
          <w:kern w:val="0"/>
          <w:position w:val="0"/>
          <w:sz w:val="32"/>
          <w:szCs w:val="32"/>
          <w:lang w:val="en-US" w:eastAsia="zh-CN" w:bidi="ar"/>
        </w:rPr>
        <w:t>：</w:t>
      </w:r>
      <w:r>
        <w:rPr>
          <w:rFonts w:hint="default" w:ascii="仿宋_GB2312" w:hAnsi="仿宋_GB2312" w:eastAsia="仿宋_GB2312" w:cs="仿宋_GB2312"/>
          <w:color w:val="000000"/>
          <w:spacing w:val="0"/>
          <w:kern w:val="0"/>
          <w:position w:val="0"/>
          <w:sz w:val="32"/>
          <w:szCs w:val="32"/>
          <w:lang w:val="en-US" w:eastAsia="zh-CN" w:bidi="ar"/>
        </w:rPr>
        <w:t>绩效管理水平有待提高，特别是绩效指标设置的科学性、合理性有待进一步改善。</w:t>
      </w:r>
    </w:p>
    <w:p w14:paraId="6AE10249">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03436BF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default" w:ascii="仿宋_GB2312" w:hAnsi="仿宋_GB2312" w:eastAsia="仿宋_GB2312" w:cs="仿宋_GB2312"/>
          <w:color w:val="000000"/>
          <w:spacing w:val="0"/>
          <w:kern w:val="0"/>
          <w:position w:val="0"/>
          <w:sz w:val="32"/>
          <w:szCs w:val="32"/>
          <w:lang w:val="en-US" w:eastAsia="zh-CN"/>
        </w:rPr>
      </w:pPr>
      <w:r>
        <w:rPr>
          <w:rFonts w:hint="default" w:ascii="仿宋_GB2312" w:hAnsi="仿宋_GB2312" w:eastAsia="仿宋_GB2312" w:cs="仿宋_GB2312"/>
          <w:color w:val="000000"/>
          <w:spacing w:val="0"/>
          <w:kern w:val="0"/>
          <w:position w:val="0"/>
          <w:sz w:val="32"/>
          <w:szCs w:val="32"/>
          <w:lang w:val="en-US" w:eastAsia="zh-CN"/>
        </w:rPr>
        <w:t>加强财务管理，严格财务审批。在费用报账支付时，按照预算规定的费用项目和用途进行资金使用、审核，列报支付，财务核算杜绝超支现象的发生。</w:t>
      </w:r>
    </w:p>
    <w:p w14:paraId="4998D2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Times New Roman" w:hAnsi="Times New Roman" w:eastAsia="黑体" w:cs="Times New Roman"/>
          <w:sz w:val="32"/>
          <w:szCs w:val="32"/>
          <w:highlight w:val="none"/>
        </w:rPr>
      </w:pPr>
      <w:r>
        <w:rPr>
          <w:rFonts w:hint="default" w:ascii="仿宋_GB2312" w:hAnsi="仿宋_GB2312" w:eastAsia="仿宋_GB2312" w:cs="仿宋_GB2312"/>
          <w:color w:val="000000"/>
          <w:spacing w:val="0"/>
          <w:kern w:val="0"/>
          <w:position w:val="0"/>
          <w:sz w:val="32"/>
          <w:szCs w:val="32"/>
          <w:lang w:val="en-US" w:eastAsia="zh-CN" w:bidi="ar"/>
        </w:rPr>
        <w:t>加强培训。建议多开展部门整体绩效评价工作的业务工作培训，组织开展部门之间、单位之间的经验交流，特别是要组织非财务部门的人员参与评价工作，切实推进绩效评价工作的开展。</w:t>
      </w:r>
    </w:p>
    <w:p w14:paraId="20D21EBE">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5C95FA9C">
      <w:pPr>
        <w:widowControl w:val="0"/>
        <w:ind w:firstLine="620" w:firstLineChars="200"/>
        <w:jc w:val="both"/>
        <w:rPr>
          <w:rFonts w:hint="default" w:ascii="Times New Roman" w:hAnsi="Times New Roman" w:eastAsia="黑体" w:cs="Times New Roman"/>
          <w:sz w:val="32"/>
          <w:szCs w:val="32"/>
          <w:highlight w:val="none"/>
        </w:rPr>
      </w:pPr>
      <w:r>
        <w:rPr>
          <w:rFonts w:hint="default" w:ascii="仿宋" w:hAnsi="仿宋" w:eastAsia="仿宋" w:cs="仿宋"/>
          <w:kern w:val="0"/>
          <w:sz w:val="31"/>
          <w:szCs w:val="31"/>
          <w:lang w:val="en-US" w:eastAsia="en-US" w:bidi="ar-SA"/>
        </w:rPr>
        <w:t>本单位绩效自评结果为</w:t>
      </w:r>
      <w:r>
        <w:rPr>
          <w:rFonts w:hint="eastAsia" w:ascii="仿宋" w:hAnsi="仿宋" w:eastAsia="仿宋" w:cs="仿宋"/>
          <w:kern w:val="0"/>
          <w:sz w:val="31"/>
          <w:szCs w:val="31"/>
          <w:lang w:val="en-US" w:eastAsia="zh-CN" w:bidi="ar-SA"/>
        </w:rPr>
        <w:t>优秀</w:t>
      </w:r>
      <w:r>
        <w:rPr>
          <w:rFonts w:hint="default" w:ascii="仿宋" w:hAnsi="仿宋" w:eastAsia="仿宋" w:cs="仿宋"/>
          <w:kern w:val="0"/>
          <w:sz w:val="31"/>
          <w:szCs w:val="31"/>
          <w:lang w:val="en-US" w:eastAsia="en-US" w:bidi="ar-SA"/>
        </w:rPr>
        <w:t>等级。下一步将根据财政检查绩效自评发现的问题等进行改善，并按政务公开的相关规定，及时将部门整体支出及项目绩效自评报告，通过门户网站向社会公开。</w:t>
      </w:r>
    </w:p>
    <w:p w14:paraId="6A8B7CAD">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0995362">
      <w:pPr>
        <w:widowControl w:val="0"/>
        <w:ind w:firstLine="620" w:firstLineChars="200"/>
        <w:jc w:val="both"/>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无。</w:t>
      </w:r>
    </w:p>
    <w:p w14:paraId="34604D2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14:paraId="2083709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7BBED46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51EF6E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E6B991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4348DF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91355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64521E2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765EC8A4"/>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362EE-9260-4D88-BB3C-4E5EAF732B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448934F-3807-40C1-AC28-FF073CAB71B6}"/>
  </w:font>
  <w:font w:name="方正小标宋简体">
    <w:panose1 w:val="02000000000000000000"/>
    <w:charset w:val="86"/>
    <w:family w:val="auto"/>
    <w:pitch w:val="default"/>
    <w:sig w:usb0="00000001" w:usb1="08000000" w:usb2="00000000" w:usb3="00000000" w:csb0="00040000" w:csb1="00000000"/>
    <w:embedRegular r:id="rId3" w:fontKey="{BF9CF691-A698-49D4-ABC7-0D999986F23A}"/>
  </w:font>
  <w:font w:name="仿宋_GB2312">
    <w:altName w:val="仿宋"/>
    <w:panose1 w:val="02010609030101010101"/>
    <w:charset w:val="86"/>
    <w:family w:val="modern"/>
    <w:pitch w:val="default"/>
    <w:sig w:usb0="00000000" w:usb1="00000000" w:usb2="00000000" w:usb3="00000000" w:csb0="00040000" w:csb1="00000000"/>
    <w:embedRegular r:id="rId4" w:fontKey="{16E4CA93-BFAD-493B-BDC8-2EC1F64C093F}"/>
  </w:font>
  <w:font w:name="方正小标宋_GBK">
    <w:altName w:val="微软雅黑"/>
    <w:panose1 w:val="02000000000000000000"/>
    <w:charset w:val="86"/>
    <w:family w:val="script"/>
    <w:pitch w:val="default"/>
    <w:sig w:usb0="00000000" w:usb1="00000000" w:usb2="00082016" w:usb3="00000000" w:csb0="00040001" w:csb1="00000000"/>
    <w:embedRegular r:id="rId5" w:fontKey="{C4582CB1-1B7B-46A1-990F-E886078BD793}"/>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6" w:fontKey="{9FF38ABD-0247-452C-A704-CAF150A2A2AB}"/>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0F91">
    <w:pPr>
      <w:pStyle w:val="4"/>
      <w:framePr w:wrap="around" w:vAnchor="text" w:hAnchor="margin" w:xAlign="outside" w:y="1"/>
      <w:rPr>
        <w:rStyle w:val="8"/>
        <w:rFonts w:eastAsia="宋体" w:cs="Times New Roman"/>
        <w:sz w:val="24"/>
        <w:szCs w:val="24"/>
      </w:rPr>
    </w:pPr>
    <w:r>
      <w:rPr>
        <w:rStyle w:val="8"/>
        <w:rFonts w:hint="eastAsia" w:eastAsia="宋体" w:cs="Times New Roman"/>
        <w:kern w:val="2"/>
        <w:sz w:val="24"/>
        <w:szCs w:val="24"/>
      </w:rPr>
      <w:t xml:space="preserve">— </w:t>
    </w:r>
    <w:r>
      <w:rPr>
        <w:rFonts w:eastAsia="宋体" w:cs="Times New Roman"/>
        <w:sz w:val="24"/>
        <w:szCs w:val="24"/>
      </w:rPr>
      <w:fldChar w:fldCharType="begin"/>
    </w:r>
    <w:r>
      <w:rPr>
        <w:rStyle w:val="8"/>
        <w:rFonts w:eastAsia="宋体" w:cs="Times New Roman"/>
        <w:kern w:val="2"/>
        <w:sz w:val="24"/>
        <w:szCs w:val="24"/>
      </w:rPr>
      <w:instrText xml:space="preserve">PAGE  </w:instrText>
    </w:r>
    <w:r>
      <w:rPr>
        <w:rFonts w:eastAsia="宋体" w:cs="Times New Roman"/>
        <w:sz w:val="24"/>
        <w:szCs w:val="24"/>
      </w:rPr>
      <w:fldChar w:fldCharType="separate"/>
    </w:r>
    <w:r>
      <w:rPr>
        <w:rStyle w:val="8"/>
        <w:rFonts w:eastAsia="宋体" w:cs="Times New Roman"/>
        <w:kern w:val="2"/>
        <w:sz w:val="24"/>
        <w:szCs w:val="24"/>
      </w:rPr>
      <w:t>1</w:t>
    </w:r>
    <w:r>
      <w:rPr>
        <w:rFonts w:eastAsia="宋体" w:cs="Times New Roman"/>
        <w:sz w:val="24"/>
        <w:szCs w:val="24"/>
      </w:rPr>
      <w:fldChar w:fldCharType="end"/>
    </w:r>
    <w:r>
      <w:rPr>
        <w:rStyle w:val="8"/>
        <w:rFonts w:hint="eastAsia" w:eastAsia="宋体" w:cs="Times New Roman"/>
        <w:kern w:val="2"/>
        <w:sz w:val="24"/>
        <w:szCs w:val="24"/>
      </w:rPr>
      <w:t xml:space="preserve"> —</w:t>
    </w:r>
  </w:p>
  <w:p w14:paraId="5D45D25D">
    <w:pPr>
      <w:pStyle w:val="4"/>
      <w:ind w:right="360" w:firstLine="360"/>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0C2E">
    <w:pPr>
      <w:pStyle w:val="4"/>
      <w:framePr w:wrap="around" w:vAnchor="text" w:hAnchor="margin" w:xAlign="outside" w:y="1"/>
      <w:rPr>
        <w:rStyle w:val="8"/>
        <w:rFonts w:eastAsia="宋体" w:cs="Times New Roman"/>
      </w:rPr>
    </w:pPr>
    <w:r>
      <w:rPr>
        <w:rFonts w:eastAsia="宋体" w:cs="Times New Roman"/>
      </w:rPr>
      <w:fldChar w:fldCharType="begin"/>
    </w:r>
    <w:r>
      <w:rPr>
        <w:rStyle w:val="8"/>
        <w:rFonts w:eastAsia="宋体" w:cs="Times New Roman"/>
        <w:kern w:val="2"/>
        <w:sz w:val="21"/>
        <w:szCs w:val="24"/>
      </w:rPr>
      <w:instrText xml:space="preserve">PAGE  </w:instrText>
    </w:r>
    <w:r>
      <w:rPr>
        <w:rFonts w:eastAsia="宋体" w:cs="Times New Roman"/>
      </w:rPr>
      <w:fldChar w:fldCharType="end"/>
    </w:r>
  </w:p>
  <w:p w14:paraId="791DBCAD">
    <w:pPr>
      <w:pStyle w:val="4"/>
      <w:ind w:right="360" w:firstLine="360"/>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E9D2C"/>
    <w:multiLevelType w:val="singleLevel"/>
    <w:tmpl w:val="E80E9D2C"/>
    <w:lvl w:ilvl="0" w:tentative="0">
      <w:start w:val="1"/>
      <w:numFmt w:val="chineseCounting"/>
      <w:suff w:val="nothing"/>
      <w:lvlText w:val="%1、"/>
      <w:lvlJc w:val="left"/>
      <w:rPr>
        <w:rFonts w:hint="eastAsia"/>
      </w:rPr>
    </w:lvl>
  </w:abstractNum>
  <w:abstractNum w:abstractNumId="1">
    <w:nsid w:val="078F7235"/>
    <w:multiLevelType w:val="singleLevel"/>
    <w:tmpl w:val="078F7235"/>
    <w:lvl w:ilvl="0" w:tentative="0">
      <w:start w:val="2"/>
      <w:numFmt w:val="chineseCounting"/>
      <w:suff w:val="nothing"/>
      <w:lvlText w:val="（%1）"/>
      <w:lvlJc w:val="left"/>
      <w:rPr>
        <w:rFonts w:hint="eastAsia"/>
      </w:rPr>
    </w:lvl>
  </w:abstractNum>
  <w:abstractNum w:abstractNumId="2">
    <w:nsid w:val="34E07950"/>
    <w:multiLevelType w:val="singleLevel"/>
    <w:tmpl w:val="34E07950"/>
    <w:lvl w:ilvl="0" w:tentative="0">
      <w:start w:val="8"/>
      <w:numFmt w:val="chineseCounting"/>
      <w:suff w:val="nothing"/>
      <w:lvlText w:val="%1、"/>
      <w:lvlJc w:val="left"/>
      <w:rPr>
        <w:rFonts w:hint="eastAsia"/>
      </w:rPr>
    </w:lvl>
  </w:abstractNum>
  <w:abstractNum w:abstractNumId="3">
    <w:nsid w:val="41383B55"/>
    <w:multiLevelType w:val="singleLevel"/>
    <w:tmpl w:val="41383B55"/>
    <w:lvl w:ilvl="0" w:tentative="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6F22"/>
    <w:rsid w:val="33786C97"/>
    <w:rsid w:val="37411951"/>
    <w:rsid w:val="42863302"/>
    <w:rsid w:val="45282457"/>
    <w:rsid w:val="4BC8698F"/>
    <w:rsid w:val="4D6869DE"/>
    <w:rsid w:val="603B2878"/>
    <w:rsid w:val="66BC7C67"/>
    <w:rsid w:val="6DC202DD"/>
    <w:rsid w:val="75AE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5">
    <w:name w:val="Normal (Web)"/>
    <w:unhideWhenUsed/>
    <w:qFormat/>
    <w:uiPriority w:val="99"/>
    <w:pPr>
      <w:widowControl w:val="0"/>
      <w:autoSpaceDE w:val="0"/>
      <w:autoSpaceDN w:val="0"/>
      <w:adjustRightInd w:val="0"/>
      <w:spacing w:before="100" w:beforeLines="0" w:beforeAutospacing="1" w:after="100" w:afterLines="0" w:afterAutospacing="1"/>
    </w:pPr>
    <w:rPr>
      <w:rFonts w:hint="default" w:ascii="Arial" w:hAnsi="Arial" w:eastAsia="宋体" w:cs="Times New Roman"/>
      <w:color w:val="000000"/>
      <w:sz w:val="24"/>
      <w:szCs w:val="24"/>
      <w:lang w:val="en-US" w:eastAsia="zh-CN" w:bidi="ar"/>
    </w:rPr>
  </w:style>
  <w:style w:type="character" w:styleId="8">
    <w:name w:val="page number"/>
    <w:qFormat/>
    <w:uiPriority w:val="0"/>
  </w:style>
  <w:style w:type="paragraph" w:styleId="9">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563</Words>
  <Characters>753</Characters>
  <Lines>0</Lines>
  <Paragraphs>0</Paragraphs>
  <TotalTime>103</TotalTime>
  <ScaleCrop>false</ScaleCrop>
  <LinksUpToDate>false</LinksUpToDate>
  <CharactersWithSpaces>889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2026-05-28T07:45:00Z</dcterms:created>
  <dc:creator>Administrator</dc:creator>
  <cp:lastModifiedBy>严碧琪</cp:lastModifiedBy>
  <dcterms:modified xsi:type="dcterms:W3CDTF">2026-06-16T00:53:37Z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eyJoZGlkIjoiNjgxZmIyZGM1NjlmYzFmNTczZGVkNWYyNWIwMGFjMmUiLCJ1c2VySWQiOiIyOTMyNjEyNDMifQ==</vt:lpwstr>
  </property>
  <property fmtid="{D5CDD505-2E9C-101B-9397-08002B2CF9AE}" pid="4" name="ICV">
    <vt:lpwstr>0BE51296A3EC4E10A51F1B3F56E56623_12</vt:lpwstr>
  </property>
</Properties>
</file>