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2F59">
      <w:pPr>
        <w:rPr>
          <w:rFonts w:hint="eastAsia"/>
        </w:rPr>
      </w:pPr>
    </w:p>
    <w:p w14:paraId="54349D78">
      <w:pPr>
        <w:rPr>
          <w:rFonts w:hint="eastAsia"/>
        </w:rPr>
      </w:pPr>
    </w:p>
    <w:p w14:paraId="0A41B338">
      <w:pPr>
        <w:rPr>
          <w:rFonts w:hint="eastAsia"/>
        </w:rPr>
      </w:pPr>
    </w:p>
    <w:p w14:paraId="2BEE54EA">
      <w:pPr>
        <w:rPr>
          <w:rFonts w:hint="eastAsia"/>
        </w:rPr>
      </w:pPr>
    </w:p>
    <w:p w14:paraId="097890C4">
      <w:pPr>
        <w:rPr>
          <w:rFonts w:hint="eastAsia"/>
        </w:rPr>
      </w:pPr>
    </w:p>
    <w:p w14:paraId="6E9E78CE">
      <w:pPr>
        <w:rPr>
          <w:rFonts w:hint="eastAsia"/>
        </w:rPr>
      </w:pPr>
    </w:p>
    <w:p w14:paraId="345CCDBA">
      <w:pPr>
        <w:rPr>
          <w:rFonts w:hint="eastAsia"/>
        </w:rPr>
      </w:pPr>
    </w:p>
    <w:p w14:paraId="32B7AB10">
      <w:pPr>
        <w:rPr>
          <w:rFonts w:hint="eastAsia"/>
        </w:rPr>
      </w:pPr>
    </w:p>
    <w:p w14:paraId="10065A5B">
      <w:pPr>
        <w:rPr>
          <w:rFonts w:hint="eastAsia"/>
        </w:rPr>
      </w:pPr>
    </w:p>
    <w:p w14:paraId="17212EBB">
      <w:pPr>
        <w:rPr>
          <w:rFonts w:hint="eastAsia"/>
        </w:rPr>
      </w:pPr>
    </w:p>
    <w:p w14:paraId="67F0377D">
      <w:pPr>
        <w:jc w:val="center"/>
        <w:rPr>
          <w:rFonts w:hint="eastAsia" w:ascii="微软雅黑" w:hAnsi="微软雅黑" w:eastAsia="微软雅黑" w:cs="微软雅黑"/>
          <w:sz w:val="72"/>
          <w:szCs w:val="72"/>
        </w:rPr>
      </w:pPr>
      <w:r>
        <w:rPr>
          <w:rFonts w:hint="eastAsia" w:ascii="微软雅黑" w:hAnsi="微软雅黑" w:eastAsia="微软雅黑" w:cs="微软雅黑"/>
          <w:sz w:val="72"/>
          <w:szCs w:val="72"/>
        </w:rPr>
        <w:t>岳阳市统计局2026年度</w:t>
      </w:r>
    </w:p>
    <w:p w14:paraId="70048EA3">
      <w:pPr>
        <w:jc w:val="center"/>
        <w:rPr>
          <w:rFonts w:hint="eastAsia" w:ascii="微软雅黑" w:hAnsi="微软雅黑" w:eastAsia="微软雅黑" w:cs="微软雅黑"/>
          <w:sz w:val="72"/>
          <w:szCs w:val="72"/>
        </w:rPr>
      </w:pPr>
      <w:r>
        <w:rPr>
          <w:rFonts w:hint="eastAsia" w:ascii="微软雅黑" w:hAnsi="微软雅黑" w:eastAsia="微软雅黑" w:cs="微软雅黑"/>
          <w:sz w:val="72"/>
          <w:szCs w:val="72"/>
        </w:rPr>
        <w:t>部门预算</w:t>
      </w:r>
    </w:p>
    <w:p w14:paraId="73983D2C">
      <w:pPr>
        <w:rPr>
          <w:rFonts w:hint="eastAsia"/>
        </w:rPr>
      </w:pPr>
    </w:p>
    <w:p w14:paraId="3BC9835B">
      <w:pPr>
        <w:rPr>
          <w:rFonts w:hint="eastAsia"/>
        </w:rPr>
      </w:pPr>
    </w:p>
    <w:p w14:paraId="1AA37FDD">
      <w:pPr>
        <w:rPr>
          <w:rFonts w:hint="eastAsia"/>
        </w:rPr>
      </w:pPr>
    </w:p>
    <w:p w14:paraId="1F2AA5EB">
      <w:pPr>
        <w:rPr>
          <w:rFonts w:hint="eastAsia"/>
        </w:rPr>
      </w:pPr>
    </w:p>
    <w:p w14:paraId="2143703E">
      <w:pPr>
        <w:rPr>
          <w:rFonts w:hint="eastAsia"/>
        </w:rPr>
      </w:pPr>
    </w:p>
    <w:p w14:paraId="1E5DDBA4">
      <w:pPr>
        <w:rPr>
          <w:rFonts w:hint="eastAsia"/>
        </w:rPr>
      </w:pPr>
    </w:p>
    <w:p w14:paraId="6162895A">
      <w:pPr>
        <w:rPr>
          <w:rFonts w:hint="eastAsia"/>
        </w:rPr>
      </w:pPr>
    </w:p>
    <w:p w14:paraId="33133B33">
      <w:pPr>
        <w:rPr>
          <w:rFonts w:hint="eastAsia"/>
        </w:rPr>
      </w:pPr>
    </w:p>
    <w:p w14:paraId="62BF2FFC">
      <w:pPr>
        <w:rPr>
          <w:rFonts w:hint="eastAsia"/>
        </w:rPr>
      </w:pPr>
    </w:p>
    <w:p w14:paraId="4E8671F8">
      <w:pPr>
        <w:rPr>
          <w:rFonts w:hint="eastAsia"/>
        </w:rPr>
      </w:pPr>
    </w:p>
    <w:p w14:paraId="76D6E6C5">
      <w:pPr>
        <w:rPr>
          <w:rFonts w:hint="eastAsia"/>
        </w:rPr>
      </w:pPr>
    </w:p>
    <w:p w14:paraId="5E462765">
      <w:pPr>
        <w:rPr>
          <w:rFonts w:hint="eastAsia"/>
        </w:rPr>
      </w:pPr>
    </w:p>
    <w:p w14:paraId="67740270">
      <w:pPr>
        <w:rPr>
          <w:rFonts w:hint="eastAsia"/>
        </w:rPr>
      </w:pPr>
    </w:p>
    <w:p w14:paraId="3FB4C61D">
      <w:pPr>
        <w:rPr>
          <w:rFonts w:hint="eastAsia"/>
        </w:rPr>
      </w:pPr>
    </w:p>
    <w:p w14:paraId="01CFCC0C">
      <w:pPr>
        <w:rPr>
          <w:rFonts w:hint="eastAsia"/>
        </w:rPr>
      </w:pPr>
    </w:p>
    <w:p w14:paraId="314A271C">
      <w:pPr>
        <w:rPr>
          <w:rFonts w:hint="eastAsia"/>
        </w:rPr>
      </w:pPr>
    </w:p>
    <w:p w14:paraId="1CE71FEE">
      <w:pPr>
        <w:rPr>
          <w:rFonts w:hint="eastAsia"/>
        </w:rPr>
      </w:pPr>
    </w:p>
    <w:p w14:paraId="2BF008B6">
      <w:pPr>
        <w:rPr>
          <w:rFonts w:hint="eastAsia"/>
        </w:rPr>
      </w:pPr>
    </w:p>
    <w:p w14:paraId="7EC2651D">
      <w:pPr>
        <w:rPr>
          <w:rFonts w:hint="eastAsia"/>
        </w:rPr>
      </w:pPr>
    </w:p>
    <w:p w14:paraId="02CCDE42">
      <w:pPr>
        <w:rPr>
          <w:rFonts w:hint="eastAsia"/>
        </w:rPr>
      </w:pPr>
    </w:p>
    <w:p w14:paraId="0DD6BBF5">
      <w:pPr>
        <w:rPr>
          <w:rFonts w:hint="eastAsia"/>
        </w:rPr>
      </w:pPr>
    </w:p>
    <w:p w14:paraId="12205F6D">
      <w:pPr>
        <w:rPr>
          <w:rFonts w:hint="eastAsia"/>
        </w:rPr>
      </w:pPr>
    </w:p>
    <w:p w14:paraId="7E122189">
      <w:pPr>
        <w:rPr>
          <w:rFonts w:hint="eastAsia"/>
        </w:rPr>
      </w:pPr>
    </w:p>
    <w:p w14:paraId="0E303B5C">
      <w:pPr>
        <w:rPr>
          <w:rFonts w:hint="eastAsia"/>
        </w:rPr>
      </w:pPr>
    </w:p>
    <w:p w14:paraId="2E5B5064">
      <w:pPr>
        <w:rPr>
          <w:rFonts w:hint="eastAsia"/>
        </w:rPr>
      </w:pPr>
    </w:p>
    <w:p w14:paraId="066B15D8">
      <w:pPr>
        <w:rPr>
          <w:rFonts w:hint="eastAsia"/>
        </w:rPr>
      </w:pPr>
    </w:p>
    <w:p w14:paraId="5BE133EB">
      <w:pPr>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687EFF8B">
      <w:pPr>
        <w:rPr>
          <w:rFonts w:hint="eastAsia" w:ascii="仿宋" w:hAnsi="仿宋" w:eastAsia="仿宋" w:cs="仿宋"/>
          <w:sz w:val="32"/>
          <w:szCs w:val="32"/>
        </w:rPr>
      </w:pPr>
    </w:p>
    <w:p w14:paraId="77403E77">
      <w:pPr>
        <w:rPr>
          <w:rFonts w:hint="eastAsia" w:ascii="仿宋" w:hAnsi="仿宋" w:eastAsia="仿宋" w:cs="仿宋"/>
          <w:sz w:val="32"/>
          <w:szCs w:val="32"/>
        </w:rPr>
      </w:pPr>
      <w:r>
        <w:rPr>
          <w:rFonts w:hint="eastAsia" w:ascii="仿宋" w:hAnsi="仿宋" w:eastAsia="仿宋" w:cs="仿宋"/>
          <w:sz w:val="32"/>
          <w:szCs w:val="32"/>
        </w:rPr>
        <w:t>第一部分  2026年部门预算说明</w:t>
      </w:r>
    </w:p>
    <w:p w14:paraId="1A1A2B1A">
      <w:pPr>
        <w:rPr>
          <w:rFonts w:hint="eastAsia" w:ascii="仿宋" w:hAnsi="仿宋" w:eastAsia="仿宋" w:cs="仿宋"/>
          <w:sz w:val="32"/>
          <w:szCs w:val="32"/>
        </w:rPr>
      </w:pPr>
      <w:r>
        <w:rPr>
          <w:rFonts w:hint="eastAsia" w:ascii="仿宋" w:hAnsi="仿宋" w:eastAsia="仿宋" w:cs="仿宋"/>
          <w:sz w:val="32"/>
          <w:szCs w:val="32"/>
        </w:rPr>
        <w:t>第二部分  2026年部门预算公开表格</w:t>
      </w:r>
    </w:p>
    <w:p w14:paraId="425C45FC">
      <w:pPr>
        <w:rPr>
          <w:rFonts w:hint="eastAsia" w:ascii="仿宋" w:hAnsi="仿宋" w:eastAsia="仿宋" w:cs="仿宋"/>
          <w:sz w:val="32"/>
          <w:szCs w:val="32"/>
        </w:rPr>
      </w:pPr>
      <w:r>
        <w:rPr>
          <w:rFonts w:hint="eastAsia" w:ascii="仿宋" w:hAnsi="仿宋" w:eastAsia="仿宋" w:cs="仿宋"/>
          <w:sz w:val="32"/>
          <w:szCs w:val="32"/>
        </w:rPr>
        <w:t>1、收支总表</w:t>
      </w:r>
    </w:p>
    <w:p w14:paraId="51E9CE7A">
      <w:pPr>
        <w:rPr>
          <w:rFonts w:hint="eastAsia" w:ascii="仿宋" w:hAnsi="仿宋" w:eastAsia="仿宋" w:cs="仿宋"/>
          <w:sz w:val="32"/>
          <w:szCs w:val="32"/>
        </w:rPr>
      </w:pPr>
      <w:r>
        <w:rPr>
          <w:rFonts w:hint="eastAsia" w:ascii="仿宋" w:hAnsi="仿宋" w:eastAsia="仿宋" w:cs="仿宋"/>
          <w:sz w:val="32"/>
          <w:szCs w:val="32"/>
        </w:rPr>
        <w:t>2、收入总表</w:t>
      </w:r>
    </w:p>
    <w:p w14:paraId="3F9A6C65">
      <w:pPr>
        <w:rPr>
          <w:rFonts w:hint="eastAsia" w:ascii="仿宋" w:hAnsi="仿宋" w:eastAsia="仿宋" w:cs="仿宋"/>
          <w:sz w:val="32"/>
          <w:szCs w:val="32"/>
        </w:rPr>
      </w:pPr>
      <w:r>
        <w:rPr>
          <w:rFonts w:hint="eastAsia" w:ascii="仿宋" w:hAnsi="仿宋" w:eastAsia="仿宋" w:cs="仿宋"/>
          <w:sz w:val="32"/>
          <w:szCs w:val="32"/>
        </w:rPr>
        <w:t>3、支出总表</w:t>
      </w:r>
    </w:p>
    <w:p w14:paraId="2A0879F5">
      <w:pPr>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31E892C3">
      <w:pPr>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16B5E85B">
      <w:pPr>
        <w:rPr>
          <w:rFonts w:hint="eastAsia" w:ascii="仿宋" w:hAnsi="仿宋" w:eastAsia="仿宋" w:cs="仿宋"/>
          <w:sz w:val="32"/>
          <w:szCs w:val="32"/>
        </w:rPr>
      </w:pPr>
      <w:r>
        <w:rPr>
          <w:rFonts w:hint="eastAsia" w:ascii="仿宋" w:hAnsi="仿宋" w:eastAsia="仿宋" w:cs="仿宋"/>
          <w:sz w:val="32"/>
          <w:szCs w:val="32"/>
        </w:rPr>
        <w:t>6、财政拨款收支总表</w:t>
      </w:r>
    </w:p>
    <w:p w14:paraId="0212A3FC">
      <w:pPr>
        <w:rPr>
          <w:rFonts w:hint="eastAsia" w:ascii="仿宋" w:hAnsi="仿宋" w:eastAsia="仿宋" w:cs="仿宋"/>
          <w:sz w:val="32"/>
          <w:szCs w:val="32"/>
        </w:rPr>
      </w:pPr>
      <w:r>
        <w:rPr>
          <w:rFonts w:hint="eastAsia" w:ascii="仿宋" w:hAnsi="仿宋" w:eastAsia="仿宋" w:cs="仿宋"/>
          <w:sz w:val="32"/>
          <w:szCs w:val="32"/>
        </w:rPr>
        <w:t>7、一般公共预算支出表</w:t>
      </w:r>
    </w:p>
    <w:p w14:paraId="6255EE13">
      <w:pPr>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5B3061F7">
      <w:pPr>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565F48CD">
      <w:pPr>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5242E2EE">
      <w:pPr>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4C5DF92D">
      <w:pPr>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03137316">
      <w:pPr>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3E14B0FC">
      <w:pPr>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7FA51BA6">
      <w:pPr>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783A908C">
      <w:pPr>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25D6EA0C">
      <w:pPr>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1B847D59">
      <w:pPr>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2C8C26F1">
      <w:pPr>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015DD7AF">
      <w:pPr>
        <w:rPr>
          <w:rFonts w:hint="eastAsia" w:ascii="仿宋" w:hAnsi="仿宋" w:eastAsia="仿宋" w:cs="仿宋"/>
          <w:sz w:val="32"/>
          <w:szCs w:val="32"/>
        </w:rPr>
      </w:pPr>
      <w:r>
        <w:rPr>
          <w:rFonts w:hint="eastAsia" w:ascii="仿宋" w:hAnsi="仿宋" w:eastAsia="仿宋" w:cs="仿宋"/>
          <w:sz w:val="32"/>
          <w:szCs w:val="32"/>
        </w:rPr>
        <w:t>20、专项资金预算汇总表</w:t>
      </w:r>
    </w:p>
    <w:p w14:paraId="2DD76C86">
      <w:pPr>
        <w:rPr>
          <w:rFonts w:hint="eastAsia" w:ascii="仿宋" w:hAnsi="仿宋" w:eastAsia="仿宋" w:cs="仿宋"/>
          <w:sz w:val="32"/>
          <w:szCs w:val="32"/>
        </w:rPr>
      </w:pPr>
      <w:r>
        <w:rPr>
          <w:rFonts w:hint="eastAsia" w:ascii="仿宋" w:hAnsi="仿宋" w:eastAsia="仿宋" w:cs="仿宋"/>
          <w:sz w:val="32"/>
          <w:szCs w:val="32"/>
        </w:rPr>
        <w:t>21、项目支出绩效目标表</w:t>
      </w:r>
    </w:p>
    <w:p w14:paraId="10F30759">
      <w:pPr>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568405EC">
      <w:pPr>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094F7A80">
      <w:pPr>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p w14:paraId="6EAE5E05">
      <w:pPr>
        <w:rPr>
          <w:rFonts w:hint="eastAsia" w:ascii="仿宋" w:hAnsi="仿宋" w:eastAsia="仿宋" w:cs="仿宋"/>
          <w:sz w:val="32"/>
          <w:szCs w:val="32"/>
        </w:rPr>
      </w:pPr>
    </w:p>
    <w:p w14:paraId="2E44DEAE">
      <w:pPr>
        <w:rPr>
          <w:rFonts w:hint="eastAsia" w:ascii="仿宋" w:hAnsi="仿宋" w:eastAsia="仿宋" w:cs="仿宋"/>
          <w:sz w:val="32"/>
          <w:szCs w:val="32"/>
        </w:rPr>
      </w:pPr>
    </w:p>
    <w:p w14:paraId="0BE3C7CC">
      <w:pPr>
        <w:rPr>
          <w:rFonts w:hint="eastAsia" w:ascii="仿宋" w:hAnsi="仿宋" w:eastAsia="仿宋" w:cs="仿宋"/>
          <w:sz w:val="32"/>
          <w:szCs w:val="32"/>
        </w:rPr>
      </w:pPr>
    </w:p>
    <w:p w14:paraId="23FAF5AD">
      <w:pPr>
        <w:rPr>
          <w:rFonts w:hint="eastAsia" w:ascii="仿宋" w:hAnsi="仿宋" w:eastAsia="仿宋" w:cs="仿宋"/>
          <w:sz w:val="32"/>
          <w:szCs w:val="32"/>
        </w:rPr>
      </w:pPr>
    </w:p>
    <w:p w14:paraId="21472929">
      <w:pPr>
        <w:rPr>
          <w:rFonts w:hint="eastAsia" w:ascii="仿宋" w:hAnsi="仿宋" w:eastAsia="仿宋" w:cs="仿宋"/>
          <w:sz w:val="32"/>
          <w:szCs w:val="32"/>
        </w:rPr>
      </w:pPr>
    </w:p>
    <w:p w14:paraId="00553D37">
      <w:pPr>
        <w:rPr>
          <w:rFonts w:hint="eastAsia" w:ascii="仿宋" w:hAnsi="仿宋" w:eastAsia="仿宋" w:cs="仿宋"/>
          <w:sz w:val="32"/>
          <w:szCs w:val="32"/>
        </w:rPr>
      </w:pPr>
    </w:p>
    <w:p w14:paraId="32F97F7B">
      <w:pPr>
        <w:rPr>
          <w:rFonts w:hint="eastAsia" w:ascii="仿宋" w:hAnsi="仿宋" w:eastAsia="仿宋" w:cs="仿宋"/>
          <w:sz w:val="32"/>
          <w:szCs w:val="32"/>
        </w:rPr>
      </w:pPr>
    </w:p>
    <w:p w14:paraId="6780F911">
      <w:pPr>
        <w:rPr>
          <w:rFonts w:hint="eastAsia" w:ascii="仿宋" w:hAnsi="仿宋" w:eastAsia="仿宋" w:cs="仿宋"/>
          <w:sz w:val="32"/>
          <w:szCs w:val="32"/>
        </w:rPr>
      </w:pPr>
    </w:p>
    <w:p w14:paraId="43BE80CE">
      <w:pPr>
        <w:rPr>
          <w:rFonts w:hint="eastAsia" w:ascii="仿宋" w:hAnsi="仿宋" w:eastAsia="仿宋" w:cs="仿宋"/>
          <w:sz w:val="32"/>
          <w:szCs w:val="32"/>
        </w:rPr>
      </w:pPr>
    </w:p>
    <w:p w14:paraId="6C7E7C4F">
      <w:pPr>
        <w:jc w:val="center"/>
        <w:rPr>
          <w:rFonts w:hint="eastAsia" w:ascii="仿宋" w:hAnsi="仿宋" w:eastAsia="仿宋" w:cs="仿宋"/>
          <w:sz w:val="32"/>
          <w:szCs w:val="32"/>
        </w:rPr>
      </w:pPr>
      <w:r>
        <w:rPr>
          <w:rFonts w:hint="eastAsia" w:ascii="仿宋" w:hAnsi="仿宋" w:eastAsia="仿宋" w:cs="仿宋"/>
          <w:sz w:val="32"/>
          <w:szCs w:val="32"/>
        </w:rPr>
        <w:t>第一部分  2026年部门预算说明</w:t>
      </w:r>
    </w:p>
    <w:p w14:paraId="5B6F2655">
      <w:pPr>
        <w:ind w:firstLine="640" w:firstLineChars="200"/>
        <w:rPr>
          <w:rFonts w:hint="eastAsia" w:ascii="仿宋" w:hAnsi="仿宋" w:eastAsia="仿宋" w:cs="仿宋"/>
          <w:sz w:val="32"/>
          <w:szCs w:val="32"/>
        </w:rPr>
      </w:pPr>
      <w:r>
        <w:rPr>
          <w:rFonts w:hint="eastAsia" w:ascii="仿宋" w:hAnsi="仿宋" w:eastAsia="仿宋" w:cs="仿宋"/>
          <w:sz w:val="32"/>
          <w:szCs w:val="32"/>
        </w:rPr>
        <w:t>一、部门基本概况</w:t>
      </w:r>
    </w:p>
    <w:p w14:paraId="7E3C0AA7">
      <w:pPr>
        <w:ind w:firstLine="640" w:firstLineChars="200"/>
        <w:rPr>
          <w:rFonts w:hint="eastAsia" w:ascii="仿宋" w:hAnsi="仿宋" w:eastAsia="仿宋" w:cs="仿宋"/>
          <w:sz w:val="32"/>
          <w:szCs w:val="32"/>
        </w:rPr>
      </w:pPr>
      <w:r>
        <w:rPr>
          <w:rFonts w:hint="eastAsia" w:ascii="仿宋" w:hAnsi="仿宋" w:eastAsia="仿宋" w:cs="仿宋"/>
          <w:sz w:val="32"/>
          <w:szCs w:val="32"/>
        </w:rPr>
        <w:t>（一）职能职责</w:t>
      </w:r>
    </w:p>
    <w:p w14:paraId="6F632E3B">
      <w:pPr>
        <w:ind w:firstLine="640" w:firstLineChars="200"/>
        <w:rPr>
          <w:rFonts w:hint="eastAsia" w:ascii="仿宋" w:hAnsi="仿宋" w:eastAsia="仿宋" w:cs="仿宋"/>
          <w:sz w:val="32"/>
          <w:szCs w:val="32"/>
        </w:rPr>
      </w:pPr>
      <w:r>
        <w:rPr>
          <w:rFonts w:hint="eastAsia" w:ascii="仿宋" w:hAnsi="仿宋" w:eastAsia="仿宋" w:cs="仿宋"/>
          <w:sz w:val="32"/>
          <w:szCs w:val="32"/>
        </w:rPr>
        <w:t>1、贯彻执行国家、省统计工作的方针、政策和统计法律、法规，完成国家、省统计调查任务;检查监督统计法规的实施情况，查处各类统计违法行为。</w:t>
      </w:r>
    </w:p>
    <w:p w14:paraId="16E726A1">
      <w:pPr>
        <w:ind w:firstLine="640" w:firstLineChars="200"/>
        <w:rPr>
          <w:rFonts w:hint="eastAsia" w:ascii="仿宋" w:hAnsi="仿宋" w:eastAsia="仿宋" w:cs="仿宋"/>
          <w:sz w:val="32"/>
          <w:szCs w:val="32"/>
        </w:rPr>
      </w:pPr>
      <w:r>
        <w:rPr>
          <w:rFonts w:hint="eastAsia" w:ascii="仿宋" w:hAnsi="仿宋" w:eastAsia="仿宋" w:cs="仿宋"/>
          <w:sz w:val="32"/>
          <w:szCs w:val="32"/>
        </w:rPr>
        <w:t>2、制定并组织实施全市统计改革和统计现代化建设规划及统计调查计划;建立健全全市国民经济核算体系和统计指标体系。</w:t>
      </w:r>
    </w:p>
    <w:p w14:paraId="2163081E">
      <w:pPr>
        <w:ind w:firstLine="640" w:firstLineChars="200"/>
        <w:rPr>
          <w:rFonts w:hint="eastAsia" w:ascii="仿宋" w:hAnsi="仿宋" w:eastAsia="仿宋" w:cs="仿宋"/>
          <w:sz w:val="32"/>
          <w:szCs w:val="32"/>
        </w:rPr>
      </w:pPr>
      <w:r>
        <w:rPr>
          <w:rFonts w:hint="eastAsia" w:ascii="仿宋" w:hAnsi="仿宋" w:eastAsia="仿宋" w:cs="仿宋"/>
          <w:sz w:val="32"/>
          <w:szCs w:val="32"/>
        </w:rPr>
        <w:t>3、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07115E5">
      <w:pPr>
        <w:ind w:firstLine="640" w:firstLineChars="200"/>
        <w:rPr>
          <w:rFonts w:hint="eastAsia" w:ascii="仿宋" w:hAnsi="仿宋" w:eastAsia="仿宋" w:cs="仿宋"/>
          <w:sz w:val="32"/>
          <w:szCs w:val="32"/>
        </w:rPr>
      </w:pPr>
      <w:r>
        <w:rPr>
          <w:rFonts w:hint="eastAsia" w:ascii="仿宋" w:hAnsi="仿宋" w:eastAsia="仿宋" w:cs="仿宋"/>
          <w:sz w:val="32"/>
          <w:szCs w:val="32"/>
        </w:rPr>
        <w:t>4、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5ED8E141">
      <w:pPr>
        <w:ind w:firstLine="640" w:firstLineChars="200"/>
        <w:rPr>
          <w:rFonts w:hint="eastAsia" w:ascii="仿宋" w:hAnsi="仿宋" w:eastAsia="仿宋" w:cs="仿宋"/>
          <w:sz w:val="32"/>
          <w:szCs w:val="32"/>
        </w:rPr>
      </w:pPr>
      <w:r>
        <w:rPr>
          <w:rFonts w:hint="eastAsia" w:ascii="仿宋" w:hAnsi="仿宋" w:eastAsia="仿宋" w:cs="仿宋"/>
          <w:sz w:val="32"/>
          <w:szCs w:val="32"/>
        </w:rPr>
        <w:t>5、统一核定、管理、公布全市经济、社会、科技的基本统计资料，定期发布全市国民经济和社会发展情况统计公报以及有关普查和专项调查公报;发布社会经济统计信息。</w:t>
      </w:r>
    </w:p>
    <w:p w14:paraId="695A45F5">
      <w:pPr>
        <w:ind w:firstLine="640" w:firstLineChars="200"/>
        <w:rPr>
          <w:rFonts w:hint="eastAsia" w:ascii="仿宋" w:hAnsi="仿宋" w:eastAsia="仿宋" w:cs="仿宋"/>
          <w:sz w:val="32"/>
          <w:szCs w:val="32"/>
        </w:rPr>
      </w:pPr>
      <w:r>
        <w:rPr>
          <w:rFonts w:hint="eastAsia" w:ascii="仿宋" w:hAnsi="仿宋" w:eastAsia="仿宋" w:cs="仿宋"/>
          <w:sz w:val="32"/>
          <w:szCs w:val="32"/>
        </w:rPr>
        <w:t>6、建立健全和管理全市统计信息自动化系统和统计数据库体系;指导各基层单位加强统计基础建设。</w:t>
      </w:r>
    </w:p>
    <w:p w14:paraId="66B716F3">
      <w:pPr>
        <w:ind w:firstLine="640" w:firstLineChars="200"/>
        <w:rPr>
          <w:rFonts w:hint="eastAsia" w:ascii="仿宋" w:hAnsi="仿宋" w:eastAsia="仿宋" w:cs="仿宋"/>
          <w:sz w:val="32"/>
          <w:szCs w:val="32"/>
        </w:rPr>
      </w:pPr>
      <w:r>
        <w:rPr>
          <w:rFonts w:hint="eastAsia" w:ascii="仿宋" w:hAnsi="仿宋" w:eastAsia="仿宋" w:cs="仿宋"/>
          <w:sz w:val="32"/>
          <w:szCs w:val="32"/>
        </w:rPr>
        <w:t>7、协助有关部门承办全市统计技术资格考试和职称评审有关工作;组织指导全市统计科研、统计教育、统计宣传工作。</w:t>
      </w:r>
    </w:p>
    <w:p w14:paraId="2A3F9B2A">
      <w:pPr>
        <w:ind w:firstLine="640" w:firstLineChars="200"/>
        <w:rPr>
          <w:rFonts w:hint="eastAsia" w:ascii="仿宋" w:hAnsi="仿宋" w:eastAsia="仿宋" w:cs="仿宋"/>
          <w:sz w:val="32"/>
          <w:szCs w:val="32"/>
        </w:rPr>
      </w:pPr>
      <w:r>
        <w:rPr>
          <w:rFonts w:hint="eastAsia" w:ascii="仿宋" w:hAnsi="仿宋" w:eastAsia="仿宋" w:cs="仿宋"/>
          <w:sz w:val="32"/>
          <w:szCs w:val="32"/>
        </w:rPr>
        <w:t>8、负责统一管理全市民情民意调查工作；做好调查方案的设计工作，组织好每一项调查任务的完成，并写出调查分析报告。</w:t>
      </w:r>
    </w:p>
    <w:p w14:paraId="3E7081AC">
      <w:pPr>
        <w:ind w:firstLine="640" w:firstLineChars="200"/>
        <w:rPr>
          <w:rFonts w:hint="eastAsia" w:ascii="仿宋" w:hAnsi="仿宋" w:eastAsia="仿宋" w:cs="仿宋"/>
          <w:sz w:val="32"/>
          <w:szCs w:val="32"/>
        </w:rPr>
      </w:pPr>
      <w:r>
        <w:rPr>
          <w:rFonts w:hint="eastAsia" w:ascii="仿宋" w:hAnsi="仿宋" w:eastAsia="仿宋" w:cs="仿宋"/>
          <w:sz w:val="32"/>
          <w:szCs w:val="32"/>
        </w:rPr>
        <w:t>9、承办市委、市人民政府和上级主管部门交办的其他事项。</w:t>
      </w:r>
    </w:p>
    <w:p w14:paraId="47A8C99C">
      <w:pPr>
        <w:rPr>
          <w:rFonts w:hint="eastAsia" w:ascii="仿宋" w:hAnsi="仿宋" w:eastAsia="仿宋" w:cs="仿宋"/>
          <w:sz w:val="32"/>
          <w:szCs w:val="32"/>
        </w:rPr>
      </w:pPr>
      <w:r>
        <w:rPr>
          <w:rFonts w:hint="eastAsia" w:ascii="仿宋" w:hAnsi="仿宋" w:eastAsia="仿宋" w:cs="仿宋"/>
          <w:sz w:val="32"/>
          <w:szCs w:val="32"/>
        </w:rPr>
        <w:t xml:space="preserve">  （二）机构设置</w:t>
      </w:r>
    </w:p>
    <w:p w14:paraId="290262DC">
      <w:pPr>
        <w:ind w:firstLine="640" w:firstLineChars="200"/>
        <w:rPr>
          <w:rFonts w:hint="eastAsia" w:ascii="仿宋" w:hAnsi="仿宋" w:eastAsia="仿宋" w:cs="仿宋"/>
          <w:sz w:val="32"/>
          <w:szCs w:val="32"/>
        </w:rPr>
      </w:pPr>
      <w:r>
        <w:rPr>
          <w:rFonts w:hint="eastAsia" w:ascii="仿宋" w:hAnsi="仿宋" w:eastAsia="仿宋" w:cs="仿宋"/>
          <w:sz w:val="32"/>
          <w:szCs w:val="32"/>
        </w:rPr>
        <w:t>根据编委核定，本部门内设机构有11个，所属事业单位3个。全部纳入202</w:t>
      </w:r>
      <w:r>
        <w:rPr>
          <w:rFonts w:hint="eastAsia" w:ascii="仿宋" w:hAnsi="仿宋" w:eastAsia="仿宋" w:cs="仿宋"/>
          <w:sz w:val="32"/>
          <w:szCs w:val="32"/>
          <w:lang w:val="en-US" w:eastAsia="zh-CN"/>
        </w:rPr>
        <w:t>6</w:t>
      </w:r>
      <w:r>
        <w:rPr>
          <w:rFonts w:hint="eastAsia" w:ascii="仿宋" w:hAnsi="仿宋" w:eastAsia="仿宋" w:cs="仿宋"/>
          <w:sz w:val="32"/>
          <w:szCs w:val="32"/>
        </w:rPr>
        <w:t>年部门预算编制范围。</w:t>
      </w:r>
    </w:p>
    <w:p w14:paraId="1144E784">
      <w:pPr>
        <w:ind w:firstLine="640" w:firstLineChars="200"/>
        <w:rPr>
          <w:rFonts w:hint="eastAsia" w:ascii="仿宋" w:hAnsi="仿宋" w:eastAsia="仿宋" w:cs="仿宋"/>
          <w:sz w:val="32"/>
          <w:szCs w:val="32"/>
        </w:rPr>
      </w:pPr>
      <w:r>
        <w:rPr>
          <w:rFonts w:hint="eastAsia" w:ascii="仿宋" w:hAnsi="仿宋" w:eastAsia="仿宋" w:cs="仿宋"/>
          <w:sz w:val="32"/>
          <w:szCs w:val="32"/>
        </w:rPr>
        <w:t>内设科室分别是：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w:t>
      </w:r>
    </w:p>
    <w:p w14:paraId="75822A23">
      <w:pPr>
        <w:ind w:firstLine="640" w:firstLineChars="200"/>
        <w:rPr>
          <w:rFonts w:hint="eastAsia" w:ascii="仿宋" w:hAnsi="仿宋" w:eastAsia="仿宋" w:cs="仿宋"/>
          <w:sz w:val="32"/>
          <w:szCs w:val="32"/>
        </w:rPr>
      </w:pPr>
      <w:r>
        <w:rPr>
          <w:rFonts w:hint="eastAsia" w:ascii="仿宋" w:hAnsi="仿宋" w:eastAsia="仿宋" w:cs="仿宋"/>
          <w:sz w:val="32"/>
          <w:szCs w:val="32"/>
        </w:rPr>
        <w:t>所属事业单位分别是：统计局民调中心、统计局信息处理中心、岳阳市农村抽样调查队。</w:t>
      </w:r>
    </w:p>
    <w:p w14:paraId="57F11099">
      <w:pPr>
        <w:ind w:firstLine="640" w:firstLineChars="200"/>
        <w:rPr>
          <w:rFonts w:hint="eastAsia" w:ascii="仿宋" w:hAnsi="仿宋" w:eastAsia="仿宋" w:cs="仿宋"/>
          <w:sz w:val="32"/>
          <w:szCs w:val="32"/>
        </w:rPr>
      </w:pPr>
      <w:r>
        <w:rPr>
          <w:rFonts w:hint="eastAsia" w:ascii="仿宋" w:hAnsi="仿宋" w:eastAsia="仿宋" w:cs="仿宋"/>
          <w:sz w:val="32"/>
          <w:szCs w:val="32"/>
        </w:rPr>
        <w:t>根据编委核定，本部门编制人数54人，在职实有人数50人，其中，行政编人数24人，参公事业编人数7人，事业编人数19人。退休人数41人。</w:t>
      </w:r>
    </w:p>
    <w:p w14:paraId="050E81D5">
      <w:pPr>
        <w:ind w:firstLine="640" w:firstLineChars="200"/>
        <w:rPr>
          <w:rFonts w:hint="eastAsia" w:ascii="仿宋" w:hAnsi="仿宋" w:eastAsia="仿宋" w:cs="仿宋"/>
          <w:sz w:val="32"/>
          <w:szCs w:val="32"/>
        </w:rPr>
      </w:pPr>
      <w:r>
        <w:rPr>
          <w:rFonts w:hint="eastAsia" w:ascii="仿宋" w:hAnsi="仿宋" w:eastAsia="仿宋" w:cs="仿宋"/>
          <w:sz w:val="32"/>
          <w:szCs w:val="32"/>
        </w:rPr>
        <w:t>二、部门预算构成</w:t>
      </w:r>
    </w:p>
    <w:p w14:paraId="039E2201">
      <w:pPr>
        <w:ind w:firstLine="640" w:firstLineChars="200"/>
        <w:rPr>
          <w:rFonts w:hint="eastAsia" w:ascii="仿宋" w:hAnsi="仿宋" w:eastAsia="仿宋" w:cs="仿宋"/>
          <w:sz w:val="32"/>
          <w:szCs w:val="32"/>
        </w:rPr>
      </w:pPr>
      <w:r>
        <w:rPr>
          <w:rFonts w:hint="eastAsia" w:ascii="仿宋" w:hAnsi="仿宋" w:eastAsia="仿宋" w:cs="仿宋"/>
          <w:sz w:val="32"/>
          <w:szCs w:val="32"/>
        </w:rPr>
        <w:t>本部门预算为汇总预算，纳入编制范围的预算单位包括：</w:t>
      </w:r>
    </w:p>
    <w:p w14:paraId="048159F8">
      <w:pPr>
        <w:ind w:firstLine="640" w:firstLineChars="200"/>
        <w:rPr>
          <w:rFonts w:hint="eastAsia" w:ascii="仿宋" w:hAnsi="仿宋" w:eastAsia="仿宋" w:cs="仿宋"/>
          <w:sz w:val="32"/>
          <w:szCs w:val="32"/>
        </w:rPr>
      </w:pPr>
      <w:r>
        <w:rPr>
          <w:rFonts w:hint="eastAsia" w:ascii="仿宋" w:hAnsi="仿宋" w:eastAsia="仿宋" w:cs="仿宋"/>
          <w:sz w:val="32"/>
          <w:szCs w:val="32"/>
        </w:rPr>
        <w:t>1、岳阳市统计局本级</w:t>
      </w:r>
    </w:p>
    <w:p w14:paraId="14426F83">
      <w:pPr>
        <w:ind w:firstLine="640" w:firstLineChars="200"/>
        <w:rPr>
          <w:rFonts w:hint="eastAsia" w:ascii="仿宋" w:hAnsi="仿宋" w:eastAsia="仿宋" w:cs="仿宋"/>
          <w:sz w:val="32"/>
          <w:szCs w:val="32"/>
        </w:rPr>
      </w:pPr>
      <w:r>
        <w:rPr>
          <w:rFonts w:hint="eastAsia" w:ascii="仿宋" w:hAnsi="仿宋" w:eastAsia="仿宋" w:cs="仿宋"/>
          <w:sz w:val="32"/>
          <w:szCs w:val="32"/>
        </w:rPr>
        <w:t>2、统计局民调中心、统计局信息处理中心、岳阳市农村抽样调查队。二级机构财务未独立核算，人员经费与办公经费一并列入局机关预算。</w:t>
      </w:r>
    </w:p>
    <w:p w14:paraId="6F4C1BF1">
      <w:pPr>
        <w:ind w:firstLine="640" w:firstLineChars="200"/>
        <w:rPr>
          <w:rFonts w:hint="eastAsia" w:ascii="仿宋" w:hAnsi="仿宋" w:eastAsia="仿宋" w:cs="仿宋"/>
          <w:sz w:val="32"/>
          <w:szCs w:val="32"/>
        </w:rPr>
      </w:pPr>
      <w:r>
        <w:rPr>
          <w:rFonts w:hint="eastAsia" w:ascii="仿宋" w:hAnsi="仿宋" w:eastAsia="仿宋" w:cs="仿宋"/>
          <w:sz w:val="32"/>
          <w:szCs w:val="32"/>
        </w:rPr>
        <w:t>三、部门收支总体情况</w:t>
      </w:r>
    </w:p>
    <w:p w14:paraId="274C9FB4">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39484BC5">
      <w:pPr>
        <w:ind w:firstLine="640" w:firstLineChars="200"/>
        <w:rPr>
          <w:rFonts w:hint="eastAsia" w:ascii="仿宋" w:hAnsi="仿宋" w:eastAsia="仿宋" w:cs="仿宋"/>
          <w:sz w:val="32"/>
          <w:szCs w:val="32"/>
        </w:rPr>
      </w:pPr>
      <w:r>
        <w:rPr>
          <w:rFonts w:hint="eastAsia" w:ascii="仿宋" w:hAnsi="仿宋" w:eastAsia="仿宋" w:cs="仿宋"/>
          <w:sz w:val="32"/>
          <w:szCs w:val="32"/>
        </w:rPr>
        <w:t>（一）收入预算</w:t>
      </w:r>
    </w:p>
    <w:p w14:paraId="3E5BC7CF">
      <w:pPr>
        <w:ind w:firstLine="640" w:firstLineChars="200"/>
        <w:rPr>
          <w:rFonts w:hint="eastAsia" w:ascii="仿宋" w:hAnsi="仿宋" w:eastAsia="仿宋" w:cs="仿宋"/>
          <w:sz w:val="32"/>
          <w:szCs w:val="32"/>
        </w:rPr>
      </w:pPr>
      <w:r>
        <w:rPr>
          <w:rFonts w:hint="eastAsia" w:ascii="仿宋" w:hAnsi="仿宋" w:eastAsia="仿宋" w:cs="仿宋"/>
          <w:sz w:val="32"/>
          <w:szCs w:val="32"/>
        </w:rPr>
        <w:t>包括一般公共预算、政府性基金、国有资本经营预算等财政拨款收入，以及经营收入、事业收入等单位资金。2026年度本部门收入预算1107.21万元，其中，一般公共预算拨款1107.21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2026年收入较去年增加0.3万元，上升0.03%，主要是因为一是</w:t>
      </w:r>
      <w:r>
        <w:rPr>
          <w:rFonts w:hint="eastAsia" w:ascii="仿宋" w:hAnsi="仿宋" w:eastAsia="仿宋" w:cs="仿宋"/>
          <w:sz w:val="32"/>
          <w:szCs w:val="32"/>
          <w:lang w:eastAsia="zh-CN"/>
        </w:rPr>
        <w:t>工资提标</w:t>
      </w:r>
      <w:r>
        <w:rPr>
          <w:rFonts w:hint="eastAsia" w:ascii="仿宋" w:hAnsi="仿宋" w:eastAsia="仿宋" w:cs="仿宋"/>
          <w:sz w:val="32"/>
          <w:szCs w:val="32"/>
        </w:rPr>
        <w:t>，人员经费总额</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人均公用经费增加，</w:t>
      </w:r>
      <w:r>
        <w:rPr>
          <w:rFonts w:hint="eastAsia" w:ascii="仿宋" w:hAnsi="仿宋" w:eastAsia="仿宋" w:cs="仿宋"/>
          <w:sz w:val="32"/>
          <w:szCs w:val="32"/>
        </w:rPr>
        <w:t>二是压减项目经费。</w:t>
      </w:r>
    </w:p>
    <w:p w14:paraId="3DF92E37">
      <w:pPr>
        <w:ind w:firstLine="640" w:firstLineChars="200"/>
        <w:rPr>
          <w:rFonts w:hint="eastAsia" w:ascii="仿宋" w:hAnsi="仿宋" w:eastAsia="仿宋" w:cs="仿宋"/>
          <w:sz w:val="32"/>
          <w:szCs w:val="32"/>
        </w:rPr>
      </w:pPr>
      <w:r>
        <w:rPr>
          <w:rFonts w:hint="eastAsia" w:ascii="仿宋" w:hAnsi="仿宋" w:eastAsia="仿宋" w:cs="仿宋"/>
          <w:sz w:val="32"/>
          <w:szCs w:val="32"/>
        </w:rPr>
        <w:t>（二）支出预算</w:t>
      </w:r>
    </w:p>
    <w:p w14:paraId="7F672E39">
      <w:pPr>
        <w:ind w:firstLine="640" w:firstLineChars="200"/>
        <w:rPr>
          <w:rFonts w:hint="eastAsia" w:ascii="仿宋" w:hAnsi="仿宋" w:eastAsia="仿宋" w:cs="仿宋"/>
          <w:sz w:val="32"/>
          <w:szCs w:val="32"/>
        </w:rPr>
      </w:pPr>
      <w:r>
        <w:rPr>
          <w:rFonts w:hint="eastAsia" w:ascii="仿宋" w:hAnsi="仿宋" w:eastAsia="仿宋" w:cs="仿宋"/>
          <w:sz w:val="32"/>
          <w:szCs w:val="32"/>
        </w:rPr>
        <w:t>2026年本部门支出预算1107.21万元，其中，201一般公共服务支出925.16万元，208社会保障和就业支出86.73万元，210卫生健康支出39.22万元，221住房保障支出56.10万元，支出较去年增加0.3万元，上升0.03%，主要是因为一是</w:t>
      </w:r>
      <w:r>
        <w:rPr>
          <w:rFonts w:hint="eastAsia" w:ascii="仿宋" w:hAnsi="仿宋" w:eastAsia="仿宋" w:cs="仿宋"/>
          <w:sz w:val="32"/>
          <w:szCs w:val="32"/>
          <w:lang w:eastAsia="zh-CN"/>
        </w:rPr>
        <w:t>工资提标</w:t>
      </w:r>
      <w:r>
        <w:rPr>
          <w:rFonts w:hint="eastAsia" w:ascii="仿宋" w:hAnsi="仿宋" w:eastAsia="仿宋" w:cs="仿宋"/>
          <w:sz w:val="32"/>
          <w:szCs w:val="32"/>
        </w:rPr>
        <w:t>，人员经费总额</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人均公用经费增加，</w:t>
      </w:r>
      <w:r>
        <w:rPr>
          <w:rFonts w:hint="eastAsia" w:ascii="仿宋" w:hAnsi="仿宋" w:eastAsia="仿宋" w:cs="仿宋"/>
          <w:sz w:val="32"/>
          <w:szCs w:val="32"/>
        </w:rPr>
        <w:t>二是压减项目经费。</w:t>
      </w:r>
    </w:p>
    <w:p w14:paraId="7C899485">
      <w:pPr>
        <w:ind w:firstLine="640" w:firstLineChars="200"/>
        <w:rPr>
          <w:rFonts w:hint="eastAsia" w:ascii="仿宋" w:hAnsi="仿宋" w:eastAsia="仿宋" w:cs="仿宋"/>
          <w:sz w:val="32"/>
          <w:szCs w:val="32"/>
        </w:rPr>
      </w:pPr>
      <w:r>
        <w:rPr>
          <w:rFonts w:hint="eastAsia" w:ascii="仿宋" w:hAnsi="仿宋" w:eastAsia="仿宋" w:cs="仿宋"/>
          <w:sz w:val="32"/>
          <w:szCs w:val="32"/>
        </w:rPr>
        <w:t>四、一般公共预算拨款支出预算</w:t>
      </w:r>
    </w:p>
    <w:p w14:paraId="1BDE8D8D">
      <w:pPr>
        <w:ind w:firstLine="640" w:firstLineChars="200"/>
        <w:rPr>
          <w:rFonts w:hint="eastAsia" w:ascii="仿宋" w:hAnsi="仿宋" w:eastAsia="仿宋" w:cs="仿宋"/>
          <w:sz w:val="32"/>
          <w:szCs w:val="32"/>
        </w:rPr>
      </w:pPr>
      <w:r>
        <w:rPr>
          <w:rFonts w:hint="eastAsia" w:ascii="仿宋" w:hAnsi="仿宋" w:eastAsia="仿宋" w:cs="仿宋"/>
          <w:sz w:val="32"/>
          <w:szCs w:val="32"/>
        </w:rPr>
        <w:t>2026年一般公共预算拨款支出预算1107.21万元，其中，201一般公共服务支出925.16万元，占83.56%；208社会保障和就业支出86.73万元，占7.83%；210卫生健康支出39.22万元，占3.54%；221住房保障支出56.10万元，占5.07%；具体安排情况如下：</w:t>
      </w:r>
    </w:p>
    <w:p w14:paraId="376C8C9D">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2026年基本支出年初预算数为1077.21万元（数据来源见表23），是指为保障单位机构正常运转、完成日常工作任务而发生的各项支出，包括用于基本工资、津贴补贴等人员经费以及办公费、印刷费、水电费、差旅费等日常公用经费。</w:t>
      </w:r>
    </w:p>
    <w:p w14:paraId="5AEDFA4D">
      <w:pPr>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2026年项目支出年初预算数为30.00万元（数据来源见表20），是指部门为完成特定行政工作任务或事业发展目标而发生的支出，包括有关业务工作经费、运行维护经费、其他事业发展资金等。其中：常规统计调查工作经费专项支出30.00万元，主要用于常规调查、业务培训、统计产品编印、统计执法监督、民意调查方面。</w:t>
      </w:r>
    </w:p>
    <w:p w14:paraId="2BE802AB">
      <w:pPr>
        <w:ind w:firstLine="640" w:firstLineChars="200"/>
        <w:rPr>
          <w:rFonts w:hint="eastAsia" w:ascii="仿宋" w:hAnsi="仿宋" w:eastAsia="仿宋" w:cs="仿宋"/>
          <w:sz w:val="32"/>
          <w:szCs w:val="32"/>
        </w:rPr>
      </w:pPr>
      <w:r>
        <w:rPr>
          <w:rFonts w:hint="eastAsia" w:ascii="仿宋" w:hAnsi="仿宋" w:eastAsia="仿宋" w:cs="仿宋"/>
          <w:sz w:val="32"/>
          <w:szCs w:val="32"/>
        </w:rPr>
        <w:t>五、政府性基金预算支出</w:t>
      </w:r>
    </w:p>
    <w:p w14:paraId="107DA567">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2026年度本部门无政府性基金安排的支出，所以公开的附件15-17（政府性基金预算）为空。</w:t>
      </w:r>
    </w:p>
    <w:p w14:paraId="459211AC">
      <w:pPr>
        <w:ind w:firstLine="640" w:firstLineChars="200"/>
        <w:rPr>
          <w:rFonts w:hint="eastAsia" w:ascii="仿宋" w:hAnsi="仿宋" w:eastAsia="仿宋" w:cs="仿宋"/>
          <w:sz w:val="32"/>
          <w:szCs w:val="32"/>
        </w:rPr>
      </w:pPr>
      <w:r>
        <w:rPr>
          <w:rFonts w:hint="eastAsia" w:ascii="仿宋" w:hAnsi="仿宋" w:eastAsia="仿宋" w:cs="仿宋"/>
          <w:sz w:val="32"/>
          <w:szCs w:val="32"/>
        </w:rPr>
        <w:t>六、其他重要事项的情况说明</w:t>
      </w:r>
    </w:p>
    <w:p w14:paraId="7A24F38A">
      <w:pPr>
        <w:ind w:firstLine="640" w:firstLineChars="200"/>
        <w:rPr>
          <w:rFonts w:hint="eastAsia" w:ascii="仿宋" w:hAnsi="仿宋" w:eastAsia="仿宋" w:cs="仿宋"/>
          <w:sz w:val="32"/>
          <w:szCs w:val="32"/>
        </w:rPr>
      </w:pPr>
      <w:r>
        <w:rPr>
          <w:rFonts w:hint="eastAsia" w:ascii="仿宋" w:hAnsi="仿宋" w:eastAsia="仿宋" w:cs="仿宋"/>
          <w:sz w:val="32"/>
          <w:szCs w:val="32"/>
        </w:rPr>
        <w:t>（一）机关运行经费</w:t>
      </w:r>
    </w:p>
    <w:p w14:paraId="4ED04926">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本部门2026年机关运行经费当年一般公共预算拨款230.31万元（数据来源见表12），比上一年增加74.35万元，上升47.67%，主要原因是人均公用经费增加。</w:t>
      </w:r>
    </w:p>
    <w:p w14:paraId="7CAE1AA0">
      <w:pPr>
        <w:ind w:firstLine="640" w:firstLineChars="200"/>
        <w:rPr>
          <w:rFonts w:hint="eastAsia" w:ascii="仿宋" w:hAnsi="仿宋" w:eastAsia="仿宋" w:cs="仿宋"/>
          <w:sz w:val="32"/>
          <w:szCs w:val="32"/>
        </w:rPr>
      </w:pPr>
      <w:r>
        <w:rPr>
          <w:rFonts w:hint="eastAsia" w:ascii="仿宋" w:hAnsi="仿宋" w:eastAsia="仿宋" w:cs="仿宋"/>
          <w:sz w:val="32"/>
          <w:szCs w:val="32"/>
        </w:rPr>
        <w:t>（二）“三公”经费预算</w:t>
      </w:r>
    </w:p>
    <w:p w14:paraId="39A86AC3">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三公”经费预算数6.00万元（数据来源见表14），其中，公务接待费2.00万元，因公出国（境）费0.00万元，公务用车购置及运行费4.00万元（其中，公务用车购置费0.00万元，公务用车运行费4.00万元）。2026年三公经费预算较上年减少2万元，下降25%，主要原因是厉行节俭。</w:t>
      </w:r>
    </w:p>
    <w:p w14:paraId="4752056D">
      <w:pPr>
        <w:ind w:firstLine="640" w:firstLineChars="200"/>
        <w:rPr>
          <w:rFonts w:hint="eastAsia" w:ascii="仿宋" w:hAnsi="仿宋" w:eastAsia="仿宋" w:cs="仿宋"/>
          <w:sz w:val="32"/>
          <w:szCs w:val="32"/>
        </w:rPr>
      </w:pPr>
      <w:r>
        <w:rPr>
          <w:rFonts w:hint="eastAsia" w:ascii="仿宋" w:hAnsi="仿宋" w:eastAsia="仿宋" w:cs="仿宋"/>
          <w:sz w:val="32"/>
          <w:szCs w:val="32"/>
        </w:rPr>
        <w:t>（三）一般性支出情况</w:t>
      </w:r>
    </w:p>
    <w:p w14:paraId="662F02D8">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会议费预算1.00万元（数据来源见表13会议费、培训费），拟召开1次会议，人数150人，内容为全市统计调查工作会；培训费预算1.00万元，拟开展10次培训，人数10人，内容为参加党校培训；2026年度本部门未计划举办节庆、晚会、论坛、赛事活动。</w:t>
      </w:r>
    </w:p>
    <w:p w14:paraId="3FC5EC93">
      <w:pPr>
        <w:ind w:firstLine="640" w:firstLineChars="200"/>
        <w:rPr>
          <w:rFonts w:hint="eastAsia" w:ascii="仿宋" w:hAnsi="仿宋" w:eastAsia="仿宋" w:cs="仿宋"/>
          <w:sz w:val="32"/>
          <w:szCs w:val="32"/>
        </w:rPr>
      </w:pPr>
      <w:r>
        <w:rPr>
          <w:rFonts w:hint="eastAsia" w:ascii="仿宋" w:hAnsi="仿宋" w:eastAsia="仿宋" w:cs="仿宋"/>
          <w:sz w:val="32"/>
          <w:szCs w:val="32"/>
        </w:rPr>
        <w:t>（四）委托业务费情况</w:t>
      </w:r>
    </w:p>
    <w:p w14:paraId="402000FE">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本部门2026年本级等1家行政事业单位委托业务费0万元，较上年持平，</w:t>
      </w:r>
      <w:r>
        <w:rPr>
          <w:rFonts w:hint="eastAsia" w:ascii="仿宋" w:hAnsi="仿宋" w:eastAsia="仿宋" w:cs="仿宋"/>
          <w:sz w:val="32"/>
          <w:szCs w:val="32"/>
          <w:lang w:eastAsia="zh-CN"/>
        </w:rPr>
        <w:t>因两年预算为</w:t>
      </w:r>
      <w:r>
        <w:rPr>
          <w:rFonts w:hint="eastAsia" w:ascii="仿宋" w:hAnsi="仿宋" w:eastAsia="仿宋" w:cs="仿宋"/>
          <w:sz w:val="32"/>
          <w:szCs w:val="32"/>
          <w:lang w:val="en-US" w:eastAsia="zh-CN"/>
        </w:rPr>
        <w:t>0元，无法计算变动比值，</w:t>
      </w:r>
      <w:bookmarkStart w:id="0" w:name="_GoBack"/>
      <w:bookmarkEnd w:id="0"/>
      <w:r>
        <w:rPr>
          <w:rFonts w:hint="eastAsia" w:ascii="仿宋" w:hAnsi="仿宋" w:eastAsia="仿宋" w:cs="仿宋"/>
          <w:sz w:val="32"/>
          <w:szCs w:val="32"/>
        </w:rPr>
        <w:t>主要原因是厉行节俭。</w:t>
      </w:r>
    </w:p>
    <w:p w14:paraId="0C6BF992">
      <w:pPr>
        <w:ind w:firstLine="640" w:firstLineChars="200"/>
        <w:rPr>
          <w:rFonts w:hint="eastAsia" w:ascii="仿宋" w:hAnsi="仿宋" w:eastAsia="仿宋" w:cs="仿宋"/>
          <w:sz w:val="32"/>
          <w:szCs w:val="32"/>
        </w:rPr>
      </w:pPr>
      <w:r>
        <w:rPr>
          <w:rFonts w:hint="eastAsia" w:ascii="仿宋" w:hAnsi="仿宋" w:eastAsia="仿宋" w:cs="仿宋"/>
          <w:sz w:val="32"/>
          <w:szCs w:val="32"/>
        </w:rPr>
        <w:t>（五）政府采购情况</w:t>
      </w:r>
    </w:p>
    <w:p w14:paraId="108DB162">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本部门2026年政府采购预算总额</w:t>
      </w:r>
      <w:r>
        <w:rPr>
          <w:rFonts w:hint="eastAsia" w:ascii="仿宋" w:hAnsi="仿宋" w:eastAsia="仿宋" w:cs="仿宋"/>
          <w:sz w:val="32"/>
          <w:szCs w:val="32"/>
          <w:lang w:val="en-US" w:eastAsia="zh-CN"/>
        </w:rPr>
        <w:t>144.44</w:t>
      </w:r>
      <w:r>
        <w:rPr>
          <w:rFonts w:hint="eastAsia" w:ascii="仿宋" w:hAnsi="仿宋" w:eastAsia="仿宋" w:cs="仿宋"/>
          <w:sz w:val="32"/>
          <w:szCs w:val="32"/>
        </w:rPr>
        <w:t>万元，其中工程类</w:t>
      </w:r>
      <w:r>
        <w:rPr>
          <w:rFonts w:hint="eastAsia" w:ascii="仿宋" w:hAnsi="仿宋" w:eastAsia="仿宋" w:cs="仿宋"/>
          <w:sz w:val="32"/>
          <w:szCs w:val="32"/>
          <w:lang w:val="en-US" w:eastAsia="zh-CN"/>
        </w:rPr>
        <w:t>0</w:t>
      </w:r>
      <w:r>
        <w:rPr>
          <w:rFonts w:hint="eastAsia" w:ascii="仿宋" w:hAnsi="仿宋" w:eastAsia="仿宋" w:cs="仿宋"/>
          <w:sz w:val="32"/>
          <w:szCs w:val="32"/>
        </w:rPr>
        <w:t>万元，货物类</w:t>
      </w:r>
      <w:r>
        <w:rPr>
          <w:rFonts w:hint="eastAsia" w:ascii="仿宋" w:hAnsi="仿宋" w:eastAsia="仿宋" w:cs="仿宋"/>
          <w:sz w:val="32"/>
          <w:szCs w:val="32"/>
          <w:lang w:val="en-US" w:eastAsia="zh-CN"/>
        </w:rPr>
        <w:t>15.31</w:t>
      </w:r>
      <w:r>
        <w:rPr>
          <w:rFonts w:hint="eastAsia" w:ascii="仿宋" w:hAnsi="仿宋" w:eastAsia="仿宋" w:cs="仿宋"/>
          <w:sz w:val="32"/>
          <w:szCs w:val="32"/>
        </w:rPr>
        <w:t>万元，服务类</w:t>
      </w:r>
      <w:r>
        <w:rPr>
          <w:rFonts w:hint="eastAsia" w:ascii="仿宋" w:hAnsi="仿宋" w:eastAsia="仿宋" w:cs="仿宋"/>
          <w:sz w:val="32"/>
          <w:szCs w:val="32"/>
          <w:lang w:val="en-US" w:eastAsia="zh-CN"/>
        </w:rPr>
        <w:t>129.13</w:t>
      </w:r>
      <w:r>
        <w:rPr>
          <w:rFonts w:hint="eastAsia" w:ascii="仿宋" w:hAnsi="仿宋" w:eastAsia="仿宋" w:cs="仿宋"/>
          <w:sz w:val="32"/>
          <w:szCs w:val="32"/>
        </w:rPr>
        <w:t>万元。</w:t>
      </w:r>
    </w:p>
    <w:p w14:paraId="3D0B759A">
      <w:pPr>
        <w:ind w:firstLine="640" w:firstLineChars="200"/>
        <w:rPr>
          <w:rFonts w:hint="eastAsia" w:ascii="仿宋" w:hAnsi="仿宋" w:eastAsia="仿宋" w:cs="仿宋"/>
          <w:sz w:val="32"/>
          <w:szCs w:val="32"/>
        </w:rPr>
      </w:pPr>
      <w:r>
        <w:rPr>
          <w:rFonts w:hint="eastAsia" w:ascii="仿宋" w:hAnsi="仿宋" w:eastAsia="仿宋" w:cs="仿宋"/>
          <w:sz w:val="32"/>
          <w:szCs w:val="32"/>
        </w:rPr>
        <w:t>（六）国有资产占有使用及新增资产配置情况</w:t>
      </w:r>
    </w:p>
    <w:p w14:paraId="5957A768">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截至上年底，本部门共有车辆1辆，其中领导干部用车0辆，一般公务用车1辆，其他用车0辆。单位价值50万元以上通用设备0台，单位价值100万元以上专用设备0台。 </w:t>
      </w:r>
    </w:p>
    <w:p w14:paraId="41A99D44">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2026年度本部门未计划处置车辆、设备等。</w:t>
      </w:r>
    </w:p>
    <w:p w14:paraId="26902E55">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2026年度本部门未计划新增车辆、设备等。</w:t>
      </w:r>
    </w:p>
    <w:p w14:paraId="57ED8060">
      <w:pPr>
        <w:ind w:firstLine="640" w:firstLineChars="200"/>
        <w:rPr>
          <w:rFonts w:hint="eastAsia" w:ascii="仿宋" w:hAnsi="仿宋" w:eastAsia="仿宋" w:cs="仿宋"/>
          <w:sz w:val="32"/>
          <w:szCs w:val="32"/>
        </w:rPr>
      </w:pPr>
      <w:r>
        <w:rPr>
          <w:rFonts w:hint="eastAsia" w:ascii="仿宋" w:hAnsi="仿宋" w:eastAsia="仿宋" w:cs="仿宋"/>
          <w:sz w:val="32"/>
          <w:szCs w:val="32"/>
        </w:rPr>
        <w:t>（七）预算绩效目标说明</w:t>
      </w:r>
    </w:p>
    <w:p w14:paraId="35EB9FD1">
      <w:pPr>
        <w:rPr>
          <w:rFonts w:hint="eastAsia" w:ascii="仿宋" w:hAnsi="仿宋" w:eastAsia="仿宋" w:cs="仿宋"/>
          <w:sz w:val="32"/>
          <w:szCs w:val="32"/>
        </w:rPr>
      </w:pPr>
      <w:r>
        <w:rPr>
          <w:rFonts w:hint="eastAsia" w:ascii="仿宋" w:hAnsi="仿宋" w:eastAsia="仿宋" w:cs="仿宋"/>
          <w:sz w:val="32"/>
          <w:szCs w:val="32"/>
        </w:rPr>
        <w:t xml:space="preserve">    本部门所有支出实行绩效目标管理。纳入2026年部门整体支出绩效目标的金额为1107.21万元，其中，基本支出1077.21万元，项目支出30.00万元，详见文尾附表中部门预算公开表格的表21-22。</w:t>
      </w:r>
    </w:p>
    <w:p w14:paraId="1DD1A19F">
      <w:pPr>
        <w:ind w:firstLine="640" w:firstLineChars="200"/>
        <w:rPr>
          <w:rFonts w:hint="eastAsia" w:ascii="仿宋" w:hAnsi="仿宋" w:eastAsia="仿宋" w:cs="仿宋"/>
          <w:sz w:val="32"/>
          <w:szCs w:val="32"/>
        </w:rPr>
      </w:pPr>
      <w:r>
        <w:rPr>
          <w:rFonts w:hint="eastAsia" w:ascii="仿宋" w:hAnsi="仿宋" w:eastAsia="仿宋" w:cs="仿宋"/>
          <w:sz w:val="32"/>
          <w:szCs w:val="32"/>
        </w:rPr>
        <w:t>七、名词解释</w:t>
      </w:r>
    </w:p>
    <w:p w14:paraId="4379F386">
      <w:pPr>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275754C">
      <w:pPr>
        <w:ind w:firstLine="640" w:firstLineChars="200"/>
        <w:rPr>
          <w:rFonts w:hint="eastAsia" w:ascii="仿宋" w:hAnsi="仿宋" w:eastAsia="仿宋" w:cs="仿宋"/>
          <w:sz w:val="32"/>
          <w:szCs w:val="32"/>
        </w:rPr>
      </w:pPr>
      <w:r>
        <w:rPr>
          <w:rFonts w:hint="eastAsia" w:ascii="仿宋" w:hAnsi="仿宋" w:eastAsia="仿宋" w:cs="仿宋"/>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25F3801A">
      <w:pPr>
        <w:ind w:firstLine="640" w:firstLineChars="200"/>
        <w:rPr>
          <w:rFonts w:hint="eastAsia" w:ascii="仿宋" w:hAnsi="仿宋" w:eastAsia="仿宋" w:cs="仿宋"/>
          <w:sz w:val="32"/>
          <w:szCs w:val="32"/>
        </w:rPr>
      </w:pPr>
    </w:p>
    <w:p w14:paraId="0E417EDA">
      <w:pPr>
        <w:ind w:firstLine="640" w:firstLineChars="200"/>
        <w:rPr>
          <w:rFonts w:hint="eastAsia" w:ascii="仿宋" w:hAnsi="仿宋" w:eastAsia="仿宋" w:cs="仿宋"/>
          <w:sz w:val="32"/>
          <w:szCs w:val="32"/>
        </w:rPr>
      </w:pPr>
    </w:p>
    <w:p w14:paraId="6B13D8DF">
      <w:pPr>
        <w:ind w:firstLine="640" w:firstLineChars="200"/>
        <w:rPr>
          <w:rFonts w:hint="eastAsia" w:ascii="仿宋" w:hAnsi="仿宋" w:eastAsia="仿宋" w:cs="仿宋"/>
          <w:sz w:val="32"/>
          <w:szCs w:val="32"/>
        </w:rPr>
      </w:pPr>
    </w:p>
    <w:p w14:paraId="55F4A99F">
      <w:pPr>
        <w:ind w:firstLine="640" w:firstLineChars="200"/>
        <w:rPr>
          <w:rFonts w:hint="eastAsia" w:ascii="仿宋" w:hAnsi="仿宋" w:eastAsia="仿宋" w:cs="仿宋"/>
          <w:sz w:val="32"/>
          <w:szCs w:val="32"/>
        </w:rPr>
      </w:pPr>
    </w:p>
    <w:p w14:paraId="2B4BB2AD">
      <w:pPr>
        <w:ind w:firstLine="640" w:firstLineChars="200"/>
        <w:rPr>
          <w:rFonts w:hint="eastAsia" w:ascii="仿宋" w:hAnsi="仿宋" w:eastAsia="仿宋" w:cs="仿宋"/>
          <w:sz w:val="32"/>
          <w:szCs w:val="32"/>
        </w:rPr>
      </w:pPr>
    </w:p>
    <w:p w14:paraId="75045432">
      <w:pPr>
        <w:ind w:firstLine="640" w:firstLineChars="200"/>
        <w:rPr>
          <w:rFonts w:hint="eastAsia" w:ascii="仿宋" w:hAnsi="仿宋" w:eastAsia="仿宋" w:cs="仿宋"/>
          <w:sz w:val="32"/>
          <w:szCs w:val="32"/>
        </w:rPr>
      </w:pPr>
    </w:p>
    <w:p w14:paraId="14EBB5C3">
      <w:pPr>
        <w:ind w:firstLine="640" w:firstLineChars="200"/>
        <w:rPr>
          <w:rFonts w:hint="eastAsia" w:ascii="仿宋" w:hAnsi="仿宋" w:eastAsia="仿宋" w:cs="仿宋"/>
          <w:sz w:val="32"/>
          <w:szCs w:val="32"/>
        </w:rPr>
      </w:pPr>
    </w:p>
    <w:p w14:paraId="7F9D2A20">
      <w:pPr>
        <w:rPr>
          <w:rFonts w:hint="eastAsia" w:ascii="仿宋" w:hAnsi="仿宋" w:eastAsia="仿宋" w:cs="仿宋"/>
          <w:sz w:val="32"/>
          <w:szCs w:val="32"/>
        </w:rPr>
      </w:pPr>
    </w:p>
    <w:p w14:paraId="3B8CBA50">
      <w:pPr>
        <w:jc w:val="center"/>
        <w:rPr>
          <w:rFonts w:hint="eastAsia" w:ascii="仿宋" w:hAnsi="仿宋" w:eastAsia="仿宋" w:cs="仿宋"/>
          <w:sz w:val="32"/>
          <w:szCs w:val="32"/>
        </w:rPr>
      </w:pPr>
    </w:p>
    <w:p w14:paraId="6BEAD367">
      <w:pPr>
        <w:jc w:val="center"/>
        <w:rPr>
          <w:rFonts w:hint="eastAsia" w:ascii="仿宋" w:hAnsi="仿宋" w:eastAsia="仿宋" w:cs="仿宋"/>
          <w:sz w:val="32"/>
          <w:szCs w:val="32"/>
        </w:rPr>
      </w:pPr>
    </w:p>
    <w:p w14:paraId="50CA9B97">
      <w:pPr>
        <w:jc w:val="center"/>
        <w:rPr>
          <w:rFonts w:hint="eastAsia" w:ascii="仿宋" w:hAnsi="仿宋" w:eastAsia="仿宋" w:cs="仿宋"/>
          <w:sz w:val="32"/>
          <w:szCs w:val="32"/>
        </w:rPr>
      </w:pPr>
      <w:r>
        <w:rPr>
          <w:rFonts w:hint="eastAsia" w:ascii="仿宋" w:hAnsi="仿宋" w:eastAsia="仿宋" w:cs="仿宋"/>
          <w:sz w:val="32"/>
          <w:szCs w:val="32"/>
        </w:rPr>
        <w:t>第二部分  2026年部门预算公开表格</w:t>
      </w:r>
    </w:p>
    <w:p w14:paraId="0E016FA5">
      <w:pPr>
        <w:rPr>
          <w:rFonts w:hint="eastAsia" w:ascii="仿宋" w:hAnsi="仿宋" w:eastAsia="仿宋" w:cs="仿宋"/>
          <w:sz w:val="32"/>
          <w:szCs w:val="32"/>
        </w:rPr>
      </w:pPr>
      <w:r>
        <w:rPr>
          <w:rFonts w:hint="eastAsia" w:ascii="仿宋" w:hAnsi="仿宋" w:eastAsia="仿宋" w:cs="仿宋"/>
          <w:sz w:val="32"/>
          <w:szCs w:val="32"/>
        </w:rPr>
        <w:t>1、收支总表</w:t>
      </w:r>
    </w:p>
    <w:p w14:paraId="111288FB">
      <w:pPr>
        <w:rPr>
          <w:rFonts w:hint="eastAsia" w:ascii="仿宋" w:hAnsi="仿宋" w:eastAsia="仿宋" w:cs="仿宋"/>
          <w:sz w:val="32"/>
          <w:szCs w:val="32"/>
        </w:rPr>
      </w:pPr>
      <w:r>
        <w:rPr>
          <w:rFonts w:hint="eastAsia" w:ascii="仿宋" w:hAnsi="仿宋" w:eastAsia="仿宋" w:cs="仿宋"/>
          <w:sz w:val="32"/>
          <w:szCs w:val="32"/>
        </w:rPr>
        <w:t>2、收入总表</w:t>
      </w:r>
    </w:p>
    <w:p w14:paraId="511185DB">
      <w:pPr>
        <w:rPr>
          <w:rFonts w:hint="eastAsia" w:ascii="仿宋" w:hAnsi="仿宋" w:eastAsia="仿宋" w:cs="仿宋"/>
          <w:sz w:val="32"/>
          <w:szCs w:val="32"/>
        </w:rPr>
      </w:pPr>
      <w:r>
        <w:rPr>
          <w:rFonts w:hint="eastAsia" w:ascii="仿宋" w:hAnsi="仿宋" w:eastAsia="仿宋" w:cs="仿宋"/>
          <w:sz w:val="32"/>
          <w:szCs w:val="32"/>
        </w:rPr>
        <w:t>3、支出总表</w:t>
      </w:r>
    </w:p>
    <w:p w14:paraId="3D4D9F57">
      <w:pPr>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15B1B366">
      <w:pPr>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676C7695">
      <w:pPr>
        <w:rPr>
          <w:rFonts w:hint="eastAsia" w:ascii="仿宋" w:hAnsi="仿宋" w:eastAsia="仿宋" w:cs="仿宋"/>
          <w:sz w:val="32"/>
          <w:szCs w:val="32"/>
        </w:rPr>
      </w:pPr>
      <w:r>
        <w:rPr>
          <w:rFonts w:hint="eastAsia" w:ascii="仿宋" w:hAnsi="仿宋" w:eastAsia="仿宋" w:cs="仿宋"/>
          <w:sz w:val="32"/>
          <w:szCs w:val="32"/>
        </w:rPr>
        <w:t>6、财政拨款收支总表</w:t>
      </w:r>
    </w:p>
    <w:p w14:paraId="240F2A7F">
      <w:pPr>
        <w:rPr>
          <w:rFonts w:hint="eastAsia" w:ascii="仿宋" w:hAnsi="仿宋" w:eastAsia="仿宋" w:cs="仿宋"/>
          <w:sz w:val="32"/>
          <w:szCs w:val="32"/>
        </w:rPr>
      </w:pPr>
      <w:r>
        <w:rPr>
          <w:rFonts w:hint="eastAsia" w:ascii="仿宋" w:hAnsi="仿宋" w:eastAsia="仿宋" w:cs="仿宋"/>
          <w:sz w:val="32"/>
          <w:szCs w:val="32"/>
        </w:rPr>
        <w:t>7、一般公共预算支出表</w:t>
      </w:r>
    </w:p>
    <w:p w14:paraId="0B3E7C2D">
      <w:pPr>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41295698">
      <w:pPr>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377E2AED">
      <w:pPr>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2B2A0256">
      <w:pPr>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7843797E">
      <w:pPr>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39D9B37E">
      <w:pPr>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6D892C17">
      <w:pPr>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2741FA35">
      <w:pPr>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4F029D36">
      <w:pPr>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5A6C5AD2">
      <w:pPr>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16C60696">
      <w:pPr>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556A8836">
      <w:pPr>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7C4763F8">
      <w:pPr>
        <w:rPr>
          <w:rFonts w:hint="eastAsia" w:ascii="仿宋" w:hAnsi="仿宋" w:eastAsia="仿宋" w:cs="仿宋"/>
          <w:sz w:val="32"/>
          <w:szCs w:val="32"/>
        </w:rPr>
      </w:pPr>
      <w:r>
        <w:rPr>
          <w:rFonts w:hint="eastAsia" w:ascii="仿宋" w:hAnsi="仿宋" w:eastAsia="仿宋" w:cs="仿宋"/>
          <w:sz w:val="32"/>
          <w:szCs w:val="32"/>
        </w:rPr>
        <w:t>20、专项资金预算汇总表</w:t>
      </w:r>
    </w:p>
    <w:p w14:paraId="611812C7">
      <w:pPr>
        <w:rPr>
          <w:rFonts w:hint="eastAsia" w:ascii="仿宋" w:hAnsi="仿宋" w:eastAsia="仿宋" w:cs="仿宋"/>
          <w:sz w:val="32"/>
          <w:szCs w:val="32"/>
        </w:rPr>
      </w:pPr>
      <w:r>
        <w:rPr>
          <w:rFonts w:hint="eastAsia" w:ascii="仿宋" w:hAnsi="仿宋" w:eastAsia="仿宋" w:cs="仿宋"/>
          <w:sz w:val="32"/>
          <w:szCs w:val="32"/>
        </w:rPr>
        <w:t>21、项目支出绩效目标表</w:t>
      </w:r>
    </w:p>
    <w:p w14:paraId="773E437D">
      <w:pPr>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470013E0">
      <w:pPr>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29FF4AC5">
      <w:pPr>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5359"/>
    <w:rsid w:val="3DC06704"/>
    <w:rsid w:val="3E5067ED"/>
    <w:rsid w:val="7BE1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3935</Words>
  <Characters>4275</Characters>
  <Lines>0</Lines>
  <Paragraphs>0</Paragraphs>
  <TotalTime>20</TotalTime>
  <ScaleCrop>false</ScaleCrop>
  <LinksUpToDate>false</LinksUpToDate>
  <CharactersWithSpaces>4292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小方娟</cp:lastModifiedBy>
  <cp:lastPrinted>2026-04-15T03:23:00Z</cp:lastPrinted>
  <dcterms:modified xsi:type="dcterms:W3CDTF">2026-06-08T07:20:38Z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eyJoZGlkIjoiOGU0NzU0ODI0OTZiMDZhOTkxODNmMmMzZWJlNjUyZTYiLCJ1c2VySWQiOiIyNjEwNzEwOTMifQ==</vt:lpwstr>
  </property>
  <property fmtid="{D5CDD505-2E9C-101B-9397-08002B2CF9AE}" pid="4" name="ICV">
    <vt:lpwstr>FBECCAC7D89D47578CB8999A87360A22_12</vt:lpwstr>
  </property>
</Properties>
</file>