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D6" w:rsidRDefault="00AC21D6" w:rsidP="00AC21D6">
      <w:pPr>
        <w:widowControl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C21D6" w:rsidRDefault="00AC21D6" w:rsidP="00AC21D6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2024年度项目支出绩效自评表</w:t>
      </w:r>
    </w:p>
    <w:tbl>
      <w:tblPr>
        <w:tblW w:w="9851" w:type="dxa"/>
        <w:jc w:val="center"/>
        <w:tblLayout w:type="fixed"/>
        <w:tblLook w:val="04A0" w:firstRow="1" w:lastRow="0" w:firstColumn="1" w:lastColumn="0" w:noHBand="0" w:noVBand="1"/>
      </w:tblPr>
      <w:tblGrid>
        <w:gridCol w:w="1058"/>
        <w:gridCol w:w="1065"/>
        <w:gridCol w:w="1053"/>
        <w:gridCol w:w="1344"/>
        <w:gridCol w:w="1068"/>
        <w:gridCol w:w="1216"/>
        <w:gridCol w:w="814"/>
        <w:gridCol w:w="861"/>
        <w:gridCol w:w="1372"/>
      </w:tblGrid>
      <w:tr w:rsidR="00AC21D6" w:rsidTr="001D7958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项目支</w:t>
            </w:r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中心城区房地产办证专项行动　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岳阳市自然资源和规划局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岳阳市不动产登记中心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项目资金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br/>
              <w:t>（万元）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年初</w:t>
            </w:r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全年</w:t>
            </w:r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全年</w:t>
            </w:r>
          </w:p>
          <w:p w:rsidR="00AC21D6" w:rsidRDefault="00AC21D6" w:rsidP="001D79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执行率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得分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年度资金总额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261.77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261.77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261.77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261.77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ind w:firstLineChars="300" w:firstLine="60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上年结转资金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ind w:firstLineChars="300" w:firstLine="600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实际完成情况　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已经办理房屋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栋证但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尚未办理分户证的新建商品房，督促办理房产证，制定2024年7月1日之前完成6000套，至2024年12月31日前共完成20000套的目标。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highlight w:val="yellow"/>
              </w:rPr>
            </w:pPr>
            <w:r w:rsidRPr="000F192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自专项行动以来，全市各级各部门主动作为、紧密配合、攻</w:t>
            </w:r>
            <w:proofErr w:type="gramStart"/>
            <w:r w:rsidRPr="000F192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艰</w:t>
            </w:r>
            <w:proofErr w:type="gramEnd"/>
            <w:r w:rsidRPr="000F192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克难，截止2024年底已办结14044户，完成总任务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70.22</w:t>
            </w:r>
            <w:r w:rsidRPr="000F1929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%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绩</w:t>
            </w:r>
            <w:proofErr w:type="gramEnd"/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</w:t>
            </w:r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年度</w:t>
            </w:r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实际</w:t>
            </w:r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产出指标</w:t>
            </w:r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办理分户证户数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20000户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14044户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剩余未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办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户数属于多种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原因形成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的遗留问题。</w:t>
            </w:r>
            <w:r w:rsidRPr="00FF42DD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基于节约行政资源、数量</w:t>
            </w:r>
            <w:proofErr w:type="gramStart"/>
            <w:r w:rsidRPr="00FF42DD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不大因素</w:t>
            </w:r>
            <w:proofErr w:type="gramEnd"/>
            <w:r w:rsidRPr="00FF42DD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考虑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，</w:t>
            </w:r>
            <w:r w:rsidRPr="00FF42DD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建议停止房地产办证专项行动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专项经费按标准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1000元/套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摸清办证底数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办证效率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资金分配合理性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AC21D6" w:rsidTr="001D7958">
        <w:trPr>
          <w:trHeight w:val="568"/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资金使用合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性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按照计划时间完成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2024年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2024年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项目成本控制在预算范围内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已完成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效益指标</w:t>
            </w:r>
          </w:p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（30分）</w:t>
            </w:r>
          </w:p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防范金融风险，创造良好经济环境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降低金融风险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有所降低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加强宣传报道，引导购房人及时办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理不动产权证、分户证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有明显效果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有明显效果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保障购房人权益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有所保障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有所保障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效</w:t>
            </w:r>
            <w:proofErr w:type="gramEnd"/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益指标</w:t>
            </w:r>
          </w:p>
          <w:p w:rsidR="00AC21D6" w:rsidRDefault="00AC21D6" w:rsidP="001D7958">
            <w:pPr>
              <w:widowControl/>
              <w:spacing w:line="26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对环境造成的负面影响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建立“交房即交证”的长效机制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建立新建商品房买卖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合同网签备案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信息实时共享和及时纳税的长效机制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适应工作需求，使得工作进入良性循环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C21D6" w:rsidTr="001D7958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满意度</w:t>
            </w:r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指标</w:t>
            </w:r>
          </w:p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  <w:lang w:bidi="ar"/>
              </w:rPr>
              <w:t>群众满意率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  <w:lang w:bidi="ar"/>
              </w:rPr>
              <w:t>≥95%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  <w:lang w:bidi="ar"/>
              </w:rPr>
              <w:t>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  <w:lang w:bidi="ar"/>
              </w:rPr>
              <w:t>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C21D6" w:rsidTr="001D7958">
        <w:trPr>
          <w:jc w:val="center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97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6" w:rsidRDefault="00AC21D6" w:rsidP="001D7958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AC21D6" w:rsidRDefault="00AC21D6" w:rsidP="00AC21D6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 w:val="18"/>
          <w:szCs w:val="18"/>
        </w:rPr>
        <w:t>备注：一个</w:t>
      </w:r>
      <w:proofErr w:type="gramStart"/>
      <w:r>
        <w:rPr>
          <w:rFonts w:ascii="Times New Roman" w:eastAsia="仿宋_GB2312" w:hAnsi="Times New Roman"/>
          <w:sz w:val="18"/>
          <w:szCs w:val="18"/>
        </w:rPr>
        <w:t>一级项目</w:t>
      </w:r>
      <w:proofErr w:type="gramEnd"/>
      <w:r>
        <w:rPr>
          <w:rFonts w:ascii="Times New Roman" w:eastAsia="仿宋_GB2312" w:hAnsi="Times New Roman"/>
          <w:sz w:val="18"/>
          <w:szCs w:val="18"/>
        </w:rPr>
        <w:t>支出一张表。</w:t>
      </w:r>
      <w:r>
        <w:rPr>
          <w:rFonts w:ascii="Times New Roman" w:eastAsia="仿宋_GB2312" w:hAnsi="Times New Roman" w:hint="eastAsia"/>
          <w:sz w:val="18"/>
          <w:szCs w:val="18"/>
        </w:rPr>
        <w:t>如，</w:t>
      </w:r>
      <w:r>
        <w:rPr>
          <w:rFonts w:ascii="Times New Roman" w:eastAsia="仿宋_GB2312" w:hAnsi="Times New Roman"/>
          <w:sz w:val="18"/>
          <w:szCs w:val="18"/>
        </w:rPr>
        <w:t>业务工作经费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>
        <w:rPr>
          <w:rFonts w:ascii="Times New Roman" w:eastAsia="仿宋_GB2312" w:hAnsi="Times New Roman"/>
          <w:sz w:val="18"/>
          <w:szCs w:val="18"/>
        </w:rPr>
        <w:t>运行维护经费</w:t>
      </w:r>
      <w:r>
        <w:rPr>
          <w:rFonts w:ascii="Times New Roman" w:eastAsia="仿宋_GB2312" w:hAnsi="Times New Roman" w:hint="eastAsia"/>
          <w:sz w:val="18"/>
          <w:szCs w:val="18"/>
        </w:rPr>
        <w:t>，其他事业发展类资金…各一张表。</w:t>
      </w: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  <w:r>
        <w:rPr>
          <w:rFonts w:ascii="Times New Roman" w:eastAsia="仿宋_GB2312" w:hAnsi="Times New Roman"/>
          <w:sz w:val="22"/>
          <w:szCs w:val="22"/>
        </w:rPr>
        <w:t>填表人：</w:t>
      </w:r>
      <w:r>
        <w:rPr>
          <w:rFonts w:ascii="Times New Roman" w:eastAsia="仿宋_GB2312" w:hAnsi="Times New Roman"/>
          <w:sz w:val="22"/>
          <w:szCs w:val="22"/>
        </w:rPr>
        <w:t xml:space="preserve">       </w:t>
      </w:r>
      <w:r>
        <w:rPr>
          <w:rFonts w:ascii="Times New Roman" w:eastAsia="仿宋_GB2312" w:hAnsi="Times New Roman" w:hint="eastAsia"/>
          <w:sz w:val="22"/>
          <w:szCs w:val="22"/>
        </w:rPr>
        <w:t xml:space="preserve"> </w:t>
      </w:r>
      <w:r>
        <w:rPr>
          <w:rFonts w:ascii="Times New Roman" w:eastAsia="仿宋_GB2312" w:hAnsi="Times New Roman"/>
          <w:sz w:val="22"/>
          <w:szCs w:val="22"/>
        </w:rPr>
        <w:t>填报日期：</w:t>
      </w:r>
      <w:r>
        <w:rPr>
          <w:rFonts w:ascii="Times New Roman" w:eastAsia="仿宋_GB2312" w:hAnsi="Times New Roman"/>
          <w:sz w:val="22"/>
          <w:szCs w:val="22"/>
        </w:rPr>
        <w:t xml:space="preserve">     </w:t>
      </w:r>
      <w:r>
        <w:rPr>
          <w:rFonts w:ascii="Times New Roman" w:eastAsia="仿宋_GB2312" w:hAnsi="Times New Roman" w:hint="eastAsia"/>
          <w:sz w:val="22"/>
          <w:szCs w:val="22"/>
        </w:rPr>
        <w:t xml:space="preserve">      </w:t>
      </w:r>
      <w:r>
        <w:rPr>
          <w:rFonts w:ascii="Times New Roman" w:eastAsia="仿宋_GB2312" w:hAnsi="Times New Roman"/>
          <w:sz w:val="22"/>
          <w:szCs w:val="22"/>
        </w:rPr>
        <w:t>联系电话：</w:t>
      </w:r>
      <w:r>
        <w:rPr>
          <w:rFonts w:ascii="Times New Roman" w:eastAsia="仿宋_GB2312" w:hAnsi="Times New Roman"/>
          <w:sz w:val="22"/>
          <w:szCs w:val="22"/>
        </w:rPr>
        <w:t xml:space="preserve">   </w:t>
      </w:r>
      <w:r>
        <w:rPr>
          <w:rFonts w:ascii="Times New Roman" w:eastAsia="仿宋_GB2312" w:hAnsi="Times New Roman" w:hint="eastAsia"/>
          <w:sz w:val="22"/>
          <w:szCs w:val="22"/>
        </w:rPr>
        <w:t xml:space="preserve">         </w:t>
      </w:r>
      <w:r>
        <w:rPr>
          <w:rFonts w:ascii="Times New Roman" w:eastAsia="仿宋_GB2312" w:hAnsi="Times New Roman"/>
          <w:sz w:val="22"/>
          <w:szCs w:val="22"/>
        </w:rPr>
        <w:t xml:space="preserve"> </w:t>
      </w:r>
      <w:r>
        <w:rPr>
          <w:rFonts w:ascii="Times New Roman" w:eastAsia="仿宋_GB2312" w:hAnsi="Times New Roman"/>
          <w:sz w:val="22"/>
          <w:szCs w:val="22"/>
        </w:rPr>
        <w:t>单位负责人签字：</w:t>
      </w: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AC21D6" w:rsidRDefault="00AC21D6" w:rsidP="00AC21D6">
      <w:pPr>
        <w:rPr>
          <w:rFonts w:ascii="Times New Roman" w:eastAsia="仿宋_GB2312" w:hAnsi="Times New Roman"/>
          <w:sz w:val="22"/>
          <w:szCs w:val="22"/>
        </w:rPr>
      </w:pPr>
    </w:p>
    <w:p w:rsidR="003553B2" w:rsidRPr="00AC21D6" w:rsidRDefault="003553B2">
      <w:bookmarkStart w:id="0" w:name="_GoBack"/>
      <w:bookmarkEnd w:id="0"/>
    </w:p>
    <w:sectPr w:rsidR="003553B2" w:rsidRPr="00AC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D6"/>
    <w:rsid w:val="003553B2"/>
    <w:rsid w:val="00A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B09DC-37E4-4E17-8EE2-21C1CCA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1D6"/>
    <w:pPr>
      <w:widowControl w:val="0"/>
      <w:jc w:val="both"/>
    </w:pPr>
    <w:rPr>
      <w:rFonts w:ascii="仿宋" w:eastAsia="宋体" w:hAnsi="仿宋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2025-07-18T01:33:00Z</dcterms:created>
  <dcterms:modified xsi:type="dcterms:W3CDTF">2025-07-18T01:33:00Z</dcterms:modified>
</cp:coreProperties>
</file>