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afterLines="0" w:line="500" w:lineRule="exact"/>
        <w:ind w:firstLine="320" w:firstLineChars="100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年度部门整体支出绩效评价基础数据表</w:t>
      </w:r>
    </w:p>
    <w:tbl>
      <w:tblPr>
        <w:tblStyle w:val="4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8"/>
        <w:gridCol w:w="1035"/>
        <w:gridCol w:w="849"/>
        <w:gridCol w:w="1129"/>
        <w:gridCol w:w="1111"/>
        <w:gridCol w:w="1081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财政供养人员情况（人）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238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216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90.76%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经费控制情况（万元）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三公经费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14.35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27.8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10.98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1、公务用车购置和维护经费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10.23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其中：公车购置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  公车运行维护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10.23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2、出国经费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3、公务接待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3.35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3.8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0.75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项目支出：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8251.15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43059.42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41837.85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1、业务工作经费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44.18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2、运行维护经费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8206.97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00" w:firstLineChars="20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专项资金（一个专项一行）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43059.42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41837.85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zh-TW" w:eastAsia="zh-TW"/>
              </w:rPr>
              <w:t>垃圾打捞及执法船运行经费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99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120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zh-TW" w:eastAsia="zh-TW"/>
              </w:rPr>
              <w:t>铁山水库核心枢纽安保工程项目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1600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1000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/>
              </w:rPr>
              <w:t>99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zh-TW" w:eastAsia="zh-TW"/>
              </w:rPr>
              <w:t>水质监测信息公开专项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13.96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14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zh-TW" w:eastAsia="zh-TW"/>
              </w:rPr>
              <w:t>金凤水库水质自动监测站运维经费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/>
              </w:rPr>
              <w:t>29.64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zh-TW" w:eastAsia="zh-TW"/>
              </w:rPr>
              <w:t>铁山水库溢洪道安全隐患整治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248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242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/>
              </w:rPr>
              <w:t>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zh-TW" w:eastAsia="zh-CN"/>
              </w:rPr>
              <w:t>库区水源保护以奖代补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铁山城市原水调度中心信息化建设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345.42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345.42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223.22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金凤水库除险加固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5610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/>
              </w:rPr>
              <w:t>5334.67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zh-TW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十四五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zh-TW"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铁山灌区（一期）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5150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3947.64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zh-TW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十四五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zh-TW"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铁山灌区（二期）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30000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铁山水库执法车船及巡逻电瓶船运行专项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22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zh-TW" w:eastAsia="zh-TW"/>
              </w:rPr>
              <w:t>铁山灌区伤残民工补助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120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120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107.02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公用经费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其中：办公经费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FF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  <w:lang w:val="en-US" w:eastAsia="zh-CN"/>
              </w:rPr>
              <w:t>11.75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FF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  <w:lang w:val="en-US" w:eastAsia="zh-CN"/>
              </w:rPr>
              <w:t>4.18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水费、电费、差旅费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FF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  <w:lang w:val="en-US" w:eastAsia="zh-CN"/>
              </w:rPr>
              <w:t>28.43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  <w:lang w:val="en-US" w:eastAsia="zh-CN"/>
              </w:rPr>
              <w:t>43.6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FF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  <w:lang w:val="en-US" w:eastAsia="zh-CN"/>
              </w:rPr>
              <w:t>13.8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会议费、培训费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FF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  <w:lang w:val="en-US" w:eastAsia="zh-CN"/>
              </w:rPr>
              <w:t>1.1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FF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  <w:lang w:val="en-US" w:eastAsia="zh-CN"/>
              </w:rPr>
              <w:t>8.3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  <w:lang w:val="en-US" w:eastAsia="zh-CN"/>
              </w:rPr>
              <w:t>0.28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政府采购金额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1594.66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1650.27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部门基本支出预算调整 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3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楼堂馆所控制情况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（202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年完工项目）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批复规模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（㎡）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实际规模（㎡）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规模控制率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预算投资（万元）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实际投资（万元）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厉行节约保障措施</w:t>
            </w:r>
          </w:p>
        </w:tc>
        <w:tc>
          <w:tcPr>
            <w:tcW w:w="61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</w:tbl>
    <w:p>
      <w:pPr>
        <w:widowControl/>
        <w:spacing w:afterLines="0" w:line="400" w:lineRule="exact"/>
        <w:ind w:left="660" w:hanging="660" w:hangingChars="300"/>
        <w:jc w:val="left"/>
        <w:rPr>
          <w:rFonts w:hint="default" w:ascii="Times New Roman" w:hAnsi="Times New Roman" w:eastAsia="仿宋_GB2312" w:cs="Times New Roman"/>
          <w:sz w:val="22"/>
          <w:highlight w:val="none"/>
        </w:rPr>
      </w:pPr>
      <w:r>
        <w:rPr>
          <w:rFonts w:hint="default" w:ascii="Times New Roman" w:hAnsi="Times New Roman" w:eastAsia="仿宋_GB2312" w:cs="Times New Roman"/>
          <w:sz w:val="22"/>
          <w:highlight w:val="none"/>
        </w:rPr>
        <w:t>说明：“项目支出”需要填报基本支出以外的所有项目支出情况，“公用经费”填报基本支出中的一般商品和服务支出。</w:t>
      </w:r>
    </w:p>
    <w:p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  <w:highlight w:val="none"/>
        </w:rPr>
      </w:pPr>
    </w:p>
    <w:p>
      <w:pPr>
        <w:widowControl/>
        <w:spacing w:after="0" w:afterLines="0" w:line="4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highlight w:val="none"/>
        </w:rPr>
        <w:t>填表人：        填报日期：          联系电话：            单位负责人签字：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>
      <w:pPr>
        <w:widowControl/>
        <w:spacing w:after="0" w:afterLines="0" w:line="4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widowControl/>
        <w:spacing w:after="120" w:afterLines="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年度部门整体支出绩效自评表</w:t>
      </w:r>
    </w:p>
    <w:tbl>
      <w:tblPr>
        <w:tblStyle w:val="4"/>
        <w:tblW w:w="100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34"/>
        <w:gridCol w:w="1270"/>
        <w:gridCol w:w="1311"/>
        <w:gridCol w:w="1269"/>
        <w:gridCol w:w="716"/>
        <w:gridCol w:w="873"/>
        <w:gridCol w:w="14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级预算部门名称</w:t>
            </w:r>
          </w:p>
        </w:tc>
        <w:tc>
          <w:tcPr>
            <w:tcW w:w="89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岳阳市铁山供水工程事务中心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算申请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年初预算数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全年预算数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全年执行数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5679.14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52667.68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48258.39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91.63%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9.17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按收入性质分：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 xml:space="preserve">  其中：  一般公共预算：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4947.14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其中：基本支出：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5223.73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800" w:firstLineChars="4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政府性基金拨款：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600" w:firstLineChars="30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41837.85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纳入专户管理的非税收入拨款：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400" w:firstLineChars="70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732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bookmarkStart w:id="0" w:name="OLE_LINK7"/>
            <w:r>
              <w:rPr>
                <w:rFonts w:hint="eastAsia" w:eastAsia="仿宋_GB2312"/>
                <w:sz w:val="18"/>
                <w:szCs w:val="18"/>
              </w:rPr>
              <w:t>供应城市饮用水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与生态补水</w:t>
            </w:r>
            <w:r>
              <w:rPr>
                <w:rFonts w:hint="eastAsia" w:eastAsia="仿宋_GB2312"/>
                <w:sz w:val="18"/>
                <w:szCs w:val="18"/>
              </w:rPr>
              <w:t>1亿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m³</w:t>
            </w:r>
            <w:r>
              <w:rPr>
                <w:rFonts w:hint="eastAsia" w:eastAsia="仿宋_GB2312"/>
                <w:sz w:val="18"/>
                <w:szCs w:val="18"/>
              </w:rPr>
              <w:t>，供应农业灌溉用水　1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.65</w:t>
            </w:r>
            <w:r>
              <w:rPr>
                <w:rFonts w:hint="eastAsia" w:eastAsia="仿宋_GB2312"/>
                <w:sz w:val="18"/>
                <w:szCs w:val="18"/>
              </w:rPr>
              <w:t>亿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m³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，</w:t>
            </w:r>
            <w:r>
              <w:rPr>
                <w:rFonts w:hint="eastAsia" w:eastAsia="仿宋_GB2312"/>
                <w:sz w:val="18"/>
                <w:szCs w:val="18"/>
              </w:rPr>
              <w:t>铁山鲜鱼年产量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eastAsia="仿宋_GB2312"/>
                <w:sz w:val="18"/>
                <w:szCs w:val="18"/>
              </w:rPr>
              <w:t>万斤，完成防汛抗旱任务。</w:t>
            </w:r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sz w:val="18"/>
                <w:szCs w:val="18"/>
              </w:rPr>
              <w:t>供应城市饮用水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与生态补水</w:t>
            </w:r>
            <w:r>
              <w:rPr>
                <w:rFonts w:hint="eastAsia" w:eastAsia="仿宋_GB2312"/>
                <w:sz w:val="18"/>
                <w:szCs w:val="18"/>
              </w:rPr>
              <w:t>1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.12</w:t>
            </w:r>
            <w:r>
              <w:rPr>
                <w:rFonts w:hint="eastAsia" w:eastAsia="仿宋_GB2312"/>
                <w:sz w:val="18"/>
                <w:szCs w:val="18"/>
              </w:rPr>
              <w:t>亿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m³</w:t>
            </w:r>
            <w:r>
              <w:rPr>
                <w:rFonts w:hint="eastAsia" w:eastAsia="仿宋_GB2312"/>
                <w:sz w:val="18"/>
                <w:szCs w:val="18"/>
              </w:rPr>
              <w:t>，供应农业灌溉用水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2.2</w:t>
            </w:r>
            <w:r>
              <w:rPr>
                <w:rFonts w:hint="eastAsia" w:eastAsia="仿宋_GB2312"/>
                <w:sz w:val="18"/>
                <w:szCs w:val="18"/>
              </w:rPr>
              <w:t>亿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m³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</w:rPr>
              <w:t>，</w:t>
            </w:r>
            <w:r>
              <w:rPr>
                <w:rFonts w:hint="eastAsia" w:eastAsia="仿宋_GB2312"/>
                <w:sz w:val="18"/>
                <w:szCs w:val="18"/>
              </w:rPr>
              <w:t>铁山鲜鱼年产量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78.9</w:t>
            </w:r>
            <w:r>
              <w:rPr>
                <w:rFonts w:hint="eastAsia" w:eastAsia="仿宋_GB2312"/>
                <w:sz w:val="18"/>
                <w:szCs w:val="18"/>
              </w:rPr>
              <w:t>万斤，完成防汛抗旱任务。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年度指标值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实际完成值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sz w:val="18"/>
                <w:szCs w:val="18"/>
              </w:rPr>
              <w:t>供应城市饮用水</w:t>
            </w:r>
            <w:bookmarkStart w:id="1" w:name="OLE_LINK6"/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与生态补水</w:t>
            </w:r>
            <w:bookmarkEnd w:id="1"/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bookmarkStart w:id="2" w:name="OLE_LINK2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sz w:val="18"/>
                <w:szCs w:val="18"/>
              </w:rPr>
              <w:t>1亿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m³</w:t>
            </w:r>
            <w:bookmarkEnd w:id="2"/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sz w:val="18"/>
                <w:szCs w:val="18"/>
              </w:rPr>
              <w:t>1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.12</w:t>
            </w:r>
            <w:r>
              <w:rPr>
                <w:rFonts w:hint="eastAsia" w:eastAsia="仿宋_GB2312"/>
                <w:sz w:val="18"/>
                <w:szCs w:val="18"/>
              </w:rPr>
              <w:t>亿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m³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sz w:val="18"/>
                <w:szCs w:val="18"/>
              </w:rPr>
              <w:t>供应农业灌溉用水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sz w:val="18"/>
                <w:szCs w:val="18"/>
              </w:rPr>
              <w:t>1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.65</w:t>
            </w:r>
            <w:r>
              <w:rPr>
                <w:rFonts w:hint="eastAsia" w:eastAsia="仿宋_GB2312"/>
                <w:sz w:val="18"/>
                <w:szCs w:val="18"/>
              </w:rPr>
              <w:t>亿</w:t>
            </w:r>
            <w:bookmarkStart w:id="3" w:name="OLE_LINK1"/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m³</w:t>
            </w:r>
            <w:bookmarkEnd w:id="3"/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2.2亿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m³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sz w:val="18"/>
                <w:szCs w:val="18"/>
              </w:rPr>
              <w:t>铁山鲜鱼年产量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sz w:val="18"/>
                <w:szCs w:val="18"/>
              </w:rPr>
              <w:tab/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eastAsia="仿宋_GB2312"/>
                <w:sz w:val="18"/>
                <w:szCs w:val="18"/>
              </w:rPr>
              <w:t>万斤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78.9万斤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sz w:val="18"/>
                <w:szCs w:val="18"/>
              </w:rPr>
              <w:t>达到国家Ⅰ类标准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sz w:val="18"/>
                <w:szCs w:val="18"/>
              </w:rPr>
              <w:t>Ⅰ类标准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Ⅱ类标准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拦污拦淤，生活垃圾达标排放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sz w:val="18"/>
                <w:szCs w:val="18"/>
              </w:rPr>
              <w:t>农业灌溉用水达到GB 5084-2021标准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bookmarkStart w:id="4" w:name="OLE_LINK3"/>
            <w:r>
              <w:rPr>
                <w:rFonts w:hint="eastAsia" w:eastAsia="仿宋_GB2312"/>
                <w:sz w:val="18"/>
                <w:szCs w:val="18"/>
              </w:rPr>
              <w:t>GB 5084-2021标准</w:t>
            </w:r>
            <w:bookmarkEnd w:id="4"/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sz w:val="18"/>
                <w:szCs w:val="18"/>
              </w:rPr>
              <w:t>GB 5084-2021标准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sz w:val="18"/>
                <w:szCs w:val="18"/>
              </w:rPr>
              <w:t>本年度完成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bookmarkStart w:id="5" w:name="OLE_LINK4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2024年年底</w:t>
            </w:r>
            <w:bookmarkEnd w:id="5"/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2024年年底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sz w:val="18"/>
                <w:szCs w:val="18"/>
              </w:rPr>
              <w:t>各项支出控制在预算批复的数值范围内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未超出标准范围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控制较好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sz w:val="18"/>
                <w:szCs w:val="18"/>
              </w:rPr>
              <w:t>三公经费较上年</w:t>
            </w:r>
            <w:bookmarkStart w:id="6" w:name="OLE_LINK5"/>
            <w:r>
              <w:rPr>
                <w:rFonts w:hint="eastAsia" w:eastAsia="仿宋_GB2312"/>
                <w:sz w:val="18"/>
                <w:szCs w:val="18"/>
              </w:rPr>
              <w:t>下降</w:t>
            </w:r>
            <w:bookmarkEnd w:id="6"/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sz w:val="18"/>
                <w:szCs w:val="18"/>
              </w:rPr>
              <w:t>下降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sz w:val="18"/>
                <w:szCs w:val="18"/>
              </w:rPr>
              <w:t>下降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（30分）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sz w:val="18"/>
                <w:szCs w:val="18"/>
              </w:rPr>
              <w:t>城市供水收入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sz w:val="18"/>
                <w:szCs w:val="18"/>
              </w:rPr>
              <w:t>≥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4200</w:t>
            </w:r>
            <w:r>
              <w:rPr>
                <w:rFonts w:hint="eastAsia" w:eastAsia="仿宋_GB2312"/>
                <w:sz w:val="18"/>
                <w:szCs w:val="18"/>
              </w:rPr>
              <w:t>万元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sz w:val="18"/>
                <w:szCs w:val="18"/>
              </w:rPr>
              <w:t>≥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4293.87</w:t>
            </w:r>
            <w:r>
              <w:rPr>
                <w:rFonts w:hint="eastAsia" w:eastAsia="仿宋_GB2312"/>
                <w:sz w:val="18"/>
                <w:szCs w:val="18"/>
              </w:rPr>
              <w:t>万元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sz w:val="18"/>
                <w:szCs w:val="18"/>
              </w:rPr>
              <w:t>保障农业稳产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sz w:val="18"/>
                <w:szCs w:val="18"/>
              </w:rPr>
              <w:t>稳产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sz w:val="18"/>
                <w:szCs w:val="18"/>
              </w:rPr>
              <w:t>稳产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sz w:val="18"/>
                <w:szCs w:val="18"/>
              </w:rPr>
              <w:t>在全省14个市州中居民用水质量排名前列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sz w:val="18"/>
                <w:szCs w:val="18"/>
              </w:rPr>
              <w:t>提升岳阳综合实力，提高人民生活的幸福感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有效提升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sz w:val="18"/>
                <w:szCs w:val="18"/>
              </w:rPr>
              <w:t>为防汛抗旱发挥最大作用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sz w:val="18"/>
                <w:szCs w:val="18"/>
              </w:rPr>
              <w:t>　防止险情发生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sz w:val="18"/>
                <w:szCs w:val="18"/>
              </w:rPr>
              <w:t>有效保障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sz w:val="18"/>
                <w:szCs w:val="18"/>
              </w:rPr>
              <w:t>改善生态环境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sz w:val="18"/>
                <w:szCs w:val="18"/>
              </w:rPr>
              <w:t>积极影响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sz w:val="18"/>
                <w:szCs w:val="18"/>
              </w:rPr>
              <w:t>生态明显好转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sz w:val="18"/>
                <w:szCs w:val="18"/>
              </w:rPr>
              <w:t>平稳运行并促进人与自然和谐相处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sz w:val="18"/>
                <w:szCs w:val="18"/>
              </w:rPr>
              <w:t>效果显著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sz w:val="18"/>
                <w:szCs w:val="18"/>
              </w:rPr>
              <w:t>效果显著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sz w:val="18"/>
                <w:szCs w:val="18"/>
              </w:rPr>
              <w:t>上级主管部门满意度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sz w:val="18"/>
                <w:szCs w:val="18"/>
              </w:rPr>
              <w:t>≥95%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sz w:val="18"/>
                <w:szCs w:val="18"/>
              </w:rPr>
              <w:t>≥95%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人民群众满意度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sz w:val="18"/>
                <w:szCs w:val="18"/>
              </w:rPr>
              <w:t>≥95%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sz w:val="18"/>
                <w:szCs w:val="18"/>
              </w:rPr>
              <w:t>≥95%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97.17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填表人：      填报日期：         联系电话：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94A92"/>
    <w:rsid w:val="00247FFF"/>
    <w:rsid w:val="02984DB4"/>
    <w:rsid w:val="04D94A92"/>
    <w:rsid w:val="0E2422E5"/>
    <w:rsid w:val="14DB7D65"/>
    <w:rsid w:val="157D7B8B"/>
    <w:rsid w:val="17DF0A39"/>
    <w:rsid w:val="1B611234"/>
    <w:rsid w:val="1EE07A9F"/>
    <w:rsid w:val="24E22490"/>
    <w:rsid w:val="28C82E32"/>
    <w:rsid w:val="2FD36510"/>
    <w:rsid w:val="301E4950"/>
    <w:rsid w:val="33067842"/>
    <w:rsid w:val="33F161AE"/>
    <w:rsid w:val="34945D4F"/>
    <w:rsid w:val="387835AA"/>
    <w:rsid w:val="3AD02CD4"/>
    <w:rsid w:val="42536F54"/>
    <w:rsid w:val="45F416D5"/>
    <w:rsid w:val="467A34E7"/>
    <w:rsid w:val="49CB2B01"/>
    <w:rsid w:val="4D8C6F10"/>
    <w:rsid w:val="4E803ED7"/>
    <w:rsid w:val="531578EC"/>
    <w:rsid w:val="61E6342A"/>
    <w:rsid w:val="66B735A2"/>
    <w:rsid w:val="69671BB7"/>
    <w:rsid w:val="6E520D2A"/>
    <w:rsid w:val="6FED1C82"/>
    <w:rsid w:val="70843F82"/>
    <w:rsid w:val="75655BC9"/>
    <w:rsid w:val="7618085B"/>
    <w:rsid w:val="77171FFB"/>
    <w:rsid w:val="7A442800"/>
    <w:rsid w:val="7BE33153"/>
    <w:rsid w:val="7EB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2025-05-06T01:34:00Z</dcterms:created>
  <dc:creator>Administrator</dc:creator>
  <cp:lastModifiedBy>Administrator</cp:lastModifiedBy>
  <cp:lastPrinted>2025-06-17T06:50:26Z</cp:lastPrinted>
  <dcterms:modified xsi:type="dcterms:W3CDTF">2025-06-17T09:30:26Z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1DE40EFA13DA49179781304E5712AE50</vt:lpwstr>
  </property>
</Properties>
</file>