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岳阳市广播电视台</w:t>
      </w:r>
      <w:r>
        <w:rPr>
          <w:rFonts w:hint="eastAsia" w:ascii="方正小标宋_GBK" w:hAnsi="方正小标宋_GBK" w:eastAsia="方正小标宋_GBK" w:cs="方正小标宋_GBK"/>
          <w:sz w:val="84"/>
          <w:szCs w:val="84"/>
        </w:rPr>
        <w:t>部门决算</w:t>
      </w:r>
    </w:p>
    <w:p>
      <w:pPr>
        <w:pStyle w:val="13"/>
        <w:jc w:val="center"/>
        <w:rPr>
          <w:rFonts w:hint="eastAsia"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40" w:lineRule="exact"/>
        <w:jc w:val="center"/>
        <w:rPr>
          <w:sz w:val="56"/>
          <w:szCs w:val="56"/>
        </w:rPr>
      </w:pPr>
    </w:p>
    <w:p>
      <w:pPr>
        <w:pStyle w:val="13"/>
        <w:spacing w:line="500" w:lineRule="exact"/>
        <w:jc w:val="both"/>
        <w:rPr>
          <w:b/>
          <w:sz w:val="36"/>
          <w:szCs w:val="28"/>
        </w:rPr>
      </w:pPr>
    </w:p>
    <w:p>
      <w:pPr>
        <w:pStyle w:val="13"/>
        <w:spacing w:line="500" w:lineRule="exact"/>
        <w:jc w:val="center"/>
        <w:rPr>
          <w:b/>
          <w:sz w:val="36"/>
          <w:szCs w:val="28"/>
        </w:rPr>
      </w:pPr>
      <w:r>
        <w:rPr>
          <w:rFonts w:hint="eastAsia"/>
          <w:b/>
          <w:sz w:val="36"/>
          <w:szCs w:val="28"/>
        </w:rPr>
        <w:t>目录</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岳阳市广播电视台</w:t>
      </w:r>
      <w:bookmarkStart w:id="0" w:name="_GoBack"/>
      <w:bookmarkEnd w:id="0"/>
      <w:r>
        <w:rPr>
          <w:rFonts w:hint="eastAsia" w:ascii="黑体" w:hAnsi="黑体" w:eastAsia="黑体" w:cs="黑体"/>
          <w:b w:val="0"/>
          <w:bCs/>
          <w:sz w:val="28"/>
          <w:szCs w:val="28"/>
        </w:rPr>
        <w:t>概况</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3"/>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岳阳市广播电视台</w:t>
      </w:r>
      <w:r>
        <w:rPr>
          <w:rFonts w:hint="eastAsia" w:ascii="方正小标宋_GBK" w:hAnsi="方正小标宋_GBK" w:eastAsia="方正小标宋_GBK" w:cs="方正小标宋_GBK"/>
          <w:sz w:val="84"/>
          <w:szCs w:val="84"/>
        </w:rPr>
        <w:t>概况</w:t>
      </w: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pStyle w:val="14"/>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我台为市政府直属的公益一类事业单位，今年还是财政定额拨款。主要职责是：</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1、为市委、市政府工作提供支持保障的职能。</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（1）、负责拟定广播电视、网络视听节目服务管理的政策措施，加强广播电视阵地管理，把握正确的舆论导向。</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（2）、负责拟定市本级广播电视事业发展规划并组织实施的行政辅助工作；指导、协调、推动广电产业发展。</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（3）、负责岳阳广播中心、电视中心节目的采编、制作、审核、播控、传输，以及中央和省级广播、电视的转播工作；负责新媒体的组稿、编辑工作。</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（4）、负责广播电视有线传输网络的设计、建设、维护，以及开发应用工作。</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（5）、负责广播电视融媒体新技术的研究和开始利用工作。</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6）、负责广播电视人才的培训、培养、引进和使用工作。充分发挥党和政府的喉舌作用，负责完整传输中央、省、市广播电视节目；负责广播电视节目的采、编、播及广播、电视节目交流；负责自办节目的策划、采制、审查、以及播出编排和管理工作。</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2、面向社会提供公益服务的职能。</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负责开办岳阳新闻频道、岳阳公共民生频道、岳阳经济科教频道、岳阳新闻网、智慧岳阳APP等，为全市人民提供文化、娱乐、生活等资讯要求。</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3、完成市委、市政府交办的其他事项。</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（一）内设机构设置。</w:t>
      </w:r>
    </w:p>
    <w:p>
      <w:pPr>
        <w:widowControl/>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Cs/>
          <w:kern w:val="0"/>
          <w:sz w:val="32"/>
          <w:szCs w:val="32"/>
        </w:rPr>
        <w:t>岳阳市广播电视台内设机构包括：</w:t>
      </w:r>
      <w:r>
        <w:rPr>
          <w:rFonts w:hint="eastAsia" w:ascii="仿宋_GB2312" w:hAnsi="仿宋_GB2312" w:eastAsia="仿宋_GB2312" w:cs="仿宋_GB2312"/>
          <w:kern w:val="0"/>
          <w:sz w:val="32"/>
          <w:szCs w:val="32"/>
        </w:rPr>
        <w:t>综合部、总编室、技术部、发展战略规划部、媒体舆情监管部、媒资调配部、经营服务部、法务部、人事部、财务审计部、服务保障部、安全保卫部。设三个分支机构：电视中心、广播中心、新媒体中心。</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（二）决算单位构成。</w:t>
      </w:r>
    </w:p>
    <w:p>
      <w:pPr>
        <w:ind w:firstLine="640" w:firstLineChars="200"/>
        <w:jc w:val="left"/>
        <w:rPr>
          <w:rFonts w:hint="eastAsia" w:ascii="宋体" w:hAnsi="宋体" w:eastAsia="宋体" w:cs="Times New Roman"/>
          <w:i w:val="0"/>
          <w:iCs w:val="0"/>
          <w:strike w:val="0"/>
          <w:dstrike w:val="0"/>
          <w:color w:val="auto"/>
          <w:sz w:val="36"/>
          <w:szCs w:val="28"/>
          <w:highlight w:val="white"/>
          <w:lang w:val="en-US" w:eastAsia="zh-CN"/>
        </w:rPr>
      </w:pPr>
      <w:r>
        <w:rPr>
          <w:rFonts w:hint="eastAsia" w:ascii="仿宋_GB2312" w:hAnsi="仿宋_GB2312" w:eastAsia="仿宋_GB2312" w:cs="仿宋_GB2312"/>
          <w:bCs/>
          <w:kern w:val="0"/>
          <w:sz w:val="32"/>
          <w:szCs w:val="32"/>
        </w:rPr>
        <w:t>岳阳市广播电视台202</w:t>
      </w:r>
      <w:r>
        <w:rPr>
          <w:rFonts w:hint="eastAsia" w:ascii="仿宋_GB2312" w:hAnsi="仿宋_GB2312" w:eastAsia="仿宋_GB2312" w:cs="仿宋_GB2312"/>
          <w:bCs/>
          <w:kern w:val="0"/>
          <w:sz w:val="32"/>
          <w:szCs w:val="32"/>
          <w:lang w:val="en-US" w:eastAsia="zh-CN"/>
        </w:rPr>
        <w:t>3</w:t>
      </w:r>
      <w:r>
        <w:rPr>
          <w:rFonts w:hint="eastAsia" w:ascii="仿宋_GB2312" w:hAnsi="仿宋_GB2312" w:eastAsia="仿宋_GB2312" w:cs="仿宋_GB2312"/>
          <w:bCs/>
          <w:kern w:val="0"/>
          <w:sz w:val="32"/>
          <w:szCs w:val="32"/>
        </w:rPr>
        <w:t>年部门决算汇总公开单位构成包括：岳阳市广播电视台本级。</w:t>
      </w:r>
      <w:r>
        <w:rPr>
          <w:rFonts w:hint="eastAsia" w:ascii="仿宋_GB2312" w:hAnsi="仿宋_GB2312" w:eastAsia="仿宋_GB2312" w:cs="仿宋_GB2312"/>
          <w:i w:val="0"/>
          <w:iCs w:val="0"/>
          <w:strike w:val="0"/>
          <w:dstrike w:val="0"/>
          <w:color w:val="auto"/>
          <w:sz w:val="32"/>
          <w:szCs w:val="32"/>
          <w:highlight w:val="white"/>
          <w:lang w:eastAsia="zh-CN"/>
        </w:rPr>
        <w:t>本单位无独立核算的下属单位，</w:t>
      </w:r>
      <w:r>
        <w:rPr>
          <w:rFonts w:hint="eastAsia" w:ascii="仿宋_GB2312" w:hAnsi="仿宋_GB2312" w:eastAsia="仿宋_GB2312" w:cs="仿宋_GB2312"/>
          <w:i w:val="0"/>
          <w:iCs w:val="0"/>
          <w:strike w:val="0"/>
          <w:dstrike w:val="0"/>
          <w:color w:val="auto"/>
          <w:sz w:val="32"/>
          <w:szCs w:val="32"/>
          <w:highlight w:val="white"/>
          <w:lang w:val="en-US" w:eastAsia="zh-CN"/>
        </w:rPr>
        <w:t>2023年度部门决算汇总公开单位仅岳阳市广播电视台本级。</w:t>
      </w: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both"/>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both"/>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p>
    <w:p>
      <w:pPr>
        <w:widowControl/>
        <w:ind w:firstLine="640" w:firstLineChars="200"/>
        <w:jc w:val="left"/>
        <w:rPr>
          <w:rFonts w:hint="eastAsia" w:ascii="仿宋_GB2312" w:hAnsi="仿宋_GB2312" w:eastAsia="仿宋_GB2312" w:cs="仿宋_GB2312"/>
          <w:sz w:val="32"/>
          <w:szCs w:val="32"/>
        </w:rPr>
      </w:pPr>
    </w:p>
    <w:p>
      <w:pPr>
        <w:widowControl/>
        <w:ind w:firstLine="640" w:firstLineChars="200"/>
        <w:jc w:val="left"/>
        <w:rPr>
          <w:rFonts w:hint="eastAsia" w:ascii="仿宋_GB2312" w:hAnsi="仿宋_GB2312" w:eastAsia="仿宋_GB2312" w:cs="仿宋_GB2312"/>
          <w:sz w:val="32"/>
          <w:szCs w:val="32"/>
        </w:rPr>
      </w:pPr>
    </w:p>
    <w:p>
      <w:pPr>
        <w:widowControl/>
        <w:ind w:firstLine="640" w:firstLineChars="200"/>
        <w:jc w:val="left"/>
        <w:rPr>
          <w:rFonts w:hint="eastAsia" w:ascii="仿宋_GB2312" w:hAnsi="仿宋_GB2312" w:eastAsia="仿宋_GB2312" w:cs="仿宋_GB2312"/>
          <w:sz w:val="32"/>
          <w:szCs w:val="32"/>
        </w:rPr>
      </w:pPr>
    </w:p>
    <w:p>
      <w:pPr>
        <w:widowControl/>
        <w:ind w:firstLine="640" w:firstLineChars="200"/>
        <w:jc w:val="left"/>
        <w:rPr>
          <w:rFonts w:hint="eastAsia" w:ascii="仿宋_GB2312" w:hAnsi="仿宋_GB2312" w:eastAsia="仿宋_GB2312" w:cs="仿宋_GB2312"/>
          <w:sz w:val="32"/>
          <w:szCs w:val="32"/>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2"/>
        <w:rPr>
          <w:rFonts w:hint="eastAsia" w:ascii="仿宋_GB2312" w:hAnsi="仿宋_GB2312" w:eastAsia="仿宋_GB2312" w:cs="仿宋_GB2312"/>
          <w:sz w:val="32"/>
          <w:szCs w:val="32"/>
        </w:rPr>
      </w:pPr>
    </w:p>
    <w:p>
      <w:pPr>
        <w:pStyle w:val="3"/>
        <w:rPr>
          <w:rFonts w:hint="eastAsia"/>
        </w:rPr>
      </w:pP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7721.27</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1251.09</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13.94</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2023年资产处置收入的减少以及广电中心建设工程款和设备采购支出的减少。</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7721.27</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7721.27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7721.27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6060.48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78.49</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1660.78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21.51</w:t>
      </w:r>
      <w:r>
        <w:rPr>
          <w:rFonts w:hint="eastAsia" w:ascii="仿宋_GB2312" w:hAnsi="仿宋_GB2312" w:eastAsia="仿宋_GB2312" w:cs="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7721.27</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694.74</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8.25</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2023年资产处置收入的减少以及广电中心建设工程款和设备采购支出的减少。</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6055.72</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78.43</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665.16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12.34</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2023年我单位财政拨款收入增加了。</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6055.72</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93.93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1.55</w:t>
      </w:r>
      <w:r>
        <w:rPr>
          <w:rFonts w:hint="eastAsia" w:ascii="仿宋_GB2312" w:hAnsi="仿宋_GB2312" w:eastAsia="仿宋_GB2312" w:cs="仿宋_GB2312"/>
          <w:sz w:val="32"/>
          <w:szCs w:val="32"/>
        </w:rPr>
        <w:t>%；文化旅游体育与传媒（类）支出</w:t>
      </w:r>
      <w:r>
        <w:rPr>
          <w:rFonts w:hint="eastAsia" w:ascii="仿宋_GB2312" w:hAnsi="仿宋_GB2312" w:eastAsia="仿宋_GB2312" w:cs="仿宋_GB2312"/>
          <w:sz w:val="32"/>
          <w:szCs w:val="32"/>
          <w:lang w:val="en-US" w:eastAsia="zh-CN"/>
        </w:rPr>
        <w:t>5594.46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92.38</w:t>
      </w:r>
      <w:r>
        <w:rPr>
          <w:rFonts w:hint="eastAsia" w:ascii="仿宋_GB2312" w:hAnsi="仿宋_GB2312" w:eastAsia="仿宋_GB2312" w:cs="仿宋_GB2312"/>
          <w:sz w:val="32"/>
          <w:szCs w:val="32"/>
        </w:rPr>
        <w:t>%;社会保障和就业（类）支出</w:t>
      </w:r>
      <w:r>
        <w:rPr>
          <w:rFonts w:hint="eastAsia" w:ascii="仿宋_GB2312" w:hAnsi="仿宋_GB2312" w:eastAsia="仿宋_GB2312" w:cs="仿宋_GB2312"/>
          <w:sz w:val="32"/>
          <w:szCs w:val="32"/>
          <w:lang w:val="en-US" w:eastAsia="zh-CN"/>
        </w:rPr>
        <w:t>367.32万元，占6.07%。</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5423.7</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6055.72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111.65</w:t>
      </w:r>
      <w:r>
        <w:rPr>
          <w:rFonts w:hint="eastAsia" w:ascii="仿宋_GB2312" w:hAnsi="仿宋_GB2312" w:eastAsia="仿宋_GB2312" w:cs="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1、一般公共服务（类）</w:t>
      </w:r>
      <w:r>
        <w:rPr>
          <w:rFonts w:hint="eastAsia" w:ascii="仿宋_GB2312" w:hAnsi="仿宋_GB2312" w:eastAsia="仿宋_GB2312" w:cs="仿宋_GB2312"/>
          <w:sz w:val="32"/>
          <w:szCs w:val="32"/>
          <w:highlight w:val="none"/>
          <w:lang w:eastAsia="zh-CN"/>
        </w:rPr>
        <w:t>宣传事务</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highlight w:val="none"/>
          <w:lang w:eastAsia="zh-CN"/>
        </w:rPr>
        <w:t>行政运行</w:t>
      </w:r>
      <w:r>
        <w:rPr>
          <w:rFonts w:hint="eastAsia" w:ascii="仿宋_GB2312" w:hAnsi="仿宋_GB2312" w:eastAsia="仿宋_GB2312" w:cs="仿宋_GB2312"/>
          <w:sz w:val="32"/>
          <w:szCs w:val="32"/>
          <w:highlight w:val="none"/>
        </w:rPr>
        <w:t>（项）。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年初预算为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73.93</w:t>
      </w:r>
      <w:r>
        <w:rPr>
          <w:rFonts w:hint="eastAsia" w:ascii="仿宋_GB2312" w:hAnsi="仿宋_GB2312" w:eastAsia="仿宋_GB2312" w:cs="仿宋_GB2312"/>
          <w:sz w:val="32"/>
          <w:szCs w:val="32"/>
          <w:highlight w:val="none"/>
        </w:rPr>
        <w:t>万元，决算数大于年初预算数的主要原因是：我们今年属于定额拨款事业单位，预算经费没有这项,</w:t>
      </w:r>
      <w:r>
        <w:rPr>
          <w:rFonts w:hint="eastAsia" w:ascii="仿宋_GB2312" w:hAnsi="仿宋_GB2312" w:eastAsia="仿宋_GB2312" w:cs="仿宋_GB2312"/>
          <w:sz w:val="32"/>
          <w:szCs w:val="32"/>
          <w:highlight w:val="none"/>
          <w:lang w:eastAsia="zh-CN"/>
        </w:rPr>
        <w:t>今年实际发生了</w:t>
      </w:r>
      <w:r>
        <w:rPr>
          <w:rFonts w:hint="eastAsia" w:ascii="仿宋_GB2312" w:hAnsi="仿宋_GB2312" w:eastAsia="仿宋_GB2312" w:cs="仿宋_GB2312"/>
          <w:sz w:val="32"/>
          <w:szCs w:val="32"/>
          <w:highlight w:val="none"/>
          <w:lang w:val="en-US" w:eastAsia="zh-CN"/>
        </w:rPr>
        <w:t>73.93万元。</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2、一般公共服务（类）其他一般公共服务支出（款）其他一般公共服务支出（项）。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年初预算为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万元，决算数大于年初预算数的主要</w:t>
      </w:r>
      <w:r>
        <w:rPr>
          <w:rFonts w:hint="eastAsia" w:ascii="仿宋_GB2312" w:hAnsi="仿宋_GB2312" w:eastAsia="仿宋_GB2312" w:cs="仿宋_GB2312"/>
          <w:color w:val="auto"/>
          <w:sz w:val="32"/>
          <w:szCs w:val="32"/>
          <w:highlight w:val="none"/>
        </w:rPr>
        <w:t>原因是：</w:t>
      </w:r>
      <w:r>
        <w:rPr>
          <w:rFonts w:hint="eastAsia" w:ascii="仿宋_GB2312" w:hAnsi="仿宋_GB2312" w:eastAsia="仿宋_GB2312" w:cs="仿宋_GB2312"/>
          <w:sz w:val="32"/>
          <w:szCs w:val="32"/>
          <w:highlight w:val="none"/>
        </w:rPr>
        <w:t>我们今年属于定额拨款事业单位，预算经费没有这项,</w:t>
      </w:r>
      <w:r>
        <w:rPr>
          <w:rFonts w:hint="eastAsia" w:ascii="仿宋_GB2312" w:hAnsi="仿宋_GB2312" w:eastAsia="仿宋_GB2312" w:cs="仿宋_GB2312"/>
          <w:sz w:val="32"/>
          <w:szCs w:val="32"/>
          <w:highlight w:val="none"/>
          <w:lang w:eastAsia="zh-CN"/>
        </w:rPr>
        <w:t>今年实际发生了</w:t>
      </w:r>
      <w:r>
        <w:rPr>
          <w:rFonts w:hint="eastAsia" w:ascii="仿宋_GB2312" w:hAnsi="仿宋_GB2312" w:eastAsia="仿宋_GB2312" w:cs="仿宋_GB2312"/>
          <w:sz w:val="32"/>
          <w:szCs w:val="32"/>
          <w:highlight w:val="none"/>
          <w:lang w:val="en-US" w:eastAsia="zh-CN"/>
        </w:rPr>
        <w:t>20万元。</w:t>
      </w:r>
    </w:p>
    <w:p>
      <w:pPr>
        <w:pStyle w:val="13"/>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文化旅游体育与传媒支出（类）文化和旅游（款）行政运行（项）。</w:t>
      </w:r>
    </w:p>
    <w:p>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年初预算为0万元，支出决算为32.5万元，决算数大于年初预算数的主要原因是：我们今年属于定额拨款事业单位，预算经费没有这项,今年实际发生了32.5万元。</w:t>
      </w:r>
    </w:p>
    <w:p>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4、文化旅游体育与传媒支出（类）文化和旅游（款）其他文化和旅游支出（项）。</w:t>
      </w:r>
    </w:p>
    <w:p>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年初预算为0万元，支出决算为50万元，决算数大于年初预算数的主要原因是：我们今年属于定额拨款事业单位，预算经费没有这项,今年实际发生了50万元。</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5、文化旅游体育与传媒支出（类）新闻出版电影（款）其他新闻出版电影支出（项）。</w:t>
      </w:r>
    </w:p>
    <w:p>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年初预算为5059.83万元，支出决算为5382.96万元，完成年初预算的106.39%，决算数大于年初预算数的主要原因是：上一年非税收入返还于2023年使用。</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6、文化旅游体育与传媒支出（类）广播电视（款）行政运行（项）。</w:t>
      </w:r>
    </w:p>
    <w:p>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年初预算为0万元，支出决算为3万元，决算数大于年初预算数的主要原因是：我们今年属于定额拨款事业单位，预算经费没有这项,今年实际发生了3万元。</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7、文化旅游体育与传媒支出（类）广播电视（款）其他广播电视支出（项）。</w:t>
      </w:r>
    </w:p>
    <w:p>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年初预算为0万元，支出决算为96万元，决算数大于年初预算数的主要原因是：我们今年属于定额拨款事业单位，预算经费没有这项,今年实际发生了96万元。</w:t>
      </w:r>
    </w:p>
    <w:p>
      <w:pPr>
        <w:pStyle w:val="13"/>
        <w:keepNext w:val="0"/>
        <w:keepLines w:val="0"/>
        <w:pageBreakBefore w:val="0"/>
        <w:widowControl w:val="0"/>
        <w:numPr>
          <w:ilvl w:val="0"/>
          <w:numId w:val="3"/>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文化旅游体育与传媒支出（类）其他文化旅游体育与传媒支出（款）其他文化旅游体育与传媒支出（项）。</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年初预算为0万元，支出决算为30万元，决算数大于年初预算数的主要原因是：我们今年属于定额拨款事业单位，预算经费没有这项,今年实际发生了30万元。</w:t>
      </w:r>
    </w:p>
    <w:p>
      <w:pPr>
        <w:pStyle w:val="13"/>
        <w:keepNext w:val="0"/>
        <w:keepLines w:val="0"/>
        <w:pageBreakBefore w:val="0"/>
        <w:widowControl w:val="0"/>
        <w:numPr>
          <w:ilvl w:val="0"/>
          <w:numId w:val="3"/>
        </w:numPr>
        <w:kinsoku/>
        <w:wordWrap/>
        <w:overflowPunct/>
        <w:topLinePunct w:val="0"/>
        <w:bidi w:val="0"/>
        <w:snapToGrid/>
        <w:spacing w:line="60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社会保障和就业支出（类）行政事业单位养老支出（款）机关事业单位基本养老保险缴费支出（项）。</w:t>
      </w:r>
    </w:p>
    <w:p>
      <w:pPr>
        <w:pStyle w:val="13"/>
        <w:keepNext w:val="0"/>
        <w:keepLines w:val="0"/>
        <w:pageBreakBefore w:val="0"/>
        <w:widowControl w:val="0"/>
        <w:numPr>
          <w:ilvl w:val="0"/>
          <w:numId w:val="0"/>
        </w:numPr>
        <w:kinsoku/>
        <w:wordWrap/>
        <w:overflowPunct/>
        <w:topLinePunct w:val="0"/>
        <w:bidi w:val="0"/>
        <w:snapToGrid/>
        <w:spacing w:line="60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年初预算为185万元，支出决算为185万元，完成年初预算的100%，决算数等于年初预算数的主要原因是：该预算为在职人员养老保险缴费支出，已全部用于本年度在职人员养老保险缴费，故决算数与预算数一致。</w:t>
      </w:r>
    </w:p>
    <w:p>
      <w:pPr>
        <w:pStyle w:val="13"/>
        <w:keepNext w:val="0"/>
        <w:keepLines w:val="0"/>
        <w:pageBreakBefore w:val="0"/>
        <w:widowControl w:val="0"/>
        <w:numPr>
          <w:ilvl w:val="0"/>
          <w:numId w:val="3"/>
        </w:numPr>
        <w:kinsoku/>
        <w:wordWrap/>
        <w:overflowPunct/>
        <w:topLinePunct w:val="0"/>
        <w:bidi w:val="0"/>
        <w:snapToGrid/>
        <w:spacing w:line="60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社会保障和就业支出（类）退役安置（款）军队转业干部安置（项）。</w:t>
      </w:r>
    </w:p>
    <w:p>
      <w:pPr>
        <w:pStyle w:val="13"/>
        <w:keepNext w:val="0"/>
        <w:keepLines w:val="0"/>
        <w:pageBreakBefore w:val="0"/>
        <w:widowControl w:val="0"/>
        <w:numPr>
          <w:ilvl w:val="0"/>
          <w:numId w:val="0"/>
        </w:numPr>
        <w:kinsoku/>
        <w:wordWrap/>
        <w:overflowPunct/>
        <w:topLinePunct w:val="0"/>
        <w:bidi w:val="0"/>
        <w:snapToGrid/>
        <w:spacing w:line="60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年初预算为0万元，支出决算为3.26万元，决算数大于年初预算数的主要原因是：我们今年属于定额拨款事业单位，预算经费没有这项,今年实际发生了3.26万元。</w:t>
      </w:r>
    </w:p>
    <w:p>
      <w:pPr>
        <w:pStyle w:val="13"/>
        <w:keepNext w:val="0"/>
        <w:keepLines w:val="0"/>
        <w:pageBreakBefore w:val="0"/>
        <w:widowControl w:val="0"/>
        <w:numPr>
          <w:ilvl w:val="0"/>
          <w:numId w:val="3"/>
        </w:numPr>
        <w:kinsoku/>
        <w:wordWrap/>
        <w:overflowPunct/>
        <w:topLinePunct w:val="0"/>
        <w:bidi w:val="0"/>
        <w:snapToGrid/>
        <w:spacing w:line="60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社会保障和就业支出（类）退役安置（款）其他退役安置支出（项）。</w:t>
      </w:r>
    </w:p>
    <w:p>
      <w:pPr>
        <w:pStyle w:val="13"/>
        <w:keepNext w:val="0"/>
        <w:keepLines w:val="0"/>
        <w:pageBreakBefore w:val="0"/>
        <w:widowControl w:val="0"/>
        <w:numPr>
          <w:ilvl w:val="0"/>
          <w:numId w:val="0"/>
        </w:numPr>
        <w:kinsoku/>
        <w:wordWrap/>
        <w:overflowPunct/>
        <w:topLinePunct w:val="0"/>
        <w:bidi w:val="0"/>
        <w:snapToGrid/>
        <w:spacing w:line="60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年初预算为0万元，支出决算为0.56万元，决算数大于年初预算数的主要原因是：我们今年属于定额拨款事业单位，预算经费没有这项,今年实际发生了0.56万元。</w:t>
      </w:r>
    </w:p>
    <w:p>
      <w:pPr>
        <w:pStyle w:val="13"/>
        <w:keepNext w:val="0"/>
        <w:keepLines w:val="0"/>
        <w:pageBreakBefore w:val="0"/>
        <w:widowControl w:val="0"/>
        <w:numPr>
          <w:ilvl w:val="0"/>
          <w:numId w:val="3"/>
        </w:numPr>
        <w:kinsoku/>
        <w:wordWrap/>
        <w:overflowPunct/>
        <w:topLinePunct w:val="0"/>
        <w:bidi w:val="0"/>
        <w:snapToGrid/>
        <w:spacing w:line="60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社会保障和就业支出（类）其他社会保障和就业支出（款）其他社会保障和就业支出（项）。</w:t>
      </w:r>
    </w:p>
    <w:p>
      <w:pPr>
        <w:pStyle w:val="13"/>
        <w:keepNext w:val="0"/>
        <w:keepLines w:val="0"/>
        <w:pageBreakBefore w:val="0"/>
        <w:widowControl w:val="0"/>
        <w:numPr>
          <w:ilvl w:val="0"/>
          <w:numId w:val="0"/>
        </w:numPr>
        <w:kinsoku/>
        <w:wordWrap/>
        <w:overflowPunct/>
        <w:topLinePunct w:val="0"/>
        <w:bidi w:val="0"/>
        <w:snapToGrid/>
        <w:spacing w:line="60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年初预算为178.5万元，支出决算为178.5万元，完成年初预算的100%，决算数等于年初预算数的主要原因是：该预算为在职人员医疗保险缴费支出，已全部用于本年度在职人员医疗保险缴费，故决算数与预算数一致。</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6054.97</w:t>
      </w:r>
      <w:r>
        <w:rPr>
          <w:rFonts w:hint="eastAsia" w:ascii="仿宋_GB2312" w:hAnsi="仿宋_GB2312" w:eastAsia="仿宋_GB2312" w:cs="仿宋_GB2312"/>
          <w:sz w:val="32"/>
          <w:szCs w:val="32"/>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3769.81</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62.26</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公务员医疗补助缴费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其他工资福利支出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对个人和家庭的补助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离休费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退职（役）费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抚恤金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生活补助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救济费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助学金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奖励金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个人农业生产补贴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代缴社会保险费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2285.16</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37.74</w:t>
      </w:r>
      <w:r>
        <w:rPr>
          <w:rFonts w:hint="eastAsia" w:ascii="仿宋_GB2312" w:hAnsi="仿宋_GB2312" w:eastAsia="仿宋_GB2312" w:cs="仿宋_GB2312"/>
          <w:sz w:val="32"/>
          <w:szCs w:val="32"/>
        </w:rPr>
        <w:t>%，主要包括办公费、印刷费、咨询费、手续费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取暖费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租赁费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专用材料费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被装购置费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专用燃料费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税金及附加费用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债务利息及费用支出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国内债务付息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国外债务付息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资本性支出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房屋建筑物购建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办公设备购置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专用设备购置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基础设施建设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大型修缮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信息网络及软件购置更新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物资储备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土地补偿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安置补助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地上附着物和青苗补偿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拆迁补偿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其他交通工具购置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文物和陈列品购置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无形资产购置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其他资本性支出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国家赔偿费用支出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对民间非营利组织和群众性自治组织补贴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经常性赠与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资本性赠与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其他支出。</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3"/>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1665.56</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1665.56</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5.51</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1660.04</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万元。具体情况如下：</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、城乡社区支出（类）国有土地使用权出让收入安排的支出（款）其他国有土地使用权出让收入安排的支出（项）。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年初预算为0万元，支出决算为1665.5</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决算数大于年初预算数的主要原因是：</w:t>
      </w:r>
      <w:r>
        <w:rPr>
          <w:rFonts w:hint="eastAsia" w:ascii="Times New Roman" w:hAnsi="Times New Roman" w:eastAsia="仿宋_GB2312"/>
          <w:sz w:val="32"/>
          <w:szCs w:val="32"/>
          <w:lang w:val="en-US" w:eastAsia="zh-CN"/>
        </w:rPr>
        <w:t>2023年新增土地收入用于支付新广电中心大楼工程尾款。</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18.4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59.35</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预算数的主要原因是我单位认真贯彻落实中央“八项规定”精神和厉行节约要求，从严控制“三公”经费开支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2.44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15.29</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公务车辆老化导致维修成本增加以及新闻采访出车油费增加</w:t>
      </w:r>
      <w:r>
        <w:rPr>
          <w:rFonts w:hint="eastAsia" w:ascii="仿宋_GB2312" w:hAnsi="仿宋_GB2312" w:eastAsia="仿宋_GB2312" w:cs="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因公出国（境）费支出预算为0万元，支出决算为0万元，决算数等于预算数，主要原因是我单位严格按预算执行决算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与上年一致，无增减变动，主要原因是未安排因公出国（境）活动。</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%，决算数小于预算数的主要原因是我单位严格执行中央八项规定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32.04</w:t>
      </w:r>
      <w:r>
        <w:rPr>
          <w:rFonts w:hint="eastAsia" w:ascii="仿宋_GB2312" w:hAnsi="仿宋_GB2312" w:eastAsia="仿宋_GB2312" w:cs="仿宋_GB2312"/>
          <w:sz w:val="32"/>
          <w:szCs w:val="32"/>
        </w:rPr>
        <w:t>%,减少的主要原因是我单位按有关政策厉行节约，严控公务接待支出。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FF0000"/>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r>
        <w:rPr>
          <w:rFonts w:hint="eastAsia" w:ascii="仿宋_GB2312" w:hAnsi="仿宋_GB2312" w:eastAsia="仿宋_GB2312" w:cs="仿宋_GB2312"/>
          <w:b w:val="0"/>
          <w:bCs/>
          <w:color w:val="FF0000"/>
          <w:kern w:val="0"/>
          <w:sz w:val="32"/>
          <w:szCs w:val="32"/>
          <w:lang w:val="en-US" w:eastAsia="zh-CN" w:bidi="ar-SA"/>
        </w:rPr>
        <w:t xml:space="preserve"> </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17.7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59</w:t>
      </w:r>
      <w:r>
        <w:rPr>
          <w:rFonts w:hint="eastAsia" w:ascii="仿宋_GB2312" w:hAnsi="仿宋_GB2312" w:eastAsia="仿宋_GB2312" w:cs="仿宋_GB2312"/>
          <w:sz w:val="32"/>
          <w:szCs w:val="32"/>
        </w:rPr>
        <w:t>%，决算数小于预算数的主要原因是我单位认真贯彻落实中央“八项规定”精神和厉行节约要求，从严控制“三公”经费开支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2.77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18.55</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公务车辆老化导致维修成本增加以及新闻采访出车油费增加</w:t>
      </w:r>
      <w:r>
        <w:rPr>
          <w:rFonts w:hint="eastAsia" w:ascii="仿宋_GB2312" w:hAnsi="仿宋_GB2312" w:eastAsia="仿宋_GB2312" w:cs="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17.7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96.2</w:t>
      </w:r>
      <w:r>
        <w:rPr>
          <w:rFonts w:hint="eastAsia" w:ascii="仿宋_GB2312" w:hAnsi="仿宋_GB2312" w:eastAsia="仿宋_GB2312" w:cs="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年度无因公出国（境）费支出。</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0.7</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人次，主要是</w:t>
      </w:r>
      <w:r>
        <w:rPr>
          <w:rFonts w:hint="eastAsia" w:ascii="仿宋_GB2312" w:hAnsi="仿宋_GB2312" w:eastAsia="仿宋_GB2312" w:cs="仿宋_GB2312"/>
          <w:sz w:val="32"/>
          <w:szCs w:val="32"/>
          <w:lang w:eastAsia="zh-CN"/>
        </w:rPr>
        <w:t>兄弟台或者县市区融媒体中心来我台考察调研</w:t>
      </w:r>
      <w:r>
        <w:rPr>
          <w:rFonts w:hint="eastAsia" w:ascii="仿宋_GB2312" w:hAnsi="仿宋_GB2312" w:eastAsia="仿宋_GB2312" w:cs="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val="0"/>
          <w:i w:val="0"/>
          <w:iCs/>
          <w:color w:val="FF0000"/>
          <w:kern w:val="0"/>
          <w:sz w:val="36"/>
          <w:szCs w:val="36"/>
          <w:lang w:val="en-US" w:eastAsia="zh-CN"/>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17.7</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17.7</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eastAsia="zh-CN"/>
        </w:rPr>
        <w:t>公务用车的燃料费、维修费、过桥过路费、保险费、安全奖励费用等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辆。</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3"/>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本级和所属单位均为事业单位，按照机关运行经费的口径，本年度机关运行经费为0。</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3"/>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年度，会议费年初预算0万元，支出决算为2.69万元，决算数大于年初预算数。用于召开业务技术比赛、党建学习等会议，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人，内容为</w:t>
      </w:r>
      <w:r>
        <w:rPr>
          <w:rFonts w:hint="eastAsia" w:ascii="仿宋_GB2312" w:hAnsi="仿宋_GB2312" w:eastAsia="仿宋_GB2312" w:cs="仿宋_GB2312"/>
          <w:sz w:val="32"/>
          <w:szCs w:val="32"/>
          <w:lang w:eastAsia="zh-CN"/>
        </w:rPr>
        <w:t>记者演讲比赛会务费、电视中心党建学习会务费等。</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培训费年初预算0万元，支出决算为0.82万元，</w:t>
      </w:r>
      <w:r>
        <w:rPr>
          <w:rFonts w:hint="eastAsia" w:ascii="仿宋_GB2312" w:hAnsi="仿宋_GB2312" w:eastAsia="仿宋_GB2312" w:cs="仿宋_GB2312"/>
          <w:sz w:val="32"/>
          <w:szCs w:val="32"/>
          <w:lang w:val="en-US" w:eastAsia="zh-CN"/>
        </w:rPr>
        <w:t>决算数大于年初预算数。</w:t>
      </w:r>
      <w:r>
        <w:rPr>
          <w:rFonts w:hint="eastAsia" w:ascii="仿宋_GB2312" w:hAnsi="仿宋_GB2312" w:eastAsia="仿宋_GB2312" w:cs="仿宋_GB2312"/>
          <w:color w:val="000000"/>
          <w:kern w:val="0"/>
          <w:sz w:val="32"/>
          <w:szCs w:val="32"/>
          <w:lang w:val="en-US" w:eastAsia="zh-CN" w:bidi="ar-SA"/>
        </w:rPr>
        <w:t>用于开展专业技术培训，人数4人，内容为无人机培训、电视中心营销冠军培训等。</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二</w:t>
      </w:r>
      <w:r>
        <w:rPr>
          <w:rFonts w:hint="eastAsia" w:ascii="黑体" w:hAnsi="黑体" w:eastAsia="黑体" w:cs="黑体"/>
          <w:b w:val="0"/>
          <w:bCs/>
          <w:color w:val="auto"/>
          <w:sz w:val="32"/>
          <w:szCs w:val="32"/>
          <w:highlight w:val="none"/>
        </w:rPr>
        <w:t>、关于政府采购支出说明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i/>
          <w:color w:val="auto"/>
          <w:sz w:val="32"/>
          <w:szCs w:val="32"/>
          <w:lang w:val="en-US" w:eastAsia="zh-CN"/>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年度政府采购支出总额</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万元，其中：政府采购货物支出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 xml:space="preserve"> 万元、政府采购工程支出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万元、政府采购服务支出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万元。授予中小企业合同金额</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（由于</w:t>
      </w:r>
      <w:r>
        <w:rPr>
          <w:rFonts w:hint="eastAsia" w:ascii="Times New Roman" w:hAnsi="Times New Roman" w:eastAsia="仿宋_GB2312"/>
          <w:color w:val="auto"/>
          <w:sz w:val="32"/>
          <w:szCs w:val="32"/>
        </w:rPr>
        <w:t>政府采购支出总额</w:t>
      </w:r>
      <w:r>
        <w:rPr>
          <w:rFonts w:hint="eastAsia" w:ascii="Times New Roman" w:hAnsi="Times New Roman" w:eastAsia="仿宋_GB2312"/>
          <w:color w:val="auto"/>
          <w:sz w:val="32"/>
          <w:szCs w:val="32"/>
          <w:lang w:eastAsia="zh-CN"/>
        </w:rPr>
        <w:t>为</w:t>
      </w:r>
      <w:r>
        <w:rPr>
          <w:rFonts w:hint="eastAsia" w:ascii="Times New Roman" w:hAnsi="Times New Roman" w:eastAsia="仿宋_GB2312"/>
          <w:color w:val="auto"/>
          <w:sz w:val="32"/>
          <w:szCs w:val="32"/>
          <w:lang w:val="en-US" w:eastAsia="zh-CN"/>
        </w:rPr>
        <w:t>0，故无法计算</w:t>
      </w:r>
      <w:r>
        <w:rPr>
          <w:rFonts w:hint="eastAsia" w:ascii="Times New Roman" w:hAnsi="Times New Roman" w:eastAsia="仿宋_GB2312"/>
          <w:color w:val="auto"/>
          <w:sz w:val="32"/>
          <w:szCs w:val="32"/>
        </w:rPr>
        <w:t>占政府采购支出总额的</w:t>
      </w:r>
      <w:r>
        <w:rPr>
          <w:rFonts w:hint="eastAsia" w:ascii="Times New Roman" w:hAnsi="Times New Roman" w:eastAsia="仿宋_GB2312"/>
          <w:color w:val="auto"/>
          <w:sz w:val="32"/>
          <w:szCs w:val="32"/>
          <w:lang w:eastAsia="zh-CN"/>
        </w:rPr>
        <w:t>比重）</w:t>
      </w:r>
      <w:r>
        <w:rPr>
          <w:rFonts w:hint="eastAsia" w:ascii="Times New Roman" w:hAnsi="Times New Roman" w:eastAsia="仿宋_GB2312"/>
          <w:color w:val="auto"/>
          <w:sz w:val="32"/>
          <w:szCs w:val="32"/>
        </w:rPr>
        <w:t>，其中：授予小微企业合同金额</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（由于授予中小企业合同金额为</w:t>
      </w:r>
      <w:r>
        <w:rPr>
          <w:rFonts w:hint="eastAsia" w:ascii="Times New Roman" w:hAnsi="Times New Roman" w:eastAsia="仿宋_GB2312"/>
          <w:color w:val="auto"/>
          <w:sz w:val="32"/>
          <w:szCs w:val="32"/>
          <w:lang w:val="en-US" w:eastAsia="zh-CN"/>
        </w:rPr>
        <w:t>0，故无法计算</w:t>
      </w:r>
      <w:r>
        <w:rPr>
          <w:rFonts w:hint="eastAsia" w:ascii="Times New Roman" w:hAnsi="Times New Roman" w:eastAsia="仿宋_GB2312"/>
          <w:color w:val="auto"/>
          <w:sz w:val="32"/>
          <w:szCs w:val="32"/>
        </w:rPr>
        <w:t>占</w:t>
      </w:r>
      <w:r>
        <w:rPr>
          <w:rFonts w:hint="eastAsia" w:ascii="Times New Roman" w:hAnsi="Times New Roman" w:eastAsia="仿宋_GB2312"/>
          <w:color w:val="auto"/>
          <w:sz w:val="32"/>
          <w:szCs w:val="32"/>
          <w:lang w:eastAsia="zh-CN"/>
        </w:rPr>
        <w:t>授予中小企业合同金额</w:t>
      </w:r>
      <w:r>
        <w:rPr>
          <w:rFonts w:hint="eastAsia" w:ascii="Times New Roman" w:hAnsi="Times New Roman" w:eastAsia="仿宋_GB2312"/>
          <w:color w:val="auto"/>
          <w:sz w:val="32"/>
          <w:szCs w:val="32"/>
        </w:rPr>
        <w:t>的</w:t>
      </w:r>
      <w:r>
        <w:rPr>
          <w:rFonts w:hint="eastAsia" w:ascii="Times New Roman" w:hAnsi="Times New Roman" w:eastAsia="仿宋_GB2312"/>
          <w:color w:val="auto"/>
          <w:sz w:val="32"/>
          <w:szCs w:val="32"/>
          <w:lang w:eastAsia="zh-CN"/>
        </w:rPr>
        <w:t>比重）</w:t>
      </w:r>
      <w:r>
        <w:rPr>
          <w:rFonts w:hint="eastAsia" w:ascii="Times New Roman" w:hAnsi="Times New Roman" w:eastAsia="仿宋_GB2312"/>
          <w:color w:val="auto"/>
          <w:sz w:val="32"/>
          <w:szCs w:val="32"/>
        </w:rPr>
        <w:t>。货物采购授予中小企业合同金额占货物支出金额的</w:t>
      </w:r>
      <w:r>
        <w:rPr>
          <w:rFonts w:hint="eastAsia" w:ascii="Times New Roman" w:hAnsi="Times New Roman" w:eastAsia="仿宋_GB2312"/>
          <w:color w:val="auto"/>
          <w:sz w:val="32"/>
          <w:szCs w:val="32"/>
          <w:lang w:eastAsia="zh-CN"/>
        </w:rPr>
        <w:t>比重</w:t>
      </w:r>
      <w:r>
        <w:rPr>
          <w:rFonts w:hint="eastAsia" w:ascii="Times New Roman" w:hAnsi="Times New Roman" w:eastAsia="仿宋_GB2312"/>
          <w:color w:val="auto"/>
          <w:sz w:val="32"/>
          <w:szCs w:val="32"/>
        </w:rPr>
        <w:t>，工程采购授予中小企业合同金额占工程支出金额的</w:t>
      </w:r>
      <w:r>
        <w:rPr>
          <w:rFonts w:hint="eastAsia" w:ascii="Times New Roman" w:hAnsi="Times New Roman" w:eastAsia="仿宋_GB2312"/>
          <w:color w:val="auto"/>
          <w:sz w:val="32"/>
          <w:szCs w:val="32"/>
          <w:lang w:eastAsia="zh-CN"/>
        </w:rPr>
        <w:t>比重</w:t>
      </w:r>
      <w:r>
        <w:rPr>
          <w:rFonts w:hint="eastAsia" w:ascii="Times New Roman" w:hAnsi="Times New Roman" w:eastAsia="仿宋_GB2312"/>
          <w:color w:val="auto"/>
          <w:sz w:val="32"/>
          <w:szCs w:val="32"/>
        </w:rPr>
        <w:t>，服务采购授予中小企业合同金额占服务支出金额的</w:t>
      </w:r>
      <w:r>
        <w:rPr>
          <w:rFonts w:hint="eastAsia" w:ascii="Times New Roman" w:hAnsi="Times New Roman" w:eastAsia="仿宋_GB2312"/>
          <w:color w:val="auto"/>
          <w:sz w:val="32"/>
          <w:szCs w:val="32"/>
          <w:lang w:eastAsia="zh-CN"/>
        </w:rPr>
        <w:t>比重，由于以上各项合同金额为</w:t>
      </w:r>
      <w:r>
        <w:rPr>
          <w:rFonts w:hint="eastAsia" w:ascii="Times New Roman" w:hAnsi="Times New Roman" w:eastAsia="仿宋_GB2312"/>
          <w:color w:val="auto"/>
          <w:sz w:val="32"/>
          <w:szCs w:val="32"/>
          <w:lang w:val="en-US" w:eastAsia="zh-CN"/>
        </w:rPr>
        <w:t>0，故无法计算各项占比</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6055.72万元，政府性基金预算支出1665.55万元，国有资本经营预算支出0万元。从评价情况来看，整体支出绩效评价中，2023年整体支出7721.27万元，其中：基本支出4869.07万元，项目支出2852.2万元，本单位整体支出绩效自评综合评分100分，评价结果等次为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2852.2万元，占一般公共预算项目支出总额的47.09%。组织对政府性基金预算项目支出开展绩效自评，项目1个，共涉及资金1665.55万元，占政府性基金预算项目支出总额的100%。组织对国有资本经营预算项目支出开展绩效自评，项目0个，共涉及资金0万元，占国有资本经营预算项目支出总额的0%。从评价情况来看，项目绩效自评得分100分，评价结果等次为优。</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根据年初设定的绩效目标，绩效自评得分为100分。全年预算数为7721.27万元，执行数为7721.27万元，完成预算的100%。绩效目标完成情况：</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 xml:space="preserve">    一是新闻宣传再创佳绩。紧紧围绕加快建设名副其实省域副中心城市工作开展宣传服务，积极做好对央省媒的新闻发稿工作。2023年全年，我台在中央电视台上稿198条，其中《新闻联播》上稿12条，《焦点访谈》上稿5条。湖南卫视上稿510条，湖南经视上稿208条。央视5分钟以上的稿件达到28条，卫视、经视1分钟以上的单条稿件达214条，均较上年同期略有增长，实现了发稿数量和稿件质量双提升。高标准建好“央媒省媒岳阳工作站”，为上级媒体记者来岳采访提供宾至如归的工作环境。</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是媒体融合纵深发展。2023年，我台《岳阳新闻》栏目累计播发新闻稿件4000条左右，融媒端全网平台发稿万余条次。台党组策划实施了多个重大主题报道，推出了《学习贯彻党的二十大精神》、《学习贯彻习近平新时代中国特色社会主义思想主题教育》等26组全媒体大型系列报道。开设了《开局之年看岳阳》、《新时代新征程新伟业•敢在岳阳》等专栏，关注经济社会发展热点，积极开展宣传报道，共播发报道600余条。推出《时政锐评》融媒系列，开办《每周观察》、《主播说岳阳》等子栏目，立足新闻热点，结合大事要闻，进行深度解读，截至目前，共推出300余期，浏览量过10万+作品达50期。同时，将报道焦点对准基层和普通人，深挖岳阳本地的文化内涵，打造了《凡人有光》和《把栏杆拍遍》两个优质栏目。</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是事业产业齐头并进。坚持技术赋能，添置了一批适应媒体发展需要的新技术设备，装备保障能力更加健全。坚持导向优先，节目精品能力不断提升，在三月份揭晓的2023年度全省广播电视奖评选获奖作品中，我台参评的新闻宣传作品斩获佳绩，位居全省前茅 ，共有24件优秀作品获奖，其中一等奖五件，二等奖五件，三等奖14件。坚持市场运作、多元经营，积极转化内容优势，做好“媒体+”文章，拓展了文化产业、智慧展示、视频创意、直播带货、教育培训等产业形态，截止目前，全台已超额完成年度创收任务，上缴非税收入2773万元，实现了经济下行背景下的经营创收逆势增长。通过努力，全面理清了全台债权债务关系，彻底解除困扰广电的沉重包袱。</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四是民生福祉持续增强。新班子调整以来的一年多时间里，共完成民生实事多项，办成了许多广电历史上一直想办而没有办成的实事。建成“职工之家”，举办中断十年的职工球赛，开展“记者节”等系列活动，慰问困难党员职工21人次。完成老家属院的老旧小区改造，实现了社会化移交管理。通过一年来的努力，广电媒体人的归属感、荣誉感和获得感不断增强。</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五是社会各界高度好评。经过不懈的探索与实践，一个富有活力的一流新型主流媒体生态逐步形成。省广电局、省广播电视台，市委市政府及社会各界一改过去的消极看法，对广电工作及新闻产品褒奖有加。市委书记曹普华全年近百次转发、评论、点赞岳阳广电融媒体作品，他在广电调研时称赞广电作品令人“眼前一亮，心头一热”。2023年我台在湖南新闻奖等评选中，共有53件作品获奖，新媒体平台播发10万+稿件151条，均创下近5年最好成绩。</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一是在绩效评价中我们发现单位在资产管理方面存在平时偏重资产购置，对资产管理发挥效益容易忽视的问题。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二是在绩效评价中我们发现单位在队伍建设方面存在员工规模较大，但严重缺乏全媒体人才，与事业发展所需朝气蓬勃的年轻队伍要求相去甚远的问题。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三是在绩效评价中我们发现单位在政府采购方面存在内控制度把关不够严格、采购的商品成本偏高的问题。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下一步改进措施：一是修订规范资产管理制度，加强资产管理工作的分工安排，做到专人专管，提高管理人员的工作效率，确保严格执行资产管理制度，堵塞管理漏洞，确确实实把资产管理好、管到位。二是实施“破壁”行动，锻造全媒体人才。坚决推进突出小屏优先，打造“中央厨房”的新闻生产体制改革，让新闻工作者完全脱离泳圈去搏浪，以此倒逼一大批能想会写善播懂运营的复合型全媒体人才迅速成长。三是加强政府采购电子化进程，积极开展电子招标采购工作。单位内部要逐步完善在政采云电子卖场上的政府采购工作流程，逐步实现在网上申报、审批、公告、招投标、评标、询价以及投诉、监管等，全面提高单位政府采购工作水平。</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pStyle w:val="13"/>
        <w:jc w:val="both"/>
        <w:rPr>
          <w:sz w:val="72"/>
          <w:szCs w:val="72"/>
        </w:rPr>
      </w:pPr>
    </w:p>
    <w:p>
      <w:pPr>
        <w:pStyle w:val="13"/>
        <w:jc w:val="both"/>
        <w:rPr>
          <w:sz w:val="72"/>
          <w:szCs w:val="72"/>
        </w:rPr>
      </w:pPr>
    </w:p>
    <w:p>
      <w:pPr>
        <w:pStyle w:val="13"/>
        <w:jc w:val="both"/>
        <w:rPr>
          <w:sz w:val="72"/>
          <w:szCs w:val="72"/>
        </w:rPr>
      </w:pPr>
    </w:p>
    <w:p>
      <w:pPr>
        <w:pStyle w:val="13"/>
        <w:jc w:val="both"/>
        <w:rPr>
          <w:sz w:val="72"/>
          <w:szCs w:val="72"/>
        </w:rPr>
      </w:pPr>
    </w:p>
    <w:p>
      <w:pPr>
        <w:pStyle w:val="13"/>
        <w:jc w:val="both"/>
        <w:rPr>
          <w:sz w:val="72"/>
          <w:szCs w:val="72"/>
        </w:rPr>
      </w:pPr>
    </w:p>
    <w:p>
      <w:pPr>
        <w:pStyle w:val="13"/>
        <w:jc w:val="both"/>
        <w:rPr>
          <w:sz w:val="72"/>
          <w:szCs w:val="72"/>
        </w:rPr>
      </w:pPr>
    </w:p>
    <w:p>
      <w:pPr>
        <w:pStyle w:val="13"/>
        <w:jc w:val="center"/>
        <w:rPr>
          <w:sz w:val="72"/>
          <w:szCs w:val="72"/>
        </w:rPr>
      </w:pPr>
    </w:p>
    <w:p>
      <w:pPr>
        <w:pStyle w:val="13"/>
        <w:jc w:val="center"/>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2"/>
      </w:pPr>
    </w:p>
    <w:p>
      <w:pPr>
        <w:pStyle w:val="3"/>
      </w:pPr>
    </w:p>
    <w:p/>
    <w:p>
      <w:pPr>
        <w:pStyle w:val="2"/>
      </w:pPr>
    </w:p>
    <w:p>
      <w:pPr>
        <w:pStyle w:val="3"/>
      </w:pPr>
    </w:p>
    <w:p/>
    <w:p>
      <w:pPr>
        <w:pStyle w:val="2"/>
      </w:pPr>
    </w:p>
    <w:p>
      <w:pPr>
        <w:pStyle w:val="3"/>
      </w:pPr>
    </w:p>
    <w:p/>
    <w:p>
      <w:pPr>
        <w:pStyle w:val="2"/>
      </w:pPr>
    </w:p>
    <w:p>
      <w:pPr>
        <w:pStyle w:val="3"/>
      </w:pPr>
    </w:p>
    <w:p/>
    <w:p/>
    <w:p>
      <w:pPr>
        <w:pStyle w:val="2"/>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三、</w:t>
      </w:r>
      <w:r>
        <w:rPr>
          <w:rFonts w:hint="eastAsia" w:ascii="仿宋_GB2312" w:hAnsi="仿宋_GB2312" w:eastAsia="仿宋_GB2312" w:cs="仿宋_GB2312"/>
          <w:color w:val="000000"/>
          <w:kern w:val="0"/>
          <w:sz w:val="32"/>
          <w:szCs w:val="32"/>
          <w:lang w:eastAsia="zh-CN"/>
        </w:rPr>
        <w:t>财政拨款收入：指本级财政当年拨付的资金。</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四、政府性基金预算财政拨款收入：指本级财政当年拨付的政府性基金预算资金。</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五、其他收入：指除上述“财政拨款收入”、“上级补助收入”、“事业收入”、“经营收入”、“附属单位上缴收入”等以外的收入。</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六、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七、上年结转和结余：指以前年度尚未完成、结转到本年按有关规定继续使用的资金。</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八、年末结转和结余资金：指本年度或以前年度预算安排、因客观条件发生变化无法按原计划实施，需要延迟到以后年度按有关规定继续使用的资金。</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九、文化体育与传媒支出（类）：是指用于文化、文物、体育、新闻出版广播影视等方面的支出，包括保障机构正常运转、完成日常和特定的工作任务或事业发展目标的支出。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十一、城乡社区支出（类）：是指用于城乡社区事务支出，包括保障机构正常运转、完成日常和特定的工作任务或事业发展目标的支出。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十二、住房保障支出（类）：是指用于住房方面的支出，包括保障机构正常运转、完成日常和特定的工作任务或事业发展目标的支出。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十三、基本支出：指保障机构正常运转、完成支日常工作任务而发生的人员支出和公用支出。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四、项目支出：指在基本支出之外为完成特定行政任务和事业发展目标所发生的支出。工资福利支出：反映单位开支的在职职工和编制外长期聘用人员的各类劳动报酬，以及为上述人员缴纳的各项社会保险费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五、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十六、津贴补贴：反映经国家批准建立的机关事业单位艰苦边远地区津贴、机关工作人员地区附加津贴、机关工作人员岗位津贴、事业单位工作人员特殊岗位津贴补贴等。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十七、奖金：反映机关工作人员年终一次性奖金。</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十八、绩效工资：反映事业单位工作人员的绩效工资。</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十九、机关事业单位基本养老保险缴费：反映机关事业单位缴纳的基本养老保险费。由单位代扣的工作人员基本养老保险缴费，不在此科目反映。</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二十、职业年金缴费：反映机关事业单位实际缴纳的职业年金支出。由单位代扣的工作人员职业年金缴费，不在此科目反映。</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二十一、职工基本医疗保险缴费：反映单位为职工缴纳的基本医疗保险费。</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二十二、其他社会保障缴费：反映单位为职工缴纳的基本医疗、失业、工伤、生育等社会保险费，残疾人就业保障金，军队（含武警）为军人缴纳的伤亡、退役医疗等社会保险费。</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二十三、住房公积金：反映行政事业单位按人力资源和社会保障部、财政部规定的基本工资和津贴补贴以及规定比例为职工缴纳的住房公积金。</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二十四、医疗费：反映未参加医疗保险单位的医疗经费和单位按规定为职工支出的其他医疗费用。</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五、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二十六、商品和服务支出：反映单位购买商品和服务的支出（不包括用于购置固定资产的支出、战略性和应急储备支出）。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二十七、办公费：反映单位购买按财务会计制度规定不符合固定资产确认标准的日常办公用品、书报杂志等支出。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二十八、印刷费：反映单位的印刷费支出。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二十九、咨询费：反映单位咨询方面的支出。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三十、手续费：反映单位支付的各类手续费支出。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三十一、水费：反映单位支付的水费、污水处理费等支出。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三十二、电费：反映单位的电费支出。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三十三、邮电费：反映单位开支的信函、包裹、货物等物品的邮寄费及电话费、电报费、传真费、网络通讯费等。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三十四、物业管理费：反映单位开支的办公用房以及未实行职工住宅物业服务改革的在职职工和离退休人员宿舍等的物业管理费，包括综合治理、绿化、卫生等方面的支出。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三十五、差旅费：反映单位工作人员出差发生的城市间交通费、住宿费、伙食补贴费和市内交通费。</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三十六、维修(护)费：反映单位日常开支的固定资产（不包括车船等交通工具）修理和维护费用，网络信息系统运行与维护费用，以及按规定提取的修购基金。</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三十七、租赁费：反映租赁办公用房、宿舍、专用通讯网以及其他设备等方面的费用。</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三十八、培训费：反映除因公出国（境）培训费以外的各类培训支出。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三十九、公务接待费：反映单位按规定开支的各类公务接待（含外宾接待）费用。</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四十一、专用燃料费：反映用作业务工作设备的车、船设施等的油料支出。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四十二、劳务费：反映支付给单位和个人的劳务费用，如临时聘用人员、钟点工工资，稿费、翻译费，评审费等。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四十三、委托业务费：反映因委托外单位办理业务而支付的委托业务费。</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四十四、工会经费：反映单位按规定提取的工会经费。</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四十五、公务用车运行维护费：反映单位按规定保留的公务用车燃料费、维修费、过桥过路费、保险费、安全奖励费用等支出。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四十六、其他交通费用：反映单位除公务用车运行维护费以外的其他交通费用。如公务交通补贴，租车费用、出租车费用，飞机、船舶等的燃料费、维修费、保险费等。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四十七、其他商品和服务支出：反映上述科目未包括的日常公用支出。如行政赔偿费和诉讼费、国内组织的会员费、来访费、广告宣传、其他劳务费及离休人员特需费、公用经费等。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四十八、对个人和家庭的补助：反映政府用于对个人和家庭的补助支出。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四十九、退休费：反映行政事业单位和军队移交政府安置的退休人员的退休费和其他补贴。</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五十、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五十一、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五十二、其他对个人和家庭的补助支出：反映未包括在上述科目的对个人和家庭的补助支出，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五十三、办公设备购置：反映用于购置并按财务会计制度规定纳入固定资产核算范围的办公家具和办公设备的支出，以及按规定提取的修购基金。</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五十四、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pPr>
        <w:pStyle w:val="2"/>
        <w:rPr>
          <w:rFonts w:hint="eastAsia"/>
          <w:lang w:eastAsia="zh-CN"/>
        </w:rPr>
      </w:pPr>
    </w:p>
    <w:p>
      <w:pPr>
        <w:pStyle w:val="2"/>
        <w:rPr>
          <w:rFonts w:hint="eastAsia"/>
          <w:lang w:eastAsia="zh-CN"/>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pPr>
        <w:pStyle w:val="13"/>
        <w:jc w:val="center"/>
        <w:rPr>
          <w:rFonts w:hint="eastAsia" w:ascii="仿宋_GB2312" w:hAnsi="仿宋_GB2312" w:eastAsia="仿宋_GB2312" w:cs="仿宋_GB2312"/>
          <w:sz w:val="32"/>
          <w:szCs w:val="32"/>
        </w:rPr>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3"/>
        <w:jc w:val="both"/>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5B7C25"/>
    <w:multiLevelType w:val="singleLevel"/>
    <w:tmpl w:val="DB5B7C25"/>
    <w:lvl w:ilvl="0" w:tentative="0">
      <w:start w:val="8"/>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5F6599"/>
    <w:multiLevelType w:val="singleLevel"/>
    <w:tmpl w:val="775F6599"/>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C24A73"/>
    <w:rsid w:val="12583BA5"/>
    <w:rsid w:val="13BA5B9C"/>
    <w:rsid w:val="1A5E81BD"/>
    <w:rsid w:val="1D97DEFF"/>
    <w:rsid w:val="1DFF72E5"/>
    <w:rsid w:val="1EFC6F07"/>
    <w:rsid w:val="1F0527A6"/>
    <w:rsid w:val="22AC03C2"/>
    <w:rsid w:val="2FDF85B8"/>
    <w:rsid w:val="2FFFEE04"/>
    <w:rsid w:val="31C95635"/>
    <w:rsid w:val="34DF85B0"/>
    <w:rsid w:val="37BBA8EB"/>
    <w:rsid w:val="3B8F36BC"/>
    <w:rsid w:val="3E270542"/>
    <w:rsid w:val="491FF225"/>
    <w:rsid w:val="4FFD214C"/>
    <w:rsid w:val="5352765A"/>
    <w:rsid w:val="5777D4F5"/>
    <w:rsid w:val="59DD8326"/>
    <w:rsid w:val="5DEF592A"/>
    <w:rsid w:val="5F1B128E"/>
    <w:rsid w:val="5F1F98DD"/>
    <w:rsid w:val="5FB27524"/>
    <w:rsid w:val="5FC6BB1E"/>
    <w:rsid w:val="5FF720F1"/>
    <w:rsid w:val="67FF5C0B"/>
    <w:rsid w:val="6BAA4A2F"/>
    <w:rsid w:val="6EFC0924"/>
    <w:rsid w:val="6FB74722"/>
    <w:rsid w:val="6FEF8B7E"/>
    <w:rsid w:val="71A6591B"/>
    <w:rsid w:val="737D59BA"/>
    <w:rsid w:val="737F32B1"/>
    <w:rsid w:val="73BF1A49"/>
    <w:rsid w:val="775FB192"/>
    <w:rsid w:val="77C37683"/>
    <w:rsid w:val="77FD8AC1"/>
    <w:rsid w:val="79FF515B"/>
    <w:rsid w:val="7E9E1962"/>
    <w:rsid w:val="7E9F11B4"/>
    <w:rsid w:val="7EEF1C02"/>
    <w:rsid w:val="7F37EC1E"/>
    <w:rsid w:val="7F6EE69A"/>
    <w:rsid w:val="7F7DCD9D"/>
    <w:rsid w:val="7F970A6F"/>
    <w:rsid w:val="7FC1FFF3"/>
    <w:rsid w:val="7FC69637"/>
    <w:rsid w:val="7FDF8620"/>
    <w:rsid w:val="7FFB242F"/>
    <w:rsid w:val="7FFDB408"/>
    <w:rsid w:val="7FFE4EEB"/>
    <w:rsid w:val="95FB2B98"/>
    <w:rsid w:val="9A639BC2"/>
    <w:rsid w:val="9FF7D786"/>
    <w:rsid w:val="ABBFB23D"/>
    <w:rsid w:val="C3B4DA5A"/>
    <w:rsid w:val="C7DF88C6"/>
    <w:rsid w:val="CBFF70E0"/>
    <w:rsid w:val="CFF50B82"/>
    <w:rsid w:val="CFFFAD89"/>
    <w:rsid w:val="D5DCE68D"/>
    <w:rsid w:val="DFFE359E"/>
    <w:rsid w:val="DFFE4FFD"/>
    <w:rsid w:val="ED5A2BBD"/>
    <w:rsid w:val="EEABED75"/>
    <w:rsid w:val="F13DEB1E"/>
    <w:rsid w:val="F56FDF51"/>
    <w:rsid w:val="F6B69F17"/>
    <w:rsid w:val="F77F1D61"/>
    <w:rsid w:val="F7FBAD55"/>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qFormat/>
    <w:uiPriority w:val="99"/>
    <w:pPr>
      <w:widowControl w:val="0"/>
      <w:spacing w:before="100" w:beforeAutospacing="1" w:after="100" w:afterAutospacing="1"/>
      <w:jc w:val="left"/>
    </w:pPr>
    <w:rPr>
      <w:rFonts w:ascii="Times New Roman" w:hAnsi="Times New Roman" w:eastAsia="宋体" w:cs="Times New Roman"/>
      <w:kern w:val="0"/>
      <w:sz w:val="24"/>
      <w:szCs w:val="21"/>
      <w:lang w:val="en-US" w:eastAsia="zh-CN" w:bidi="ar-SA"/>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2</TotalTime>
  <ScaleCrop>false</ScaleCrop>
  <LinksUpToDate>false</LinksUpToDate>
  <CharactersWithSpaces>9008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2020-07-09T10:32:00Z</dcterms:created>
  <dc:creator>李航 null</dc:creator>
  <cp:lastModifiedBy>yyadmin</cp:lastModifiedBy>
  <cp:lastPrinted>2024-09-20T18:15:00Z</cp:lastPrinted>
  <dcterms:modified xsi:type="dcterms:W3CDTF">2024-09-24T11:41:19Z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98623D6660B449428EB8E073C6C952EA</vt:lpwstr>
  </property>
</Properties>
</file>