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岳阳市儿童福利院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单位决算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56"/>
          <w:szCs w:val="56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jc w:val="center"/>
        <w:rPr>
          <w:sz w:val="32"/>
          <w:szCs w:val="32"/>
        </w:rPr>
      </w:pPr>
    </w:p>
    <w:p>
      <w:pPr>
        <w:pStyle w:val="12"/>
        <w:spacing w:line="540" w:lineRule="exact"/>
        <w:jc w:val="center"/>
        <w:rPr>
          <w:sz w:val="56"/>
          <w:szCs w:val="56"/>
        </w:rPr>
      </w:pPr>
    </w:p>
    <w:p>
      <w:pPr>
        <w:pStyle w:val="12"/>
        <w:spacing w:line="500" w:lineRule="exact"/>
        <w:jc w:val="both"/>
        <w:rPr>
          <w:b/>
          <w:sz w:val="36"/>
          <w:szCs w:val="28"/>
        </w:rPr>
      </w:pPr>
    </w:p>
    <w:p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XX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部门（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概况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</w:rPr>
        <w:t>202</w:t>
      </w:r>
      <w: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</w:rPr>
        <w:t>绩效情况的说明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eastAsia="zh-CN"/>
        </w:rPr>
        <w:t>岳阳市儿童福利院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>
      <w:pPr>
        <w:ind w:firstLine="800" w:firstLineChars="250"/>
        <w:jc w:val="left"/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我院主要负责岳阳市地区孤残儿童养、治、教、康及国内外儿童收养工作。</w:t>
      </w:r>
    </w:p>
    <w:p>
      <w:pPr>
        <w:widowControl/>
        <w:spacing w:line="600" w:lineRule="exact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>
      <w:pPr>
        <w:widowControl/>
        <w:spacing w:line="600" w:lineRule="exact"/>
        <w:rPr>
          <w:rFonts w:hint="eastAsia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岳阳市儿童福利院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单位内设机构包括：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办公室、财务室、儿童部。</w:t>
      </w:r>
    </w:p>
    <w:p>
      <w:pPr>
        <w:jc w:val="left"/>
        <w:rPr>
          <w:rFonts w:ascii="仿宋_GB2312" w:eastAsia="仿宋_GB2312" w:hAnsiTheme="minorEastAsia"/>
          <w:sz w:val="28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岳阳市儿童福利院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单位202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年部门决算汇总公开单位构成包括：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eastAsia="zh-CN"/>
        </w:rPr>
        <w:t>岳阳市儿童福利院，</w:t>
      </w: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  <w:lang w:val="en-US" w:eastAsia="zh-CN"/>
        </w:rPr>
        <w:t>不包含下属单位。</w:t>
      </w: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3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25.01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一般公共预算财政拨款收入增加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28.04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万元，增长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；政府性基金预算财政拨款收入减少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50.11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98%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；其他收入增加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49.17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万元，增加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580%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；年初结转和结余减少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2.08万元，减少100%.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677.01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92.15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57.65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7.85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734.66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196.56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26.76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538.1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73.24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677.01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万元，与上年相比，减少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22.08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万元,减少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3.16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一般公共预算财政拨款收入增加28.04万元，增长4%；政府性基金预算财政拨款收入减少50.11万元，减少98%。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因为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基本支出中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社会保障和就业支出较上年减少25.35万元，减少13%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，基本支出中卫生健康支出较上年增加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3.78万元，增加74%；项目支出中社会保障和就业支出较上年增加38.19万元，增长9%；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>
      <w:pPr>
        <w:pStyle w:val="12"/>
        <w:ind w:firstLine="640" w:firstLineChars="200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万元，主要用于以下方面：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社会保障和就业（类）支出667.05万元，占98.68%；卫生健康（类）支出8.9万元，占1.32%。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473.89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万元，支出决算数为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675.95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142.64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行政事业单位养老支出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机关事业单位基本养老保险缴费支出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11.34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11.34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%，决算数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，主要原因是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我单位严格按照预算执行。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2、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社会福利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儿童福利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386.97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563.5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万元，完成年初预算的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145.62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%，决算数大于年初预算数的主要原因是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按规定使用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上年结转资金。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残疾人事业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其他残疾人事业支出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7.2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由于预算数为0，无法计算年初预算完成率百分比，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决算数大于年初预算数的主要原因是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残疾人事业支出资金未纳入财政年初预算。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最低生活保障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城市最低生活保障金支出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0000FF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73.12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由于预算数为0，无法计算年初预算完成率百分比，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决算数大于年初预算数的主要原因是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最低生活保障资金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未纳入财政年初预算。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卫生健康支出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行政事业单位医疗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事业单位医疗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8.9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8.9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我单位严格按照预算执行。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其他社会保障和就业支出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0.47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大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是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其他社会保障和就业支出未纳入财政年初预算。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住房保障支出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住房改革支出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 xml:space="preserve"> 住房公积金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widowControl w:val="0"/>
        <w:autoSpaceDE w:val="0"/>
        <w:autoSpaceDN w:val="0"/>
        <w:adjustRightInd w:val="0"/>
        <w:ind w:firstLine="800" w:firstLineChars="250"/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年初预算为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11.41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11.41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万元，决算数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于年初预算数的主要原因是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我单位严格按照预算执行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仿宋_GB2312"/>
          <w:color w:val="0000FF"/>
          <w:sz w:val="32"/>
          <w:szCs w:val="32"/>
          <w:lang w:val="en-US" w:eastAsia="zh-CN"/>
        </w:rPr>
      </w:pPr>
    </w:p>
    <w:p>
      <w:pPr>
        <w:pStyle w:val="2"/>
        <w:rPr>
          <w:rFonts w:hint="default"/>
          <w:lang w:val="en-US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196.37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176.1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89.68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</w:t>
      </w:r>
      <w:r>
        <w:rPr>
          <w:rFonts w:hint="eastAsia" w:ascii="Times New Roman" w:hAnsi="Times New Roman" w:eastAsia="仿宋_GB2312"/>
          <w:sz w:val="32"/>
          <w:szCs w:val="32"/>
        </w:rPr>
        <w:t>主要包括基本工资、津贴补贴、奖金、伙食补助费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、绩效工资、机关事业单位基本养老保险缴费、职工基本医疗保险缴费、其他社会保障缴费、住房公积金、医疗费、退休费、医疗费补助。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20.27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10.32</w:t>
      </w:r>
      <w:r>
        <w:rPr>
          <w:rFonts w:hint="eastAsia" w:ascii="仿宋_GB2312" w:hAnsi="仿宋_GB2312" w:eastAsia="仿宋_GB2312" w:cs="仿宋_GB2312"/>
          <w:sz w:val="32"/>
          <w:szCs w:val="32"/>
        </w:rPr>
        <w:t>%，</w:t>
      </w:r>
      <w:r>
        <w:rPr>
          <w:rFonts w:hint="eastAsia" w:ascii="Times New Roman" w:hAnsi="Times New Roman" w:eastAsia="仿宋_GB2312"/>
          <w:sz w:val="32"/>
          <w:szCs w:val="32"/>
        </w:rPr>
        <w:t>主要包括办公费、</w:t>
      </w:r>
      <w:r>
        <w:rPr>
          <w:rFonts w:hint="eastAsia" w:ascii="Times New Roman" w:hAnsi="Times New Roman" w:eastAsia="仿宋_GB2312"/>
          <w:sz w:val="32"/>
          <w:szCs w:val="32"/>
          <w:highlight w:val="none"/>
          <w:lang w:val="en-US" w:eastAsia="zh-CN"/>
        </w:rPr>
        <w:t>水费、电费、邮电费、差旅费、工会经费、公务用车运行维护费、其他交通费用、其他商品和服务支出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年度政府性基金预算财政拨款收入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万元；年初结转和结余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万元，其中基本支出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万元；年末结转和结余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万元。具体情况如下：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</w:rPr>
        <w:t>1、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其他支出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（类）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彩票公益金安排的支出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（款）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用于社会福利的彩票公益金支出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（项）。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lang w:val="en-US" w:eastAsia="zh-CN" w:bidi="ar-SA"/>
        </w:rPr>
        <w:t>年初预算为0万元，支出决算为1.07万元，由于预算数为0，无法计算百分比，决算数大于年初预算数的主要原因是：2023年彩票公益金安排未纳入财政年初预算。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>
      <w:pPr>
        <w:pStyle w:val="2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 xml:space="preserve">   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-SA"/>
        </w:rPr>
        <w:t xml:space="preserve"> 2023年度国有资本经营预算财政拨款收入0万元；年初结转和结余0万；支出0万元，其中：基本支出0万元，项目支出0万元；年末结转和结余0万元。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（一）“三公”经费财政拨款支出决算总体情况说明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“三公”经费财政拨款支出预算为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于预算数，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主要原因是预算执行落实到位；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上年度无因公出国（境）费用支出预算无决算，本年与上年度持平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主要原因是均无因公出国（境）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于预算数，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主要原因是预算执行落实到位；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上年度无公务接待费支出预算无决算，本年与上年度持平，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主要原因是均无公务接待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由于预算数为0，无法计算百分比，</w:t>
      </w:r>
      <w:r>
        <w:rPr>
          <w:rFonts w:hint="eastAsia" w:ascii="Times New Roman" w:hAnsi="Times New Roman" w:eastAsia="仿宋_GB2312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sz w:val="32"/>
          <w:szCs w:val="32"/>
        </w:rPr>
        <w:t>于预算数，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主要原因是预算执行落实到位；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上年度无公务用车购置费支出预算无决算，本年与上年度持平，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主要原因是均无公务用车购置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FF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公务用车运行维护费支出预算为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万元，完成预算的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决算数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等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于预算数的主要原因是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认真贯彻落实中央“八项规定”精神和厉行节约要求，从严控制“三公”经费开支。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与上年相比减少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1.96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万元，减少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64.47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%,减少（增长）的主要原因是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严格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控制公务用车使用</w:t>
      </w:r>
      <w:r>
        <w:rPr>
          <w:rFonts w:hint="eastAsia" w:ascii="仿宋_GB2312" w:hAnsi="仿宋_GB2312" w:eastAsia="仿宋_GB2312" w:cs="仿宋_GB2312"/>
          <w:color w:val="0000FF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/>
          <w:bCs w:val="0"/>
          <w:sz w:val="32"/>
          <w:szCs w:val="32"/>
        </w:rPr>
      </w:pPr>
      <w:r>
        <w:rPr>
          <w:rFonts w:hint="eastAsia" w:ascii="楷体" w:hAnsi="楷体" w:eastAsia="楷体" w:cs="楷体"/>
          <w:b/>
          <w:bCs w:val="0"/>
          <w:sz w:val="32"/>
          <w:szCs w:val="32"/>
        </w:rPr>
        <w:t>（二）“三公”经费财政拨款支出决算具体情况说明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年度“三公”经费财政拨款支出决算中，公务接待费支出决算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%,因公出国（境）费支出决算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%,公务用车购置费及运行维护费支出决算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因公出国（境）费支出决算为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万元，全年安排因公出国（境）团组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b/>
          <w:bCs/>
          <w:i/>
          <w:color w:val="auto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无相关开支内容。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2、公务接待费支出决算为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万元，全年共接待来访团组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人次，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无相关接待支出内容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3、公务用车购置费及运行维护费支出决算为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万元，其中：公务用车购置费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公务用车运行维护费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1.08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sz w:val="32"/>
          <w:szCs w:val="32"/>
        </w:rPr>
        <w:t>主要是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按规定保留的公务用车的燃料费、维修费、过桥过路费、保险费等支出。</w:t>
      </w:r>
      <w:r>
        <w:rPr>
          <w:rFonts w:hint="eastAsia" w:ascii="Times New Roman" w:hAnsi="Times New Roman" w:eastAsia="仿宋_GB2312"/>
          <w:sz w:val="32"/>
          <w:szCs w:val="32"/>
        </w:rPr>
        <w:t>截止202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Times New Roman" w:hAnsi="Times New Roman" w:eastAsia="仿宋_GB2312"/>
          <w:sz w:val="32"/>
          <w:szCs w:val="32"/>
        </w:rPr>
        <w:t>年12月31日，我单位开支财政拨款的公务用车保有量为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>
      <w:pPr>
        <w:pStyle w:val="12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本级和所属单位均为事业单位，按照机关运行经费的口径，本年度机关运行经费为0</w:t>
      </w:r>
      <w:r>
        <w:rPr>
          <w:rFonts w:hint="eastAsia" w:ascii="楷体" w:hAnsi="楷体" w:eastAsia="楷体" w:cs="楷体"/>
          <w:sz w:val="32"/>
          <w:szCs w:val="32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>
      <w:pPr>
        <w:pStyle w:val="12"/>
        <w:ind w:firstLine="640" w:firstLineChars="200"/>
        <w:rPr>
          <w:rFonts w:hint="eastAsia" w:ascii="楷体" w:hAnsi="楷体" w:eastAsia="楷体" w:cs="楷体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2022年度，本单位无会议费的预算和支出决算数；本单位无培训费的预算和支出决算数；本单位无举办节庆、晚会、论坛、赛事等活动的预算和支出决算数。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152.55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92.59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179.47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万元，占政府采购支出总额的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%，其中：授予小微企业合同金额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424.61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%。货物采购授予中小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企业合同金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%。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年12月31日，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部门（单位）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共有车辆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辆，其中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，副部（省）级及以上领导用车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套。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绩效情况的说明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（一）绩效管理工作开展情况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根据预算绩效管理要求，我们组织对2023年度整体支出和项目资金实施了全覆盖性的绩效评价，撰写了绩效自评报告。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675.95万元，政府性基金预算支出1.06万元，国有资本经营预算支出0万元。从评价情况来看，整体支出绩效评价中，2023年整体支出675.95万元，其中：基本支出196.56万元，项目支出538.09万元，本单位整体支出绩效自评综合评分100分，评价结果等次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3个，共涉及资金180.5万元，占一般公共预算项目支出总额的33.54%。组织对政府性基金预算项目支出开展绩效自评，项目0个，共涉及资金0万元，占政府性基金预算项目支出总额的0%。组织对国有资本经营预算项目支出开展绩效自评，项目0个，共涉及资金0万元，占国有资本经营预算项目支出总额的0%。从评价情况来看，项目绩效自评得分99分，评价结果等次为优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部门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（单位）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整体支出绩效情况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根据年初设定的绩效目标，绩效自评得分为100 分。全年预算数为734.65万元，执行数为734.65万元，完成预算的100%。绩效目标完成情况：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是完善收养登记工作，全面提升儿童带养水平；二是科学开展医疗康复工作，创建特色康教品牌；三是完善儿童医保体系，联合定点医院开辟绿色就医通道；四是提升特教和心理康复服务建设；五是积极开展社会工作，建立定点合作机制；六是建立常规传染病防控机制，引进智能化检测和消杀设备；七是实施阳光采购，开展全流程线上云平台采购；八是充分利用政采云平台，阳光采购；九是丰富儿童业务活动，一年外出活动不少于2次，院内大型活动不少于2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存在的问题及原因分析</w:t>
      </w:r>
    </w:p>
    <w:p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发现的主要问题及原因：固定资产管理有待加强。部分固定资产未及时进行报废清理。下一步改进措施：一是加强学习。建议除了组织财务人员，分管领导和相关部门工作人员也要开展绩效工作培训，加强绩效与预算联动管理意识；二是严格财务审核，按照预算规定的项目进行财务核算，在预算金额内严格控制费用开支；三是制定适用本单位的固定资产管理制度，包括涉及到从前遗留的资产问题，从资产采购、使用以及报废各环节规范固定资产的管理，提高固定资产使用效率，减少资金浪费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预算绩效管理开展情况、绩效目标和绩效评价报告等，已在市政府部门财政预决算公开平台上向社会公开，详见附件。</w:t>
      </w:r>
    </w:p>
    <w:p>
      <w:pPr>
        <w:pStyle w:val="12"/>
        <w:jc w:val="both"/>
        <w:rPr>
          <w:sz w:val="72"/>
          <w:szCs w:val="72"/>
        </w:rPr>
      </w:pPr>
    </w:p>
    <w:p>
      <w:pPr>
        <w:pStyle w:val="12"/>
        <w:jc w:val="center"/>
        <w:rPr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>
      <w:pPr>
        <w:pStyle w:val="3"/>
      </w:pPr>
    </w:p>
    <w:p/>
    <w:p>
      <w:pPr>
        <w:pStyle w:val="2"/>
      </w:pP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……</w:t>
      </w:r>
    </w:p>
    <w:p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/>
    <w:p>
      <w:pPr>
        <w:pStyle w:val="2"/>
      </w:pPr>
    </w:p>
    <w:p>
      <w:pPr>
        <w:pStyle w:val="3"/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1、2023年部门决算公开表格</w:t>
      </w:r>
    </w:p>
    <w:p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A4CF78D-5625-41A9-859D-263B5BCB0F0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9A73BCD7-518A-402E-BB0B-5B75B78B90C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64F311D3-E2E5-4EE9-BB6C-264D52C14E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C4825B7-F2E0-414D-B228-D5B13EB0E72B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A37041"/>
    <w:multiLevelType w:val="singleLevel"/>
    <w:tmpl w:val="A9A37041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52742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40E7907"/>
    <w:rsid w:val="04B638C9"/>
    <w:rsid w:val="059958AD"/>
    <w:rsid w:val="0CDA1805"/>
    <w:rsid w:val="10A220B7"/>
    <w:rsid w:val="12583BA5"/>
    <w:rsid w:val="12D470F0"/>
    <w:rsid w:val="13BA5B9C"/>
    <w:rsid w:val="13E855B5"/>
    <w:rsid w:val="16242208"/>
    <w:rsid w:val="17EB1F38"/>
    <w:rsid w:val="181C2A9C"/>
    <w:rsid w:val="182F3686"/>
    <w:rsid w:val="19185320"/>
    <w:rsid w:val="1ACA2024"/>
    <w:rsid w:val="1C1D7741"/>
    <w:rsid w:val="1CF42E6E"/>
    <w:rsid w:val="1D97DEFF"/>
    <w:rsid w:val="1DFF72E5"/>
    <w:rsid w:val="1E2774CA"/>
    <w:rsid w:val="1EDB6610"/>
    <w:rsid w:val="1EFC6F07"/>
    <w:rsid w:val="22A43A28"/>
    <w:rsid w:val="22AC03C2"/>
    <w:rsid w:val="29E21E79"/>
    <w:rsid w:val="2CFA7447"/>
    <w:rsid w:val="2E5C5B8A"/>
    <w:rsid w:val="2EE04C57"/>
    <w:rsid w:val="2FDF85B8"/>
    <w:rsid w:val="2FFFEE04"/>
    <w:rsid w:val="307146AB"/>
    <w:rsid w:val="31C95635"/>
    <w:rsid w:val="331C0B79"/>
    <w:rsid w:val="34DF85B0"/>
    <w:rsid w:val="36E43C19"/>
    <w:rsid w:val="3B8F36BC"/>
    <w:rsid w:val="3D980C71"/>
    <w:rsid w:val="3EDC2C5B"/>
    <w:rsid w:val="3F65400E"/>
    <w:rsid w:val="40904741"/>
    <w:rsid w:val="438A3197"/>
    <w:rsid w:val="478F1620"/>
    <w:rsid w:val="47B327EC"/>
    <w:rsid w:val="491FF225"/>
    <w:rsid w:val="4A4851A0"/>
    <w:rsid w:val="4A4A7064"/>
    <w:rsid w:val="4E036B32"/>
    <w:rsid w:val="4FFD214C"/>
    <w:rsid w:val="52385E3C"/>
    <w:rsid w:val="5352765A"/>
    <w:rsid w:val="54E76C7D"/>
    <w:rsid w:val="55387AD7"/>
    <w:rsid w:val="576C5C80"/>
    <w:rsid w:val="5777D4F5"/>
    <w:rsid w:val="5875188F"/>
    <w:rsid w:val="59DD8326"/>
    <w:rsid w:val="5C7F2624"/>
    <w:rsid w:val="5DEF592A"/>
    <w:rsid w:val="5DF30FC9"/>
    <w:rsid w:val="5E194A6C"/>
    <w:rsid w:val="5FC6BB1E"/>
    <w:rsid w:val="5FF720F1"/>
    <w:rsid w:val="641A55BD"/>
    <w:rsid w:val="650B0753"/>
    <w:rsid w:val="65FB68AF"/>
    <w:rsid w:val="67857B63"/>
    <w:rsid w:val="67FF5C0B"/>
    <w:rsid w:val="69577E61"/>
    <w:rsid w:val="6BAA4A2F"/>
    <w:rsid w:val="6CC21578"/>
    <w:rsid w:val="6EFC0924"/>
    <w:rsid w:val="6FB74722"/>
    <w:rsid w:val="6FEF8B7E"/>
    <w:rsid w:val="71A6591B"/>
    <w:rsid w:val="728D0A61"/>
    <w:rsid w:val="737D59BA"/>
    <w:rsid w:val="737F32B1"/>
    <w:rsid w:val="76431932"/>
    <w:rsid w:val="77C37683"/>
    <w:rsid w:val="79FF515B"/>
    <w:rsid w:val="7AF3196E"/>
    <w:rsid w:val="7B2E4327"/>
    <w:rsid w:val="7C5C38D1"/>
    <w:rsid w:val="7E9E1962"/>
    <w:rsid w:val="7E9F11B4"/>
    <w:rsid w:val="7F37EC1E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C3B4DA5A"/>
    <w:rsid w:val="CBFF70E0"/>
    <w:rsid w:val="CFF50B82"/>
    <w:rsid w:val="CFFFAD89"/>
    <w:rsid w:val="DFFE359E"/>
    <w:rsid w:val="DFFE4FFD"/>
    <w:rsid w:val="EEABED75"/>
    <w:rsid w:val="F56FDF51"/>
    <w:rsid w:val="F6B69F17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F1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24</Pages>
  <Words>1347</Words>
  <Characters>7679</Characters>
  <Lines>63</Lines>
  <Paragraphs>18</Paragraphs>
  <TotalTime>0</TotalTime>
  <ScaleCrop>false</ScaleCrop>
  <LinksUpToDate>false</LinksUpToDate>
  <CharactersWithSpaces>9008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2020-07-08T02:32:00Z</dcterms:created>
  <dc:creator>李航 null</dc:creator>
  <cp:lastModifiedBy>lenovo</cp:lastModifiedBy>
  <cp:lastPrinted>2024-08-08T10:20:00Z</cp:lastPrinted>
  <dcterms:modified xsi:type="dcterms:W3CDTF">2024-09-20T08:17:17Z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54C6D43C245E413B8F9043EAA20F9E8C</vt:lpwstr>
  </property>
</Properties>
</file>