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both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</w:t>
      </w:r>
    </w:p>
    <w:p>
      <w:pPr>
        <w:spacing w:after="120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sz w:val="2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年度部门整体支出绩效评价基础数据表</w:t>
      </w:r>
    </w:p>
    <w:tbl>
      <w:tblPr>
        <w:tblStyle w:val="6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100.00%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3.95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4.00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3.56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3.50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3.56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3.50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0.39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0.50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29.10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0.20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57.61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1、办案费支出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0.20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2、环境监测、监控及监察能力建设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11.00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3、环境监察、监测等运行经费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29.10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19.35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、上级环保专项资金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25.00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农村千人以上饮用水水源地保护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美丽河湖奖励资金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186.88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 xml:space="preserve"> 27.85 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 xml:space="preserve"> 79.75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3.63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 xml:space="preserve"> 17.12 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 xml:space="preserve"> 18.81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0.59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 xml:space="preserve"> 0.50 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 xml:space="preserve"> 1.20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144.08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109.12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105.71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95.15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楼堂馆所控制情况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（202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批复规模</w:t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</w:p>
    <w:p>
      <w:pPr>
        <w:widowControl/>
        <w:spacing w:after="0" w:afterLines="0" w:line="400" w:lineRule="exact"/>
        <w:jc w:val="left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填表人：        填报日期：          联系电话：            单位负责人签字：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2</w:t>
      </w:r>
    </w:p>
    <w:p>
      <w:pPr>
        <w:widowControl/>
        <w:spacing w:after="120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年度部门整体支出绩效自评表</w:t>
      </w:r>
    </w:p>
    <w:tbl>
      <w:tblPr>
        <w:tblStyle w:val="6"/>
        <w:tblW w:w="100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1075"/>
        <w:gridCol w:w="1028"/>
        <w:gridCol w:w="1265"/>
        <w:gridCol w:w="1306"/>
        <w:gridCol w:w="1264"/>
        <w:gridCol w:w="714"/>
        <w:gridCol w:w="916"/>
        <w:gridCol w:w="1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级预算部门名称</w:t>
            </w:r>
          </w:p>
        </w:tc>
        <w:tc>
          <w:tcPr>
            <w:tcW w:w="9004" w:type="dxa"/>
            <w:gridSpan w:val="8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岳阳市生态环境局南湖新区分局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算申请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0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26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年初预算数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全年预算数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全年执行数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0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149.68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302.24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299.71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99.16%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74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按收入性质分：</w:t>
            </w:r>
          </w:p>
        </w:tc>
        <w:tc>
          <w:tcPr>
            <w:tcW w:w="4330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按支出性质分：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74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 xml:space="preserve">  其中：  一般公共预算：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237.24</w:t>
            </w:r>
          </w:p>
        </w:tc>
        <w:tc>
          <w:tcPr>
            <w:tcW w:w="4330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其中：基本支出：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242.10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74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政府性基金拨款：</w:t>
            </w:r>
          </w:p>
        </w:tc>
        <w:tc>
          <w:tcPr>
            <w:tcW w:w="4330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57.61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74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纳入专户管理的非税收入拨款：</w:t>
            </w:r>
          </w:p>
        </w:tc>
        <w:tc>
          <w:tcPr>
            <w:tcW w:w="4330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74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65.00</w:t>
            </w:r>
          </w:p>
        </w:tc>
        <w:tc>
          <w:tcPr>
            <w:tcW w:w="4330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674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330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7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  <w:t>任务1.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抓好“污染防治攻坚战”“夏季攻势”行动。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  <w:t>任务2.持续做好水环境、大气污染防治、土壤污染防治管控工作。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  <w:t>任务3.加强项目资金监管。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  <w:t>任务4.做好企业服务工作。　</w:t>
            </w:r>
          </w:p>
        </w:tc>
        <w:tc>
          <w:tcPr>
            <w:tcW w:w="4330" w:type="dxa"/>
            <w:gridSpan w:val="4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我区环境质量稳中向好，1-11月南湖水质总体达到Ⅲ类，空气质量优良率为85.7%，PM2.5浓度为35ug/m3。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  <w:t>2.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开展日常环境监管和双随机抽查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，加强环境执法监管，严厉打击环境违法行为，开展现场执法149家次，立案查处环境违法行为11起，办结行政处罚案件11起，移送行政拘留案件1起，督促6家加油站对管道泄漏问题完成整治。</w:t>
            </w:r>
          </w:p>
          <w:p>
            <w:pPr>
              <w:pStyle w:val="3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3.开展突发环境事件应急演练，督促企业落实主体责任，完善突发环境事件应急措施和物资准备。</w:t>
            </w:r>
          </w:p>
          <w:p>
            <w:pPr>
              <w:pStyle w:val="3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4.督促相关单位完成2023年10个入河排污口整治工作任务，并完成销号。牵头开展突出生态环境问题整改工作。办结各类生态环境相关投诉5件次，对投诉高度重视、积极应对、及时沟通，取得了投诉人的理解与支持。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5.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污染防治攻坚战及夏季攻势工作情况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。强制污水处理厂深度处理，暴雨期间对排污可开展应急监测，做好水环境管控工作。加大巡查力度，及时响应重污染天气减排，做好特护期大气污染联防联控工作。积极对接区自然资源局，督促公共实训中心、龙山动植物园项目尽快完成土壤污染状况调查工作，做好土壤污染防治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年度指标值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实际完成值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2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全面开展非税收入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罚没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41.5万元，排污权有偿使用收入0.63万元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已超额完成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完成市级下发的污染防治攻坚任务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地表水达到Ⅲ类，环境空气质量达到Ⅱ级标准，污染地块安全利用率达到91%以上。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已全部达标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  <w:t>5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信访投诉处理率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5" w:type="dxa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巩固中央环保督查突出环境问题整改落实成果。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已销号的问题做到零反弹</w:t>
            </w:r>
            <w:r>
              <w:rPr>
                <w:rFonts w:eastAsia="仿宋_GB2312"/>
                <w:kern w:val="0"/>
                <w:sz w:val="24"/>
              </w:rPr>
              <w:t>　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反弹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5" w:type="dxa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无较大污染事件发生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争取0发生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0发生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按时完成各项指标任务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2023年12月31日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2023年12月31日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突发任务及时处理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即时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即时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所有的支出控制在预算内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302.24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实现节能减排，减少环保治理经费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经济效益较好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经济效益较好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改善辖区环境质量及群众生产生活环境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社会效益好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社会效益好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促进环境质量认知度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有所改善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有所改善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  <w:t>5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本区的环境质量得到持续改善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有可持续影响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本区的环境质量得到持续改善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社会公众满意率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≥90%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95%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13" w:type="dxa"/>
            <w:gridSpan w:val="6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99.92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填表人：      填报日期：         联系电话：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单位负责人签字：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6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环境监测、监控及监察能力建设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岳阳市生态环境局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岳阳市生态环境局南湖新区分局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11.00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11.00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目标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1、强化执法监管、环保法制建设；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目标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2、加强重点污染源企业监测；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目标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3、改善环境质量。　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已完成预期目标。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开展涉高氯酸盐企业排查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现场执法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33家次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督促问题整治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无较大污染事件发生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争取0发生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0发生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信访处理率、提案议案处理率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工作按计划完成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按年度计划时间内完成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按计划完成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突发任务及时处理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即时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即时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所有的支出控制在预算内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</w:rPr>
              <w:t>工作经费按要求控制在预算内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执行率为100%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实现节能减排，减少环保治理经费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经济效益较好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经济效益较好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改善辖区环境质量及群众生产生活环境，达到环境质量控制目标。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社会效益好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促进环境质量认知度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有所改善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有所改善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本区的环境质量得到持续改善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有可持续影响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本区的环境质量得到持续改善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社会公众满意率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≥90%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95%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填表人：  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填报日期：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联系电话：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6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环境监察、监测等运行经费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岳阳市生态环境局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岳阳市生态环境局南湖新区分局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19.35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19.35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19.35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19.35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目标1、日常环境监管、执法工作；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目标2、委托第三方进行执法性监督监测；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目标3、环保迎检、应急处置经费；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目标4、节能环保宣传费用。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已完成预期目标。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监测频次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每月一次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每月一次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各种整治符合环保标准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完成主要污染物减排目标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完成主要污染物减排目标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工作按计划完成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按年度计划时间内完成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按年度计划时间内完成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所有的支出控制在预算内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工作经费按要求控制在预算内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执行率为100%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实现节能减排，减少环保治理经费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经济效益较好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经济效益较好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改善辖区环境质量及群众生产生活环境，达到环境质量控制目标。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社会效益好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社会效益好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促进环境质量认知度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水质、土地、环境污染指数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稳定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稳定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社会公众满意率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≥90%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95%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>
      <w:p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填表人：  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填报日期：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联系电话：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4</w:t>
      </w:r>
    </w:p>
    <w:p>
      <w:pPr>
        <w:jc w:val="center"/>
        <w:rPr>
          <w:rFonts w:hint="default" w:ascii="Times New Roman" w:hAnsi="Times New Roman" w:eastAsia="方正小标宋_GBK" w:cs="Times New Roman"/>
          <w:sz w:val="52"/>
          <w:szCs w:val="52"/>
          <w:highlight w:val="non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年度岳阳市生态环境局南湖新区分局整体支出绩效自评报告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部门（单位）名称：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>（盖章）</w:t>
      </w:r>
    </w:p>
    <w:p>
      <w:pPr>
        <w:spacing w:line="600" w:lineRule="exact"/>
        <w:jc w:val="center"/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  <w:t>年  月  日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（此页为封面）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年度岳阳市生态环境局南湖新区分局整体支出绩效自评报告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部门（单位）基本情况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textAlignment w:val="auto"/>
        <w:rPr>
          <w:rFonts w:hint="default"/>
        </w:rPr>
      </w:pPr>
      <w:r>
        <w:rPr>
          <w:rFonts w:hint="default"/>
        </w:rPr>
        <w:t>（一）职能职责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textAlignment w:val="auto"/>
        <w:rPr>
          <w:rFonts w:hint="default"/>
        </w:rPr>
      </w:pPr>
      <w:r>
        <w:rPr>
          <w:rFonts w:hint="default"/>
        </w:rPr>
        <w:t>1.受市生态环境局委托，承担辖区内的生态环境相关工作；承担市生态环境局和区管委会交办的其他任务。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textAlignment w:val="auto"/>
        <w:rPr>
          <w:rFonts w:hint="default"/>
        </w:rPr>
      </w:pPr>
      <w:r>
        <w:rPr>
          <w:rFonts w:hint="default"/>
        </w:rPr>
        <w:t>2.负责本辖区内重点污染源在线监控系统现场监督管理；负责受理和办理生态环境保护举报（信访），负责生态环境信访维稳事件的现场调查处置工作，负责本辖区生态环境质量监测、执法监测、污染源监测和应急监测；负责辖区内生态文明示范区创建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textAlignment w:val="auto"/>
        <w:rPr>
          <w:rFonts w:hint="default"/>
        </w:rPr>
      </w:pPr>
      <w:r>
        <w:rPr>
          <w:rFonts w:hint="default"/>
        </w:rPr>
        <w:t>（二）机构设置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textAlignment w:val="auto"/>
        <w:rPr>
          <w:rFonts w:hint="default"/>
        </w:rPr>
      </w:pPr>
      <w:r>
        <w:rPr>
          <w:rFonts w:hint="default"/>
        </w:rPr>
        <w:t>南湖新区生态环境分局属岳阳市生态环境局二级机构。根据分局的整体情况，下设三个股室（办公室、监察大队、管理股）。分局目前共有工作人员12人，其中在编人员10人，退休2人，本科及以上学历为90%以上。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二、一般公共预算支出情况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（一）基本支出情况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150" w:after="150"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-2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我分局基本支出主要用于人员经费和环境宣传、固定资产采购、“三公”经费等公用支出。</w:t>
      </w:r>
      <w:r>
        <w:rPr>
          <w:rFonts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023年度基本支出179.63万元，其中：工资福利</w:t>
      </w:r>
      <w:r>
        <w:rPr>
          <w:rFonts w:hint="eastAsia" w:ascii="仿宋_GB2312" w:hAnsi="仿宋_GB2312" w:eastAsia="仿宋_GB2312" w:cs="仿宋_GB2312"/>
          <w:spacing w:val="-20"/>
          <w:kern w:val="0"/>
          <w:sz w:val="32"/>
          <w:szCs w:val="32"/>
          <w:lang w:val="en-US" w:eastAsia="zh-CN" w:bidi="ar-SA"/>
        </w:rPr>
        <w:t>支出146.70万元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lang w:val="en-US" w:eastAsia="zh-CN" w:bidi="ar-SA"/>
        </w:rPr>
        <w:t>；商品服务支出25.70万元；对个人和家庭的补助</w:t>
      </w:r>
      <w:r>
        <w:rPr>
          <w:rFonts w:hint="eastAsia" w:ascii="仿宋_GB2312" w:hAnsi="仿宋_GB2312" w:eastAsia="仿宋_GB2312" w:cs="仿宋_GB2312"/>
          <w:spacing w:val="-20"/>
          <w:kern w:val="0"/>
          <w:sz w:val="32"/>
          <w:szCs w:val="32"/>
          <w:lang w:val="en-US" w:eastAsia="zh-CN" w:bidi="ar-SA"/>
        </w:rPr>
        <w:t>7.23万元。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150" w:after="150" w:line="560" w:lineRule="exact"/>
        <w:ind w:firstLine="560" w:firstLineChars="200"/>
        <w:jc w:val="left"/>
        <w:textAlignment w:val="auto"/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pacing w:val="-20"/>
          <w:kern w:val="0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“三公”经费公务用车运行维护费1.85万元较上年度3.56万元减少1.71万元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实现了厉行节约的宗旨；公务接待费1.85万元，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 w:bidi="ar-SA"/>
        </w:rPr>
        <w:t>公务用车购置费0万元；因公出国费0万元。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（二）项目支出情况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我分局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项目总体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57.61万元，其中：办案费支出 2.26万元；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环境监测、监控及监察能力建设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11万元；环境监察、监测等运行经费19.35万元；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上级环保专项资金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25万元。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三、政府性基金预算支出情况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2023年本单位没有使用政府性基金预算安排的支出。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国有资本经营预算支出情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2023年本单位没有使用国有资本经营预算安排的支出。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社会保险基金预算支出情况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2023年本单位没有使用社会保险基金预算安排的支出。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部门整体支出绩效情况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pacing w:before="150" w:after="15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23年，我分局积极履职，强化管理，较好地完成了年度工作目标。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pacing w:before="150" w:after="150"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（一）环境质量状况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今年以来，我区环境质量稳中向好，1-11月南湖水质总体达到Ⅲ类，空气质量优良率为85.7%，排名全市第五，相比去年同期进步0.7个百分点，今年来受外来输入性污染影响，全市空气质量优良率均下降，我区是唯一一个空气质量综合指数下降的（去年同期3.74，今年3.65，有进步，剩余所有区都退步），PM2.5浓度为35ug/m3，排名全市第3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（二）生态环境执法工作情况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一是开展日常环境监管和双随机抽查。大队加强环境执法监管，严厉打击环境违法行为，开展现场执法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149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家次，立案查处环境违法行为1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起，办结行政处罚案件1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起，移送行政拘留案件1起，罚款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41.5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万元。一是加大日常监管与巡查力度，按照污染源“双随机一公开”监管工作方案，联合区卫健局开展“双随机一公开”执法检查11家次，组织开展“利剑行动”、加油站油气泄漏专项执法等专项行动，对辖区涉气企业、非道路移动机械开展监督性监测，严厉打击环境违法行为，督促6家加油站对管道泄漏问题完成整治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二是开展突发环境事件应急演练。督促企业落实主体责任，完善突发环境事件应急措施和物资准备，组织参与黄梅港污水处理厂开展了突发环境事件应急演练。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）污染防治攻坚战及夏季攻势工作情况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我区今年突出环境问题整改和夏季攻势销号任务已全部完成，污染防治攻坚战月考核排名位于全市前列，其中4月、7月、11月排名全市第一，1月排名全市第二，2月排名全市第三。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对辖区内2家环检机构开展每月一次专项检查，开展柴油货车路检路查，检查80台，处罚6台。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开展土壤污染防治工作，督促岳阳市公共卫生医疗中心、岳阳学院项目完成土壤污染状况调查工作，积极对接区自然资源局，督促公共实训中心、龙山动植物园项目尽快完成土壤污染状况调查工作。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四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）党建纪检工作情况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一是扎实推进南湖分局党支部五化建设，不断提升基层党组织战斗力；二是精心组织，高规格开好年度组织生活会和巡查整改专题组织生活会，会议达到思想基础实、对照检查真、互相批评诚、努力方向明的预期效果；三是认真部署落实违规收送红包礼金、严禁酒驾醉驾等专项整治行动；四是认真落实纪检组“三重一大”有关规定，按要求填报“三重一大”备案表；五是以党建红引领生态绿，与区政法系统的同志一道开展“守护好一江碧水”系列主题党日活动，并就生态环保法律法规开展宣传教育活动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五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）机关管理工作情况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一是认真实施《岳阳市生态环境局南湖新区分局公务员平时考核工作实施方案》，进一步推动平考工作，不断提升分局整体工作效能；二是结合资产、资本、资源清查工作，推动分局节能、节资工作；三是严把“三公经费”关，确保节约、依规使用经费的要求得以落实；四是加强对外宣传，在岳阳晚报、南湖新媒体刊发新闻十余篇，利用六.五世界环境日、安全生产日制作宣传展板4块，印发宣传资料2000份，不断营造生态环境保护工作的浓厚氛围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七、存在的问题及原因分析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一是南湖流域水质问题由来已久，上游来水均为Ⅴ类以上，持续冲击南湖主湖水体，“水华问题”时有发生，维持南湖水质稳定达标压力大，“统筹统治”模式尚不健全，在南湖新区层面上协调解决问题的难度大，需市级层面协调推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二是我区大气质量考核方式较为被动。考核点国控大气站点设置在楼区，由于站点设置历史原因，空气自动监测站点周边餐饮、夜宵店较多，且我区生环和城管执法对站点周边区域渗透范围受限，严重影响我区大气质量考核结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 w:bidi="ar-SA"/>
        </w:rPr>
        <w:t>八、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下一步改进措施</w:t>
      </w:r>
    </w:p>
    <w:p>
      <w:pPr>
        <w:pStyle w:val="2"/>
        <w:numPr>
          <w:ilvl w:val="0"/>
          <w:numId w:val="0"/>
        </w:numPr>
        <w:ind w:firstLine="6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（一）持续推进特护期污染防治攻坚战和夏季攻势工作</w:t>
      </w:r>
    </w:p>
    <w:p>
      <w:pPr>
        <w:pStyle w:val="2"/>
        <w:numPr>
          <w:ilvl w:val="0"/>
          <w:numId w:val="0"/>
        </w:numPr>
        <w:ind w:firstLine="6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一是加大大气污染防治工作力度。加强巡查、督查，协调、督导各责任单位落实大气污染防治工作职责，空气质量较2022年有明显改善，空气质量优良率、PM2.5浓度达到考核要求，力争空气质量达到国家二级标准。</w:t>
      </w:r>
    </w:p>
    <w:p>
      <w:pPr>
        <w:pStyle w:val="2"/>
        <w:numPr>
          <w:ilvl w:val="0"/>
          <w:numId w:val="0"/>
        </w:numPr>
        <w:ind w:firstLine="6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是持续开展水污染防治攻坚。做好枯水期水环境管理工作，进一步加大南湖治理力度，力争南湖水质全年稳定达到地表水Ⅲ类，并做好南湖水华防治工作，避免出现蓝藻大面积爆发。做好双塘村“千人以上”饮用水源地保护工作，开展饮用水源地水质检测。</w:t>
      </w:r>
    </w:p>
    <w:p>
      <w:pPr>
        <w:pStyle w:val="2"/>
        <w:numPr>
          <w:ilvl w:val="0"/>
          <w:numId w:val="0"/>
        </w:numPr>
        <w:ind w:firstLine="6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三是加强项目资金监管。督促月山管理处用好月山片区洞庭湖湖滨带生态修复工程项目资金，加快项目实施，督促在年底前完成项目建设。</w:t>
      </w:r>
    </w:p>
    <w:p>
      <w:pPr>
        <w:pStyle w:val="2"/>
        <w:numPr>
          <w:ilvl w:val="0"/>
          <w:numId w:val="0"/>
        </w:numPr>
        <w:ind w:firstLine="6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是做好企业服务工作。加强项目审批工作，对符合条件的项目一律从快、从简审批，做好项目审批信息公开工作。组织企业开展排污许可证、固废相关工作培训，对企业存在的问题进行解答，对相关系统操作进行解读。</w:t>
      </w:r>
    </w:p>
    <w:p>
      <w:pPr>
        <w:pStyle w:val="2"/>
        <w:numPr>
          <w:ilvl w:val="0"/>
          <w:numId w:val="0"/>
        </w:numPr>
        <w:ind w:firstLine="6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（二）坚守生态环境安全底线</w:t>
      </w:r>
    </w:p>
    <w:p>
      <w:pPr>
        <w:pStyle w:val="2"/>
        <w:numPr>
          <w:ilvl w:val="0"/>
          <w:numId w:val="0"/>
        </w:numPr>
        <w:ind w:firstLine="6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是贯彻实施好南湖截污、活水等“十字治理方针”，配合有关部门抓好南湖综合整治；二是按照时间节点推进突出生态环境问题的整改；三是加大执法力度，维护生态领域环境安全；四是全面推进长江重点入河（湖）排口整治工作按时按序完成。</w:t>
      </w:r>
    </w:p>
    <w:p>
      <w:pPr>
        <w:pStyle w:val="2"/>
        <w:numPr>
          <w:ilvl w:val="0"/>
          <w:numId w:val="0"/>
        </w:numPr>
        <w:ind w:firstLine="6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（三）深入推进队伍建设</w:t>
      </w:r>
    </w:p>
    <w:p>
      <w:pPr>
        <w:pStyle w:val="2"/>
        <w:numPr>
          <w:ilvl w:val="0"/>
          <w:numId w:val="0"/>
        </w:numPr>
        <w:ind w:firstLine="620" w:firstLineChars="200"/>
        <w:rPr>
          <w:rFonts w:hint="eastAsia" w:eastAsia="仿宋"/>
          <w:lang w:val="en-US" w:eastAsia="zh-CN"/>
        </w:rPr>
      </w:pPr>
      <w:r>
        <w:rPr>
          <w:rFonts w:hint="eastAsia"/>
          <w:lang w:val="en-US" w:eastAsia="zh-CN"/>
        </w:rPr>
        <w:t>一是以平考工作为抓手，狠抓队伍建设，不断提升工作绩效；二是严守廉洁底线，深入推进党风廉政建设，持续抓好违规收送红包礼金整治、严禁酒驾醉驾整治等工作；三是持续推进“五化”建设、守护好“一江碧水”等党建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九、部门整体支出绩效自评结果拟应用和公开情况</w:t>
      </w:r>
    </w:p>
    <w:p>
      <w:pPr>
        <w:pStyle w:val="2"/>
        <w:ind w:firstLine="620" w:firstLineChars="200"/>
        <w:rPr>
          <w:rFonts w:hint="default"/>
        </w:rPr>
      </w:pPr>
      <w:r>
        <w:rPr>
          <w:rFonts w:hint="default"/>
        </w:rPr>
        <w:t>本单位绩效自评结果为</w:t>
      </w:r>
      <w:r>
        <w:rPr>
          <w:rFonts w:hint="eastAsia"/>
          <w:lang w:eastAsia="zh-CN"/>
        </w:rPr>
        <w:t>优秀</w:t>
      </w:r>
      <w:r>
        <w:rPr>
          <w:rFonts w:hint="default"/>
        </w:rPr>
        <w:t>等级。下一步将根据财政检查绩效自评发现的问题等进行改善，并按政务公开的相关规定，及时将部门整体支出及项目绩效自评报告，通过门户网站向社会公开。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 w:bidi="ar-SA"/>
        </w:rPr>
        <w:t>十、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其他需要说明的情况</w:t>
      </w:r>
    </w:p>
    <w:p>
      <w:pPr>
        <w:pStyle w:val="2"/>
        <w:ind w:firstLine="6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报告需要以下附件：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部门整体支出绩效评价基础数据表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部门整体支出绩效自评表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项目支出绩效自评表（一个一级项目支出一张表）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政府性基金预算支出情况表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国有资本经营预算支出情况表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社会保险基金预算支出情况表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6D5912"/>
    <w:multiLevelType w:val="singleLevel"/>
    <w:tmpl w:val="0D6D59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72DDDE8"/>
    <w:multiLevelType w:val="singleLevel"/>
    <w:tmpl w:val="472DDDE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M2RiODNhYzYwODk5ZTg2MTVmODIyMGIzNjA1OGYifQ=="/>
  </w:docVars>
  <w:rsids>
    <w:rsidRoot w:val="59886344"/>
    <w:rsid w:val="01A63CD7"/>
    <w:rsid w:val="02740C23"/>
    <w:rsid w:val="03380674"/>
    <w:rsid w:val="044779E7"/>
    <w:rsid w:val="04665F1D"/>
    <w:rsid w:val="05412745"/>
    <w:rsid w:val="058C7E64"/>
    <w:rsid w:val="05FD2B10"/>
    <w:rsid w:val="0AC8263F"/>
    <w:rsid w:val="0C844E03"/>
    <w:rsid w:val="0CE01F46"/>
    <w:rsid w:val="0D9D24E2"/>
    <w:rsid w:val="0EA578A0"/>
    <w:rsid w:val="0FFE195E"/>
    <w:rsid w:val="113A4C18"/>
    <w:rsid w:val="11496C09"/>
    <w:rsid w:val="11F748B7"/>
    <w:rsid w:val="127C4DBC"/>
    <w:rsid w:val="16FF2141"/>
    <w:rsid w:val="17E01CEC"/>
    <w:rsid w:val="18B23140"/>
    <w:rsid w:val="191F5F30"/>
    <w:rsid w:val="1C161A62"/>
    <w:rsid w:val="1EA00084"/>
    <w:rsid w:val="1ED96131"/>
    <w:rsid w:val="20566C4C"/>
    <w:rsid w:val="21884F0C"/>
    <w:rsid w:val="219429D4"/>
    <w:rsid w:val="23B66BD2"/>
    <w:rsid w:val="25DD15C5"/>
    <w:rsid w:val="26676CA3"/>
    <w:rsid w:val="29171045"/>
    <w:rsid w:val="2A222295"/>
    <w:rsid w:val="2D1A7254"/>
    <w:rsid w:val="307028E6"/>
    <w:rsid w:val="30B8300C"/>
    <w:rsid w:val="3188594B"/>
    <w:rsid w:val="3229553B"/>
    <w:rsid w:val="33C63C91"/>
    <w:rsid w:val="35E12B4D"/>
    <w:rsid w:val="3925145A"/>
    <w:rsid w:val="393A75ED"/>
    <w:rsid w:val="39404BDD"/>
    <w:rsid w:val="398A3CE5"/>
    <w:rsid w:val="3D7F6A3A"/>
    <w:rsid w:val="3E081DAF"/>
    <w:rsid w:val="406C7CC6"/>
    <w:rsid w:val="447339C1"/>
    <w:rsid w:val="469E71A8"/>
    <w:rsid w:val="474F17A4"/>
    <w:rsid w:val="49547006"/>
    <w:rsid w:val="49555444"/>
    <w:rsid w:val="4ECF5C98"/>
    <w:rsid w:val="4EE43655"/>
    <w:rsid w:val="4F0B013B"/>
    <w:rsid w:val="55A439DB"/>
    <w:rsid w:val="568B06F7"/>
    <w:rsid w:val="570A0F13"/>
    <w:rsid w:val="57CE2F91"/>
    <w:rsid w:val="58095CBB"/>
    <w:rsid w:val="59886344"/>
    <w:rsid w:val="5AF17033"/>
    <w:rsid w:val="5B1C7423"/>
    <w:rsid w:val="5B531ADB"/>
    <w:rsid w:val="5BEA24B6"/>
    <w:rsid w:val="5C0105BA"/>
    <w:rsid w:val="5D55249C"/>
    <w:rsid w:val="5DAF73C1"/>
    <w:rsid w:val="61811074"/>
    <w:rsid w:val="61C6117D"/>
    <w:rsid w:val="645227C1"/>
    <w:rsid w:val="66263ABB"/>
    <w:rsid w:val="679338AF"/>
    <w:rsid w:val="699C5B6F"/>
    <w:rsid w:val="6B2A452A"/>
    <w:rsid w:val="6CAB51F7"/>
    <w:rsid w:val="72C2773E"/>
    <w:rsid w:val="78DB3B19"/>
    <w:rsid w:val="791D063B"/>
    <w:rsid w:val="7ABD2CC5"/>
    <w:rsid w:val="7F0F7867"/>
    <w:rsid w:val="7F48099F"/>
    <w:rsid w:val="7F711595"/>
    <w:rsid w:val="DFEF8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toc 5"/>
    <w:basedOn w:val="1"/>
    <w:next w:val="1"/>
    <w:autoRedefine/>
    <w:qFormat/>
    <w:uiPriority w:val="0"/>
    <w:pPr>
      <w:ind w:left="1680" w:leftChars="800"/>
    </w:p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仿宋" w:hAnsi="仿宋" w:eastAsia="宋体" w:cs="Times New Roman"/>
      <w:kern w:val="0"/>
      <w:sz w:val="18"/>
      <w:szCs w:val="24"/>
      <w:lang w:val="en-US" w:eastAsia="zh-CN" w:bidi="ar-SA"/>
    </w:rPr>
  </w:style>
  <w:style w:type="paragraph" w:styleId="5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仿宋" w:hAnsi="仿宋" w:eastAsia="宋体" w:cs="Times New Roman"/>
      <w:kern w:val="0"/>
      <w:sz w:val="18"/>
      <w:szCs w:val="24"/>
      <w:lang w:val="en-US" w:eastAsia="zh-CN" w:bidi="ar-SA"/>
    </w:rPr>
  </w:style>
  <w:style w:type="paragraph" w:customStyle="1" w:styleId="8">
    <w:name w:val="列出段落1"/>
    <w:basedOn w:val="1"/>
    <w:autoRedefine/>
    <w:qFormat/>
    <w:uiPriority w:val="34"/>
    <w:pPr>
      <w:ind w:firstLine="420" w:firstLineChars="200"/>
    </w:pPr>
  </w:style>
  <w:style w:type="paragraph" w:styleId="9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5678</Words>
  <Characters>6207</Characters>
  <Lines>0</Lines>
  <Paragraphs>0</Paragraphs>
  <TotalTime>0</TotalTime>
  <ScaleCrop>false</ScaleCrop>
  <LinksUpToDate>false</LinksUpToDate>
  <CharactersWithSpaces>6564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2024-03-18T08:36:00Z</dcterms:created>
  <dc:creator>Administrator</dc:creator>
  <cp:lastModifiedBy>Gat</cp:lastModifiedBy>
  <dcterms:modified xsi:type="dcterms:W3CDTF">2024-06-27T04:13:06Z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94EA49C4EC4C49D0B0C0C25FC1DCCF62_13</vt:lpwstr>
  </property>
</Properties>
</file>