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2023年度岳阳市洞庭湖江豚保护中心</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整体支出绩效自评报告</w:t>
      </w:r>
    </w:p>
    <w:p>
      <w:pPr>
        <w:spacing w:line="640" w:lineRule="exact"/>
        <w:ind w:firstLine="640" w:firstLineChars="200"/>
        <w:rPr>
          <w:rFonts w:ascii="Times New Roman" w:hAnsi="Times New Roman" w:eastAsia="仿宋_GB2312"/>
          <w:sz w:val="32"/>
          <w:szCs w:val="32"/>
        </w:rPr>
      </w:pPr>
    </w:p>
    <w:p>
      <w:pPr>
        <w:spacing w:line="640" w:lineRule="exact"/>
        <w:ind w:firstLine="640" w:firstLineChars="200"/>
        <w:rPr>
          <w:rFonts w:ascii="Times New Roman" w:hAnsi="Times New Roman" w:eastAsia="黑体"/>
          <w:sz w:val="32"/>
          <w:szCs w:val="32"/>
        </w:rPr>
      </w:pPr>
      <w:r>
        <w:rPr>
          <w:rFonts w:ascii="Times New Roman" w:hAnsi="Times New Roman" w:eastAsia="黑体"/>
          <w:sz w:val="32"/>
          <w:szCs w:val="32"/>
        </w:rPr>
        <w:t>一、单位基本情况</w:t>
      </w:r>
    </w:p>
    <w:p>
      <w:pPr>
        <w:pStyle w:val="3"/>
        <w:ind w:firstLine="643"/>
      </w:pPr>
      <w:r>
        <w:rPr>
          <w:rFonts w:hint="eastAsia"/>
        </w:rPr>
        <w:t>（一）职责情况</w:t>
      </w:r>
    </w:p>
    <w:p>
      <w:pPr>
        <w:widowControl/>
        <w:spacing w:line="640" w:lineRule="exact"/>
        <w:ind w:firstLine="640"/>
        <w:rPr>
          <w:color w:val="000000"/>
          <w:szCs w:val="32"/>
        </w:rPr>
      </w:pPr>
      <w:r>
        <w:rPr>
          <w:rFonts w:hint="eastAsia" w:ascii="Times New Roman" w:hAnsi="Times New Roman" w:eastAsia="仿宋_GB2312"/>
          <w:color w:val="000000"/>
          <w:sz w:val="32"/>
          <w:szCs w:val="32"/>
        </w:rPr>
        <w:t>岳阳市洞庭湖江豚保护中心，业务归口市农业农村局主管，为正科级公益一类全额拨款事业单位。</w:t>
      </w:r>
    </w:p>
    <w:p>
      <w:pPr>
        <w:widowControl/>
        <w:spacing w:line="640" w:lineRule="exact"/>
        <w:ind w:firstLine="632"/>
        <w:rPr>
          <w:color w:val="000000"/>
          <w:szCs w:val="32"/>
        </w:rPr>
      </w:pPr>
      <w:r>
        <w:rPr>
          <w:rFonts w:hint="eastAsia" w:ascii="Times New Roman" w:hAnsi="Times New Roman" w:eastAsia="仿宋_GB2312"/>
          <w:color w:val="000000"/>
          <w:sz w:val="32"/>
          <w:szCs w:val="32"/>
        </w:rPr>
        <w:t>主要职能职责有：</w:t>
      </w:r>
    </w:p>
    <w:p>
      <w:pPr>
        <w:widowControl/>
        <w:spacing w:line="640" w:lineRule="exact"/>
        <w:ind w:firstLine="640"/>
        <w:rPr>
          <w:color w:val="000000"/>
          <w:szCs w:val="32"/>
        </w:rPr>
      </w:pPr>
      <w:r>
        <w:rPr>
          <w:rFonts w:hint="eastAsia"/>
          <w:color w:val="000000"/>
          <w:sz w:val="32"/>
          <w:szCs w:val="32"/>
        </w:rPr>
        <w:t>（1）</w:t>
      </w:r>
      <w:r>
        <w:rPr>
          <w:rFonts w:hint="eastAsia" w:ascii="Times New Roman" w:hAnsi="Times New Roman" w:eastAsia="仿宋_GB2312"/>
          <w:color w:val="000000"/>
          <w:sz w:val="32"/>
          <w:szCs w:val="32"/>
        </w:rPr>
        <w:t>承担水产种质资源保护区内水生生物资源及其生存环境的监测、资源养护和生态修复等工作</w:t>
      </w:r>
      <w:r>
        <w:rPr>
          <w:rFonts w:hint="eastAsia"/>
          <w:color w:val="000000"/>
          <w:szCs w:val="32"/>
        </w:rPr>
        <w:t>。</w:t>
      </w:r>
    </w:p>
    <w:p>
      <w:pPr>
        <w:widowControl/>
        <w:spacing w:line="640" w:lineRule="exact"/>
        <w:ind w:firstLine="640"/>
        <w:rPr>
          <w:color w:val="000000"/>
          <w:szCs w:val="32"/>
        </w:rPr>
      </w:pPr>
      <w:r>
        <w:rPr>
          <w:rFonts w:hint="eastAsia"/>
          <w:color w:val="000000"/>
          <w:sz w:val="32"/>
          <w:szCs w:val="32"/>
        </w:rPr>
        <w:t>（2）</w:t>
      </w:r>
      <w:r>
        <w:rPr>
          <w:rFonts w:hint="eastAsia" w:ascii="Times New Roman" w:hAnsi="Times New Roman" w:eastAsia="仿宋_GB2312"/>
          <w:color w:val="000000"/>
          <w:sz w:val="32"/>
          <w:szCs w:val="32"/>
        </w:rPr>
        <w:t>承担保护区及长江岳阳段范围内珍贵、濒危水生野生动物保护工作；承担长江江豚的救护和驯养繁殖研究工作。</w:t>
      </w:r>
    </w:p>
    <w:p>
      <w:pPr>
        <w:widowControl/>
        <w:spacing w:line="640" w:lineRule="exact"/>
        <w:ind w:firstLine="640"/>
        <w:rPr>
          <w:color w:val="000000"/>
          <w:szCs w:val="32"/>
        </w:rPr>
      </w:pPr>
      <w:r>
        <w:rPr>
          <w:rFonts w:hint="eastAsia"/>
          <w:color w:val="000000"/>
          <w:sz w:val="32"/>
          <w:szCs w:val="32"/>
        </w:rPr>
        <w:t>（3）</w:t>
      </w:r>
      <w:r>
        <w:rPr>
          <w:rFonts w:hint="eastAsia" w:ascii="Times New Roman" w:hAnsi="Times New Roman" w:eastAsia="仿宋_GB2312"/>
          <w:color w:val="000000"/>
          <w:sz w:val="32"/>
          <w:szCs w:val="32"/>
        </w:rPr>
        <w:t>根据授权，承担保护区范围内涉水涉渔工程项目监管及生态补偿资金和生态补偿措施落实的行政辅助工作。</w:t>
      </w:r>
    </w:p>
    <w:p>
      <w:pPr>
        <w:pStyle w:val="3"/>
        <w:ind w:firstLine="643"/>
      </w:pPr>
      <w:r>
        <w:rPr>
          <w:rFonts w:hint="eastAsia"/>
        </w:rPr>
        <w:t>（二）机构情况</w:t>
      </w:r>
    </w:p>
    <w:p>
      <w:pPr>
        <w:pStyle w:val="3"/>
        <w:ind w:firstLine="640"/>
        <w:rPr>
          <w:rFonts w:eastAsia="仿宋_GB2312"/>
          <w:b w:val="0"/>
          <w:bCs w:val="0"/>
          <w:color w:val="000000"/>
        </w:rPr>
      </w:pPr>
      <w:r>
        <w:rPr>
          <w:rFonts w:hint="eastAsia" w:eastAsia="仿宋_GB2312"/>
          <w:b w:val="0"/>
          <w:bCs w:val="0"/>
          <w:color w:val="000000"/>
        </w:rPr>
        <w:t>岳阳市洞庭湖江豚保护中心内设2个科室：办公室、观测站。</w:t>
      </w:r>
    </w:p>
    <w:p>
      <w:pPr>
        <w:pStyle w:val="3"/>
        <w:ind w:firstLine="643"/>
      </w:pPr>
      <w:r>
        <w:rPr>
          <w:rFonts w:hint="eastAsia"/>
        </w:rPr>
        <w:t>（三）</w:t>
      </w:r>
      <w:r>
        <w:t>人员情况</w:t>
      </w:r>
    </w:p>
    <w:p>
      <w:pPr>
        <w:widowControl/>
        <w:spacing w:line="640" w:lineRule="exact"/>
        <w:ind w:firstLine="632"/>
        <w:rPr>
          <w:rFonts w:ascii="Times New Roman" w:hAnsi="Times New Roman" w:eastAsia="仿宋_GB2312"/>
          <w:color w:val="000000"/>
          <w:kern w:val="2"/>
          <w:sz w:val="32"/>
          <w:szCs w:val="32"/>
        </w:rPr>
      </w:pPr>
      <w:r>
        <w:rPr>
          <w:rFonts w:hint="eastAsia" w:ascii="Times New Roman" w:hAnsi="Times New Roman" w:eastAsia="仿宋_GB2312"/>
          <w:color w:val="000000"/>
          <w:kern w:val="2"/>
          <w:sz w:val="32"/>
          <w:szCs w:val="32"/>
        </w:rPr>
        <w:t>岳阳市洞庭湖江豚保护中心核定全额拨款事业编制11人，2023年末实有在职人数9人，退休人员1人。</w:t>
      </w:r>
    </w:p>
    <w:p>
      <w:pPr>
        <w:pStyle w:val="11"/>
        <w:widowControl/>
        <w:spacing w:line="640" w:lineRule="exact"/>
        <w:ind w:firstLine="640"/>
        <w:rPr>
          <w:rFonts w:ascii="Times New Roman" w:hAnsi="Times New Roman" w:eastAsia="黑体"/>
          <w:sz w:val="32"/>
          <w:szCs w:val="32"/>
        </w:rPr>
      </w:pPr>
      <w:r>
        <w:rPr>
          <w:rFonts w:ascii="Times New Roman" w:hAnsi="Times New Roman" w:eastAsia="黑体"/>
          <w:sz w:val="32"/>
          <w:szCs w:val="32"/>
        </w:rPr>
        <w:t>二、一般公共预算支出情况</w:t>
      </w:r>
    </w:p>
    <w:p>
      <w:pPr>
        <w:pStyle w:val="11"/>
        <w:widowControl/>
        <w:spacing w:line="640" w:lineRule="exact"/>
        <w:ind w:firstLine="643"/>
        <w:rPr>
          <w:rFonts w:hint="default"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2023年全年共支出432.72万元.</w:t>
      </w:r>
    </w:p>
    <w:p>
      <w:pPr>
        <w:pStyle w:val="11"/>
        <w:widowControl/>
        <w:spacing w:line="640" w:lineRule="exact"/>
        <w:ind w:firstLine="643"/>
        <w:rPr>
          <w:rFonts w:ascii="Times New Roman" w:hAnsi="Times New Roman" w:eastAsia="楷体_GB2312"/>
          <w:b/>
          <w:sz w:val="32"/>
          <w:szCs w:val="32"/>
        </w:rPr>
      </w:pPr>
      <w:r>
        <w:rPr>
          <w:rFonts w:ascii="Times New Roman" w:hAnsi="Times New Roman" w:eastAsia="楷体_GB2312"/>
          <w:b/>
          <w:sz w:val="32"/>
          <w:szCs w:val="32"/>
        </w:rPr>
        <w:t>（一）基本支出情况</w:t>
      </w:r>
    </w:p>
    <w:p>
      <w:pPr>
        <w:ind w:firstLine="640"/>
        <w:rPr>
          <w:rFonts w:ascii="Times New Roman" w:hAnsi="Times New Roman" w:eastAsia="仿宋_GB2312"/>
          <w:color w:val="000000"/>
          <w:kern w:val="2"/>
          <w:sz w:val="32"/>
          <w:szCs w:val="32"/>
        </w:rPr>
      </w:pPr>
      <w:r>
        <w:rPr>
          <w:rFonts w:ascii="Times New Roman" w:hAnsi="Times New Roman" w:eastAsia="仿宋_GB2312"/>
          <w:color w:val="000000"/>
          <w:kern w:val="2"/>
          <w:sz w:val="32"/>
          <w:szCs w:val="32"/>
        </w:rPr>
        <w:t>202</w:t>
      </w:r>
      <w:r>
        <w:rPr>
          <w:rFonts w:hint="eastAsia" w:ascii="Times New Roman" w:hAnsi="Times New Roman" w:eastAsia="仿宋_GB2312"/>
          <w:color w:val="000000"/>
          <w:kern w:val="2"/>
          <w:sz w:val="32"/>
          <w:szCs w:val="32"/>
        </w:rPr>
        <w:t>3</w:t>
      </w:r>
      <w:r>
        <w:rPr>
          <w:rFonts w:ascii="Times New Roman" w:hAnsi="Times New Roman" w:eastAsia="仿宋_GB2312"/>
          <w:color w:val="000000"/>
          <w:kern w:val="2"/>
          <w:sz w:val="32"/>
          <w:szCs w:val="32"/>
        </w:rPr>
        <w:t>年基本支出为</w:t>
      </w:r>
      <w:r>
        <w:rPr>
          <w:rFonts w:hint="eastAsia" w:ascii="Times New Roman" w:hAnsi="Times New Roman" w:eastAsia="仿宋_GB2312"/>
          <w:color w:val="000000"/>
          <w:kern w:val="2"/>
          <w:sz w:val="32"/>
          <w:szCs w:val="32"/>
        </w:rPr>
        <w:t>121.73</w:t>
      </w:r>
      <w:r>
        <w:rPr>
          <w:rFonts w:ascii="Times New Roman" w:hAnsi="Times New Roman" w:eastAsia="仿宋_GB2312"/>
          <w:color w:val="000000"/>
          <w:kern w:val="2"/>
          <w:sz w:val="32"/>
          <w:szCs w:val="32"/>
        </w:rPr>
        <w:t>万元</w:t>
      </w:r>
      <w:r>
        <w:rPr>
          <w:rFonts w:hint="eastAsia" w:ascii="Times New Roman" w:hAnsi="Times New Roman" w:eastAsia="仿宋_GB2312"/>
          <w:color w:val="000000"/>
          <w:kern w:val="2"/>
          <w:sz w:val="32"/>
          <w:szCs w:val="32"/>
        </w:rPr>
        <w:t>，</w:t>
      </w:r>
      <w:r>
        <w:rPr>
          <w:rFonts w:ascii="Times New Roman" w:hAnsi="Times New Roman" w:eastAsia="仿宋_GB2312"/>
          <w:color w:val="000000"/>
          <w:kern w:val="2"/>
          <w:sz w:val="32"/>
          <w:szCs w:val="32"/>
        </w:rPr>
        <w:t>其中</w:t>
      </w:r>
      <w:r>
        <w:rPr>
          <w:rFonts w:hint="eastAsia" w:ascii="Times New Roman" w:hAnsi="Times New Roman" w:eastAsia="仿宋_GB2312"/>
          <w:color w:val="000000"/>
          <w:kern w:val="2"/>
          <w:sz w:val="32"/>
          <w:szCs w:val="32"/>
        </w:rPr>
        <w:t>：</w:t>
      </w:r>
      <w:r>
        <w:rPr>
          <w:rFonts w:ascii="Times New Roman" w:hAnsi="Times New Roman" w:eastAsia="仿宋_GB2312"/>
          <w:color w:val="000000"/>
          <w:kern w:val="2"/>
          <w:sz w:val="32"/>
          <w:szCs w:val="32"/>
        </w:rPr>
        <w:t>工资福利支出</w:t>
      </w:r>
      <w:r>
        <w:rPr>
          <w:rFonts w:hint="eastAsia" w:ascii="Times New Roman" w:hAnsi="Times New Roman" w:eastAsia="仿宋_GB2312"/>
          <w:color w:val="000000"/>
          <w:kern w:val="2"/>
          <w:sz w:val="32"/>
          <w:szCs w:val="32"/>
        </w:rPr>
        <w:t>113.68</w:t>
      </w:r>
      <w:r>
        <w:rPr>
          <w:rFonts w:ascii="Times New Roman" w:hAnsi="Times New Roman" w:eastAsia="仿宋_GB2312"/>
          <w:color w:val="000000"/>
          <w:kern w:val="2"/>
          <w:sz w:val="32"/>
          <w:szCs w:val="32"/>
        </w:rPr>
        <w:t>万元，商品和服务支出</w:t>
      </w:r>
      <w:r>
        <w:rPr>
          <w:rFonts w:hint="eastAsia" w:ascii="Times New Roman" w:hAnsi="Times New Roman" w:eastAsia="仿宋_GB2312"/>
          <w:color w:val="000000"/>
          <w:kern w:val="2"/>
          <w:sz w:val="32"/>
          <w:szCs w:val="32"/>
        </w:rPr>
        <w:t>8.05</w:t>
      </w:r>
      <w:r>
        <w:rPr>
          <w:rFonts w:ascii="Times New Roman" w:hAnsi="Times New Roman" w:eastAsia="仿宋_GB2312"/>
          <w:color w:val="000000"/>
          <w:kern w:val="2"/>
          <w:sz w:val="32"/>
          <w:szCs w:val="32"/>
        </w:rPr>
        <w:t>万元。</w:t>
      </w:r>
    </w:p>
    <w:p>
      <w:pPr>
        <w:pStyle w:val="11"/>
        <w:widowControl/>
        <w:spacing w:line="640" w:lineRule="exact"/>
        <w:ind w:firstLine="643"/>
        <w:rPr>
          <w:rFonts w:ascii="Times New Roman" w:hAnsi="Times New Roman" w:eastAsia="楷体_GB2312"/>
          <w:b/>
          <w:sz w:val="32"/>
          <w:szCs w:val="32"/>
        </w:rPr>
      </w:pPr>
      <w:r>
        <w:rPr>
          <w:rFonts w:ascii="Times New Roman" w:hAnsi="Times New Roman" w:eastAsia="楷体_GB2312"/>
          <w:b/>
          <w:sz w:val="32"/>
          <w:szCs w:val="32"/>
        </w:rPr>
        <w:t>（二）项目支出情况</w:t>
      </w:r>
    </w:p>
    <w:p>
      <w:pPr>
        <w:ind w:firstLine="640"/>
        <w:rPr>
          <w:rFonts w:hint="eastAsia" w:ascii="Times New Roman" w:hAnsi="Times New Roman" w:eastAsia="仿宋_GB2312"/>
          <w:color w:val="000000"/>
          <w:kern w:val="2"/>
          <w:sz w:val="32"/>
          <w:szCs w:val="32"/>
          <w:lang w:val="en-US" w:eastAsia="zh-CN"/>
        </w:rPr>
      </w:pPr>
      <w:r>
        <w:rPr>
          <w:rFonts w:ascii="Times New Roman" w:hAnsi="Times New Roman" w:eastAsia="仿宋_GB2312"/>
          <w:color w:val="000000"/>
          <w:kern w:val="2"/>
          <w:sz w:val="32"/>
          <w:szCs w:val="32"/>
        </w:rPr>
        <w:t>202</w:t>
      </w:r>
      <w:r>
        <w:rPr>
          <w:rFonts w:hint="eastAsia" w:ascii="Times New Roman" w:hAnsi="Times New Roman" w:eastAsia="仿宋_GB2312"/>
          <w:color w:val="000000"/>
          <w:kern w:val="2"/>
          <w:sz w:val="32"/>
          <w:szCs w:val="32"/>
        </w:rPr>
        <w:t>3</w:t>
      </w:r>
      <w:r>
        <w:rPr>
          <w:rFonts w:ascii="Times New Roman" w:hAnsi="Times New Roman" w:eastAsia="仿宋_GB2312"/>
          <w:color w:val="000000"/>
          <w:kern w:val="2"/>
          <w:sz w:val="32"/>
          <w:szCs w:val="32"/>
        </w:rPr>
        <w:t>年</w:t>
      </w:r>
      <w:r>
        <w:rPr>
          <w:rFonts w:hint="eastAsia" w:ascii="Times New Roman" w:hAnsi="Times New Roman" w:eastAsia="仿宋_GB2312"/>
          <w:color w:val="000000"/>
          <w:kern w:val="2"/>
          <w:sz w:val="32"/>
          <w:szCs w:val="32"/>
        </w:rPr>
        <w:t>项目</w:t>
      </w:r>
      <w:r>
        <w:rPr>
          <w:rFonts w:ascii="Times New Roman" w:hAnsi="Times New Roman" w:eastAsia="仿宋_GB2312"/>
          <w:color w:val="000000"/>
          <w:kern w:val="2"/>
          <w:sz w:val="32"/>
          <w:szCs w:val="32"/>
        </w:rPr>
        <w:t>支</w:t>
      </w:r>
      <w:r>
        <w:rPr>
          <w:rFonts w:hint="eastAsia" w:ascii="Times New Roman" w:hAnsi="Times New Roman" w:eastAsia="仿宋_GB2312"/>
          <w:color w:val="000000"/>
          <w:kern w:val="2"/>
          <w:sz w:val="32"/>
          <w:szCs w:val="32"/>
        </w:rPr>
        <w:t>出</w:t>
      </w:r>
      <w:r>
        <w:rPr>
          <w:rFonts w:ascii="Times New Roman" w:hAnsi="Times New Roman" w:eastAsia="仿宋_GB2312"/>
          <w:color w:val="000000"/>
          <w:kern w:val="2"/>
          <w:sz w:val="32"/>
          <w:szCs w:val="32"/>
        </w:rPr>
        <w:t>为</w:t>
      </w:r>
      <w:r>
        <w:rPr>
          <w:rFonts w:hint="eastAsia" w:ascii="Times New Roman" w:hAnsi="Times New Roman" w:eastAsia="仿宋_GB2312"/>
          <w:color w:val="000000"/>
          <w:kern w:val="2"/>
          <w:sz w:val="32"/>
          <w:szCs w:val="32"/>
        </w:rPr>
        <w:t>310.99</w:t>
      </w:r>
      <w:r>
        <w:rPr>
          <w:rFonts w:ascii="Times New Roman" w:hAnsi="Times New Roman" w:eastAsia="仿宋_GB2312"/>
          <w:color w:val="000000"/>
          <w:kern w:val="2"/>
          <w:sz w:val="32"/>
          <w:szCs w:val="32"/>
        </w:rPr>
        <w:t>万元</w:t>
      </w:r>
      <w:r>
        <w:rPr>
          <w:rFonts w:hint="eastAsia" w:ascii="Times New Roman" w:hAnsi="Times New Roman" w:eastAsia="仿宋_GB2312"/>
          <w:color w:val="000000"/>
          <w:kern w:val="2"/>
          <w:sz w:val="32"/>
          <w:szCs w:val="32"/>
          <w:lang w:val="en-US" w:eastAsia="zh-CN"/>
        </w:rPr>
        <w:t>。</w:t>
      </w:r>
    </w:p>
    <w:p>
      <w:pPr>
        <w:pStyle w:val="11"/>
        <w:widowControl/>
        <w:spacing w:line="640" w:lineRule="exact"/>
        <w:ind w:firstLine="640"/>
        <w:rPr>
          <w:rFonts w:hint="eastAsia" w:ascii="Times New Roman" w:hAnsi="Times New Roman" w:eastAsia="黑体"/>
          <w:sz w:val="32"/>
          <w:szCs w:val="32"/>
        </w:rPr>
      </w:pPr>
      <w:r>
        <w:rPr>
          <w:rFonts w:ascii="Times New Roman" w:hAnsi="Times New Roman" w:eastAsia="黑体"/>
          <w:sz w:val="32"/>
          <w:szCs w:val="32"/>
        </w:rPr>
        <w:t>三、政府性基金预算支出情况</w:t>
      </w:r>
    </w:p>
    <w:p>
      <w:pPr>
        <w:pStyle w:val="11"/>
        <w:widowControl/>
        <w:spacing w:line="640" w:lineRule="exact"/>
        <w:ind w:firstLine="640"/>
        <w:rPr>
          <w:rFonts w:ascii="Times New Roman" w:hAnsi="Times New Roman" w:eastAsia="仿宋_GB2312"/>
          <w:color w:val="000000"/>
          <w:kern w:val="2"/>
          <w:sz w:val="32"/>
          <w:szCs w:val="32"/>
        </w:rPr>
      </w:pPr>
      <w:r>
        <w:rPr>
          <w:rFonts w:hint="eastAsia" w:ascii="Times New Roman" w:hAnsi="Times New Roman" w:eastAsia="仿宋_GB2312"/>
          <w:color w:val="000000"/>
          <w:kern w:val="2"/>
          <w:sz w:val="32"/>
          <w:szCs w:val="32"/>
        </w:rPr>
        <w:t>岳阳市洞庭湖江豚保护中心2023年度无政府性基金预算支出。</w:t>
      </w:r>
    </w:p>
    <w:p>
      <w:pPr>
        <w:pStyle w:val="11"/>
        <w:widowControl/>
        <w:spacing w:line="640" w:lineRule="exact"/>
        <w:ind w:firstLine="640"/>
        <w:rPr>
          <w:rFonts w:ascii="Times New Roman" w:hAnsi="Times New Roman" w:eastAsia="黑体"/>
          <w:sz w:val="32"/>
          <w:szCs w:val="32"/>
        </w:rPr>
      </w:pPr>
      <w:r>
        <w:rPr>
          <w:rFonts w:ascii="Times New Roman" w:hAnsi="Times New Roman" w:eastAsia="黑体"/>
          <w:sz w:val="32"/>
          <w:szCs w:val="32"/>
        </w:rPr>
        <w:t>四、国有资本经营预算支出情况</w:t>
      </w:r>
    </w:p>
    <w:p>
      <w:pPr>
        <w:pStyle w:val="11"/>
        <w:widowControl/>
        <w:spacing w:line="640" w:lineRule="exact"/>
        <w:ind w:firstLine="640"/>
        <w:rPr>
          <w:rFonts w:ascii="Times New Roman" w:hAnsi="Times New Roman" w:eastAsia="仿宋_GB2312"/>
          <w:color w:val="000000"/>
          <w:kern w:val="2"/>
          <w:sz w:val="32"/>
          <w:szCs w:val="32"/>
        </w:rPr>
      </w:pPr>
      <w:r>
        <w:rPr>
          <w:rFonts w:hint="eastAsia" w:ascii="Times New Roman" w:hAnsi="Times New Roman" w:eastAsia="仿宋_GB2312"/>
          <w:color w:val="000000"/>
          <w:kern w:val="2"/>
          <w:sz w:val="32"/>
          <w:szCs w:val="32"/>
        </w:rPr>
        <w:t>岳阳市洞庭湖江豚保护中心</w:t>
      </w:r>
      <w:r>
        <w:rPr>
          <w:rFonts w:ascii="Times New Roman" w:hAnsi="Times New Roman" w:eastAsia="仿宋_GB2312"/>
          <w:color w:val="000000"/>
          <w:kern w:val="2"/>
          <w:sz w:val="32"/>
          <w:szCs w:val="32"/>
        </w:rPr>
        <w:t>202</w:t>
      </w:r>
      <w:r>
        <w:rPr>
          <w:rFonts w:hint="eastAsia" w:ascii="Times New Roman" w:hAnsi="Times New Roman" w:eastAsia="仿宋_GB2312"/>
          <w:color w:val="000000"/>
          <w:kern w:val="2"/>
          <w:sz w:val="32"/>
          <w:szCs w:val="32"/>
        </w:rPr>
        <w:t>3</w:t>
      </w:r>
      <w:r>
        <w:rPr>
          <w:rFonts w:ascii="Times New Roman" w:hAnsi="Times New Roman" w:eastAsia="仿宋_GB2312"/>
          <w:color w:val="000000"/>
          <w:kern w:val="2"/>
          <w:sz w:val="32"/>
          <w:szCs w:val="32"/>
        </w:rPr>
        <w:t>年度无国有资本经营预算</w:t>
      </w:r>
      <w:r>
        <w:rPr>
          <w:rFonts w:hint="eastAsia" w:ascii="Times New Roman" w:hAnsi="Times New Roman" w:eastAsia="仿宋_GB2312"/>
          <w:color w:val="000000"/>
          <w:kern w:val="2"/>
          <w:sz w:val="32"/>
          <w:szCs w:val="32"/>
        </w:rPr>
        <w:t>支出</w:t>
      </w:r>
      <w:r>
        <w:rPr>
          <w:rFonts w:ascii="Times New Roman" w:hAnsi="Times New Roman" w:eastAsia="仿宋_GB2312"/>
          <w:color w:val="000000"/>
          <w:kern w:val="2"/>
          <w:sz w:val="32"/>
          <w:szCs w:val="32"/>
        </w:rPr>
        <w:t>。</w:t>
      </w:r>
    </w:p>
    <w:p>
      <w:pPr>
        <w:pStyle w:val="11"/>
        <w:widowControl/>
        <w:spacing w:line="640" w:lineRule="exact"/>
        <w:ind w:firstLine="640"/>
        <w:rPr>
          <w:rFonts w:ascii="Times New Roman" w:hAnsi="Times New Roman" w:eastAsia="黑体"/>
          <w:sz w:val="32"/>
          <w:szCs w:val="32"/>
        </w:rPr>
      </w:pPr>
      <w:r>
        <w:rPr>
          <w:rFonts w:ascii="Times New Roman" w:hAnsi="Times New Roman" w:eastAsia="黑体"/>
          <w:sz w:val="32"/>
          <w:szCs w:val="32"/>
        </w:rPr>
        <w:t>五、社会保险基金预算支出情况</w:t>
      </w:r>
    </w:p>
    <w:p>
      <w:pPr>
        <w:pStyle w:val="11"/>
        <w:widowControl/>
        <w:spacing w:line="640" w:lineRule="exact"/>
        <w:ind w:firstLine="640"/>
        <w:rPr>
          <w:rFonts w:ascii="Times New Roman" w:hAnsi="Times New Roman" w:eastAsia="仿宋_GB2312"/>
          <w:color w:val="000000"/>
          <w:kern w:val="2"/>
          <w:sz w:val="32"/>
          <w:szCs w:val="32"/>
        </w:rPr>
      </w:pPr>
      <w:r>
        <w:rPr>
          <w:rFonts w:hint="eastAsia" w:ascii="Times New Roman" w:hAnsi="Times New Roman" w:eastAsia="仿宋_GB2312"/>
          <w:color w:val="000000"/>
          <w:kern w:val="2"/>
          <w:sz w:val="32"/>
          <w:szCs w:val="32"/>
        </w:rPr>
        <w:t>岳阳市洞庭湖江豚保护中心</w:t>
      </w:r>
      <w:r>
        <w:rPr>
          <w:rFonts w:ascii="Times New Roman" w:hAnsi="Times New Roman" w:eastAsia="仿宋_GB2312"/>
          <w:color w:val="000000"/>
          <w:kern w:val="2"/>
          <w:sz w:val="32"/>
          <w:szCs w:val="32"/>
        </w:rPr>
        <w:t>202</w:t>
      </w:r>
      <w:r>
        <w:rPr>
          <w:rFonts w:hint="eastAsia" w:ascii="Times New Roman" w:hAnsi="Times New Roman" w:eastAsia="仿宋_GB2312"/>
          <w:color w:val="000000"/>
          <w:kern w:val="2"/>
          <w:sz w:val="32"/>
          <w:szCs w:val="32"/>
        </w:rPr>
        <w:t>3年度</w:t>
      </w:r>
      <w:r>
        <w:rPr>
          <w:rFonts w:ascii="Times New Roman" w:hAnsi="Times New Roman" w:eastAsia="仿宋_GB2312"/>
          <w:color w:val="000000"/>
          <w:kern w:val="2"/>
          <w:sz w:val="32"/>
          <w:szCs w:val="32"/>
        </w:rPr>
        <w:t>无社会保险基金预算</w:t>
      </w:r>
      <w:r>
        <w:rPr>
          <w:rFonts w:hint="eastAsia" w:ascii="Times New Roman" w:hAnsi="Times New Roman" w:eastAsia="仿宋_GB2312"/>
          <w:color w:val="000000"/>
          <w:kern w:val="2"/>
          <w:sz w:val="32"/>
          <w:szCs w:val="32"/>
        </w:rPr>
        <w:t>支出</w:t>
      </w:r>
      <w:r>
        <w:rPr>
          <w:rFonts w:ascii="Times New Roman" w:hAnsi="Times New Roman" w:eastAsia="仿宋_GB2312"/>
          <w:color w:val="000000"/>
          <w:kern w:val="2"/>
          <w:sz w:val="32"/>
          <w:szCs w:val="32"/>
        </w:rPr>
        <w:t>。</w:t>
      </w:r>
    </w:p>
    <w:p>
      <w:pPr>
        <w:widowControl/>
        <w:spacing w:line="640" w:lineRule="exact"/>
        <w:ind w:firstLine="640" w:firstLineChars="200"/>
        <w:rPr>
          <w:rFonts w:ascii="Times New Roman" w:hAnsi="Times New Roman" w:eastAsia="黑体"/>
          <w:sz w:val="32"/>
          <w:szCs w:val="32"/>
        </w:rPr>
      </w:pPr>
      <w:r>
        <w:rPr>
          <w:rFonts w:ascii="Times New Roman" w:hAnsi="Times New Roman" w:eastAsia="黑体"/>
          <w:sz w:val="32"/>
          <w:szCs w:val="32"/>
        </w:rPr>
        <w:t>六、部门整体支出绩效情况</w:t>
      </w:r>
    </w:p>
    <w:p>
      <w:pPr>
        <w:ind w:firstLine="640"/>
        <w:rPr>
          <w:rFonts w:ascii="Times New Roman" w:hAnsi="Times New Roman" w:eastAsia="仿宋_GB2312"/>
          <w:color w:val="000000"/>
          <w:kern w:val="2"/>
          <w:sz w:val="32"/>
          <w:szCs w:val="32"/>
        </w:rPr>
      </w:pPr>
      <w:r>
        <w:rPr>
          <w:rFonts w:hint="eastAsia" w:ascii="Times New Roman" w:hAnsi="Times New Roman" w:eastAsia="仿宋_GB2312"/>
          <w:color w:val="000000"/>
          <w:kern w:val="2"/>
          <w:sz w:val="32"/>
          <w:szCs w:val="32"/>
        </w:rPr>
        <w:t>2023年我单位根据年初工作计划，</w:t>
      </w:r>
      <w:r>
        <w:rPr>
          <w:rFonts w:ascii="Times New Roman" w:hAnsi="Times New Roman" w:eastAsia="仿宋_GB2312"/>
          <w:color w:val="000000"/>
          <w:kern w:val="2"/>
          <w:sz w:val="32"/>
          <w:szCs w:val="32"/>
        </w:rPr>
        <w:t>认真履行职责，较好地完成了各项工作任务</w:t>
      </w:r>
      <w:r>
        <w:rPr>
          <w:rFonts w:hint="eastAsia" w:ascii="Times New Roman" w:hAnsi="Times New Roman" w:eastAsia="仿宋_GB2312"/>
          <w:color w:val="000000"/>
          <w:kern w:val="2"/>
          <w:sz w:val="32"/>
          <w:szCs w:val="32"/>
        </w:rPr>
        <w:t>。</w:t>
      </w:r>
    </w:p>
    <w:p>
      <w:pPr>
        <w:pStyle w:val="3"/>
        <w:ind w:firstLine="643"/>
      </w:pPr>
      <w:r>
        <w:rPr>
          <w:rFonts w:hint="eastAsia"/>
        </w:rPr>
        <w:t>（一）从</w:t>
      </w:r>
      <w:r>
        <w:t>严控</w:t>
      </w:r>
      <w:r>
        <w:rPr>
          <w:rFonts w:hint="eastAsia"/>
        </w:rPr>
        <w:t>运行成本方面完成情况如下：</w:t>
      </w:r>
    </w:p>
    <w:p>
      <w:pPr>
        <w:ind w:firstLine="640"/>
        <w:rPr>
          <w:rFonts w:ascii="Times New Roman" w:hAnsi="Times New Roman" w:eastAsia="仿宋_GB2312"/>
          <w:color w:val="000000"/>
          <w:kern w:val="2"/>
          <w:sz w:val="32"/>
          <w:szCs w:val="32"/>
        </w:rPr>
      </w:pPr>
      <w:r>
        <w:rPr>
          <w:rFonts w:ascii="Times New Roman" w:hAnsi="Times New Roman" w:eastAsia="仿宋_GB2312"/>
          <w:color w:val="000000"/>
          <w:kern w:val="2"/>
          <w:sz w:val="32"/>
          <w:szCs w:val="32"/>
        </w:rPr>
        <w:t>202</w:t>
      </w:r>
      <w:r>
        <w:rPr>
          <w:rFonts w:hint="eastAsia" w:ascii="Times New Roman" w:hAnsi="Times New Roman" w:eastAsia="仿宋_GB2312"/>
          <w:color w:val="000000"/>
          <w:kern w:val="2"/>
          <w:sz w:val="32"/>
          <w:szCs w:val="32"/>
        </w:rPr>
        <w:t>3年“三公”经费支出0.84万元，其中公务接待费0.84元、公务用车运行维护费0万元、车辆购置费支出0万元、出国经费支出0万元，较年初预算</w:t>
      </w:r>
      <w:r>
        <w:rPr>
          <w:rFonts w:hint="eastAsia" w:ascii="Times New Roman" w:hAnsi="Times New Roman" w:eastAsia="仿宋_GB2312"/>
          <w:color w:val="000000"/>
          <w:kern w:val="2"/>
          <w:sz w:val="32"/>
          <w:szCs w:val="32"/>
          <w:lang w:eastAsia="zh-CN"/>
        </w:rPr>
        <w:t>数减少</w:t>
      </w:r>
      <w:r>
        <w:rPr>
          <w:rFonts w:hint="eastAsia" w:ascii="Times New Roman" w:hAnsi="Times New Roman" w:eastAsia="仿宋_GB2312"/>
          <w:color w:val="000000"/>
          <w:kern w:val="2"/>
          <w:sz w:val="32"/>
          <w:szCs w:val="32"/>
        </w:rPr>
        <w:t>1.76万元，</w:t>
      </w:r>
      <w:r>
        <w:rPr>
          <w:rFonts w:hint="eastAsia" w:ascii="Times New Roman" w:hAnsi="Times New Roman" w:eastAsia="仿宋_GB2312"/>
          <w:color w:val="000000"/>
          <w:kern w:val="2"/>
          <w:sz w:val="32"/>
          <w:szCs w:val="32"/>
          <w:lang w:eastAsia="zh-CN"/>
        </w:rPr>
        <w:t>减少</w:t>
      </w:r>
      <w:r>
        <w:rPr>
          <w:rFonts w:hint="eastAsia" w:ascii="Times New Roman" w:hAnsi="Times New Roman" w:eastAsia="仿宋_GB2312"/>
          <w:color w:val="000000"/>
          <w:kern w:val="2"/>
          <w:sz w:val="32"/>
          <w:szCs w:val="32"/>
          <w:lang w:val="en-US" w:eastAsia="zh-CN"/>
        </w:rPr>
        <w:t>67.69%</w:t>
      </w:r>
      <w:r>
        <w:rPr>
          <w:rFonts w:hint="eastAsia" w:ascii="Times New Roman" w:hAnsi="Times New Roman" w:eastAsia="仿宋_GB2312"/>
          <w:color w:val="000000"/>
          <w:kern w:val="2"/>
          <w:sz w:val="32"/>
          <w:szCs w:val="32"/>
        </w:rPr>
        <w:t>，</w:t>
      </w:r>
      <w:r>
        <w:rPr>
          <w:rFonts w:hint="eastAsia" w:ascii="Times New Roman" w:hAnsi="Times New Roman" w:eastAsia="仿宋_GB2312"/>
          <w:color w:val="000000"/>
          <w:kern w:val="2"/>
          <w:sz w:val="32"/>
          <w:szCs w:val="32"/>
          <w:lang w:eastAsia="zh-CN"/>
        </w:rPr>
        <w:t>主要原因是严格执行中央八项规定，严控三公经费支出。</w:t>
      </w:r>
    </w:p>
    <w:p>
      <w:pPr>
        <w:pStyle w:val="11"/>
        <w:widowControl/>
        <w:spacing w:line="640" w:lineRule="exact"/>
        <w:ind w:firstLine="643"/>
        <w:rPr>
          <w:rFonts w:eastAsia="楷体_GB2312"/>
          <w:b/>
          <w:szCs w:val="32"/>
        </w:rPr>
      </w:pPr>
      <w:r>
        <w:rPr>
          <w:rFonts w:hint="eastAsia" w:ascii="Times New Roman" w:hAnsi="Times New Roman" w:eastAsia="楷体_GB2312"/>
          <w:b/>
          <w:sz w:val="32"/>
          <w:szCs w:val="32"/>
        </w:rPr>
        <w:t>（</w:t>
      </w:r>
      <w:r>
        <w:rPr>
          <w:rFonts w:hint="eastAsia" w:eastAsia="楷体_GB2312"/>
          <w:b/>
          <w:sz w:val="32"/>
          <w:szCs w:val="32"/>
        </w:rPr>
        <w:t>二</w:t>
      </w:r>
      <w:r>
        <w:rPr>
          <w:rFonts w:hint="eastAsia" w:ascii="Times New Roman" w:hAnsi="Times New Roman" w:eastAsia="楷体_GB2312"/>
          <w:b/>
          <w:sz w:val="32"/>
          <w:szCs w:val="32"/>
        </w:rPr>
        <w:t>）从数量、质量、时效等方面完成情况如下：</w:t>
      </w:r>
    </w:p>
    <w:p>
      <w:pPr>
        <w:ind w:firstLine="640"/>
        <w:rPr>
          <w:rFonts w:ascii="Times New Roman" w:hAnsi="Times New Roman" w:eastAsia="仿宋_GB2312"/>
          <w:color w:val="000000"/>
          <w:kern w:val="2"/>
          <w:sz w:val="32"/>
          <w:szCs w:val="32"/>
        </w:rPr>
      </w:pPr>
      <w:r>
        <w:rPr>
          <w:rFonts w:hint="eastAsia" w:ascii="Times New Roman" w:hAnsi="Times New Roman" w:eastAsia="仿宋_GB2312"/>
          <w:color w:val="000000"/>
          <w:kern w:val="2"/>
          <w:sz w:val="32"/>
          <w:szCs w:val="32"/>
        </w:rPr>
        <w:t>（1）开展</w:t>
      </w:r>
      <w:r>
        <w:rPr>
          <w:rFonts w:hint="eastAsia" w:ascii="Times New Roman" w:hAnsi="Times New Roman" w:eastAsia="仿宋_GB2312"/>
          <w:color w:val="000000"/>
          <w:kern w:val="2"/>
          <w:sz w:val="32"/>
          <w:szCs w:val="32"/>
          <w:lang w:val="en-US" w:eastAsia="zh-CN"/>
        </w:rPr>
        <w:t>长江江豚科学考察1次，渔业资源监测1次。</w:t>
      </w:r>
      <w:r>
        <w:rPr>
          <w:rFonts w:hint="eastAsia" w:ascii="Times New Roman" w:hAnsi="Times New Roman" w:eastAsia="仿宋_GB2312"/>
          <w:color w:val="000000"/>
          <w:kern w:val="2"/>
          <w:sz w:val="32"/>
          <w:szCs w:val="32"/>
        </w:rPr>
        <w:t>（2）开展资源养护行动，人工增殖放流活动</w:t>
      </w:r>
      <w:r>
        <w:rPr>
          <w:rFonts w:hint="eastAsia" w:ascii="Times New Roman" w:hAnsi="Times New Roman" w:eastAsia="仿宋_GB2312"/>
          <w:color w:val="000000"/>
          <w:kern w:val="2"/>
          <w:sz w:val="32"/>
          <w:szCs w:val="32"/>
          <w:lang w:val="en-US" w:eastAsia="zh-CN"/>
        </w:rPr>
        <w:t>2</w:t>
      </w:r>
      <w:r>
        <w:rPr>
          <w:rFonts w:hint="eastAsia" w:ascii="Times New Roman" w:hAnsi="Times New Roman" w:eastAsia="仿宋_GB2312"/>
          <w:color w:val="000000"/>
          <w:kern w:val="2"/>
          <w:sz w:val="32"/>
          <w:szCs w:val="32"/>
        </w:rPr>
        <w:t>次</w:t>
      </w:r>
      <w:r>
        <w:rPr>
          <w:rFonts w:hint="eastAsia" w:ascii="Times New Roman" w:hAnsi="Times New Roman" w:eastAsia="仿宋_GB2312"/>
          <w:color w:val="000000"/>
          <w:kern w:val="2"/>
          <w:sz w:val="32"/>
          <w:szCs w:val="32"/>
          <w:lang w:eastAsia="zh-CN"/>
        </w:rPr>
        <w:t>。</w:t>
      </w:r>
      <w:r>
        <w:rPr>
          <w:rFonts w:hint="eastAsia" w:ascii="Times New Roman" w:hAnsi="Times New Roman" w:eastAsia="仿宋_GB2312"/>
          <w:color w:val="000000"/>
          <w:kern w:val="2"/>
          <w:sz w:val="32"/>
          <w:szCs w:val="32"/>
        </w:rPr>
        <w:t>（3）开展</w:t>
      </w:r>
      <w:r>
        <w:rPr>
          <w:rFonts w:hint="eastAsia" w:ascii="Times New Roman" w:hAnsi="Times New Roman" w:eastAsia="仿宋_GB2312"/>
          <w:color w:val="000000"/>
          <w:kern w:val="2"/>
          <w:sz w:val="32"/>
          <w:szCs w:val="32"/>
          <w:lang w:val="en-US" w:eastAsia="zh-CN"/>
        </w:rPr>
        <w:t>保护区水生生物巡查、救护</w:t>
      </w:r>
      <w:r>
        <w:rPr>
          <w:rFonts w:hint="eastAsia" w:ascii="Times New Roman" w:hAnsi="Times New Roman" w:eastAsia="仿宋_GB2312"/>
          <w:color w:val="000000"/>
          <w:kern w:val="2"/>
          <w:sz w:val="32"/>
          <w:szCs w:val="32"/>
        </w:rPr>
        <w:t>工作。通过加强保护区巡查，适航条件下对长江江豚主要活动区域坚持每天开展一到两次的巡湖活动</w:t>
      </w:r>
      <w:r>
        <w:rPr>
          <w:rFonts w:hint="eastAsia" w:ascii="Times New Roman" w:hAnsi="Times New Roman" w:eastAsia="仿宋_GB2312"/>
          <w:color w:val="000000"/>
          <w:kern w:val="2"/>
          <w:sz w:val="32"/>
          <w:szCs w:val="32"/>
          <w:lang w:eastAsia="zh-CN"/>
        </w:rPr>
        <w:t>，</w:t>
      </w:r>
      <w:r>
        <w:rPr>
          <w:rFonts w:hint="eastAsia" w:ascii="Times New Roman" w:hAnsi="Times New Roman" w:eastAsia="仿宋_GB2312"/>
          <w:color w:val="000000"/>
          <w:kern w:val="2"/>
          <w:sz w:val="32"/>
          <w:szCs w:val="32"/>
          <w:lang w:val="en-US" w:eastAsia="zh-CN"/>
        </w:rPr>
        <w:t>全年共计开展150余次。</w:t>
      </w:r>
      <w:r>
        <w:rPr>
          <w:rFonts w:hint="eastAsia" w:ascii="Times New Roman" w:hAnsi="Times New Roman" w:eastAsia="仿宋_GB2312"/>
          <w:color w:val="000000"/>
          <w:kern w:val="2"/>
          <w:sz w:val="32"/>
          <w:szCs w:val="32"/>
        </w:rPr>
        <w:t>（4）通过发放宣传资料、悬挂标语横幅、设置广告宣传牌、公布长江江豚保护救护电话，更换宣传牌、印制宣传手册</w:t>
      </w:r>
      <w:r>
        <w:rPr>
          <w:rFonts w:hint="eastAsia" w:ascii="Times New Roman" w:hAnsi="Times New Roman" w:eastAsia="仿宋_GB2312"/>
          <w:color w:val="000000"/>
          <w:kern w:val="2"/>
          <w:sz w:val="32"/>
          <w:szCs w:val="32"/>
          <w:lang w:eastAsia="zh-CN"/>
        </w:rPr>
        <w:t>、</w:t>
      </w:r>
      <w:r>
        <w:rPr>
          <w:rFonts w:hint="eastAsia" w:ascii="Times New Roman" w:hAnsi="Times New Roman" w:eastAsia="仿宋_GB2312"/>
          <w:color w:val="000000"/>
          <w:kern w:val="2"/>
          <w:sz w:val="32"/>
          <w:szCs w:val="32"/>
          <w:lang w:val="en-US" w:eastAsia="zh-CN"/>
        </w:rPr>
        <w:t>发放文创产品江豚徽章</w:t>
      </w:r>
      <w:r>
        <w:rPr>
          <w:rFonts w:hint="eastAsia" w:ascii="Times New Roman" w:hAnsi="Times New Roman" w:eastAsia="仿宋_GB2312"/>
          <w:color w:val="000000"/>
          <w:kern w:val="2"/>
          <w:sz w:val="32"/>
          <w:szCs w:val="32"/>
        </w:rPr>
        <w:t>等方式，广泛宣传水产种质资源保护及长江江豚保护的重要性</w:t>
      </w:r>
      <w:r>
        <w:rPr>
          <w:rFonts w:hint="eastAsia" w:ascii="Times New Roman" w:hAnsi="Times New Roman" w:eastAsia="仿宋_GB2312"/>
          <w:color w:val="000000"/>
          <w:kern w:val="2"/>
          <w:sz w:val="32"/>
          <w:szCs w:val="32"/>
          <w:lang w:eastAsia="zh-CN"/>
        </w:rPr>
        <w:t>，</w:t>
      </w:r>
      <w:r>
        <w:rPr>
          <w:rFonts w:hint="eastAsia" w:ascii="Times New Roman" w:hAnsi="Times New Roman" w:eastAsia="仿宋_GB2312"/>
          <w:color w:val="000000"/>
          <w:kern w:val="2"/>
          <w:sz w:val="32"/>
          <w:szCs w:val="32"/>
          <w:lang w:val="en-US" w:eastAsia="zh-CN"/>
        </w:rPr>
        <w:t>全年共计发放宣传产品2000余份，取得良好宣传效果</w:t>
      </w:r>
      <w:r>
        <w:rPr>
          <w:rFonts w:hint="eastAsia" w:ascii="Times New Roman" w:hAnsi="Times New Roman" w:eastAsia="仿宋_GB2312"/>
          <w:color w:val="000000"/>
          <w:kern w:val="2"/>
          <w:sz w:val="32"/>
          <w:szCs w:val="32"/>
        </w:rPr>
        <w:t>。（</w:t>
      </w:r>
      <w:r>
        <w:rPr>
          <w:rFonts w:hint="eastAsia" w:ascii="Times New Roman" w:hAnsi="Times New Roman" w:eastAsia="仿宋_GB2312"/>
          <w:color w:val="000000"/>
          <w:kern w:val="2"/>
          <w:sz w:val="32"/>
          <w:szCs w:val="32"/>
          <w:lang w:val="en-US" w:eastAsia="zh-CN"/>
        </w:rPr>
        <w:t>5</w:t>
      </w:r>
      <w:r>
        <w:rPr>
          <w:rFonts w:hint="eastAsia" w:ascii="Times New Roman" w:hAnsi="Times New Roman" w:eastAsia="仿宋_GB2312"/>
          <w:color w:val="000000"/>
          <w:kern w:val="2"/>
          <w:sz w:val="32"/>
          <w:szCs w:val="32"/>
        </w:rPr>
        <w:t>）</w:t>
      </w:r>
      <w:r>
        <w:rPr>
          <w:rFonts w:hint="eastAsia" w:ascii="Times New Roman" w:hAnsi="Times New Roman" w:eastAsia="仿宋_GB2312"/>
          <w:color w:val="000000"/>
          <w:kern w:val="2"/>
          <w:sz w:val="32"/>
          <w:szCs w:val="32"/>
          <w:lang w:val="en-US" w:eastAsia="zh-CN"/>
        </w:rPr>
        <w:t>日常巡查中，加强保护区范围涉渔业项目监管，督促落实生态保护措施和生态补偿资金。</w:t>
      </w:r>
      <w:r>
        <w:rPr>
          <w:rFonts w:hint="eastAsia" w:ascii="Times New Roman" w:hAnsi="Times New Roman" w:eastAsia="仿宋_GB2312"/>
          <w:color w:val="000000"/>
          <w:kern w:val="2"/>
          <w:sz w:val="32"/>
          <w:szCs w:val="32"/>
        </w:rPr>
        <w:t>202</w:t>
      </w:r>
      <w:r>
        <w:rPr>
          <w:rFonts w:hint="eastAsia" w:ascii="Times New Roman" w:hAnsi="Times New Roman" w:eastAsia="仿宋_GB2312"/>
          <w:color w:val="000000"/>
          <w:kern w:val="2"/>
          <w:sz w:val="32"/>
          <w:szCs w:val="32"/>
          <w:lang w:val="en-US" w:eastAsia="zh-CN"/>
        </w:rPr>
        <w:t>3</w:t>
      </w:r>
      <w:r>
        <w:rPr>
          <w:rFonts w:hint="eastAsia" w:ascii="Times New Roman" w:hAnsi="Times New Roman" w:eastAsia="仿宋_GB2312"/>
          <w:color w:val="000000"/>
          <w:kern w:val="2"/>
          <w:sz w:val="32"/>
          <w:szCs w:val="32"/>
        </w:rPr>
        <w:t>年，落实生态补偿资金</w:t>
      </w:r>
      <w:r>
        <w:rPr>
          <w:rFonts w:hint="eastAsia" w:ascii="Times New Roman" w:hAnsi="Times New Roman" w:eastAsia="仿宋_GB2312"/>
          <w:color w:val="000000"/>
          <w:kern w:val="2"/>
          <w:sz w:val="32"/>
          <w:szCs w:val="32"/>
          <w:lang w:val="en-US" w:eastAsia="zh-CN"/>
        </w:rPr>
        <w:t>60</w:t>
      </w:r>
      <w:r>
        <w:rPr>
          <w:rFonts w:hint="eastAsia" w:ascii="Times New Roman" w:hAnsi="Times New Roman" w:eastAsia="仿宋_GB2312"/>
          <w:color w:val="000000"/>
          <w:kern w:val="2"/>
          <w:sz w:val="32"/>
          <w:szCs w:val="32"/>
        </w:rPr>
        <w:t>万元。</w:t>
      </w:r>
    </w:p>
    <w:p>
      <w:pPr>
        <w:pStyle w:val="11"/>
        <w:widowControl/>
        <w:spacing w:line="640" w:lineRule="exact"/>
        <w:ind w:firstLine="643"/>
        <w:rPr>
          <w:rFonts w:eastAsia="楷体_GB2312"/>
          <w:b/>
          <w:szCs w:val="32"/>
        </w:rPr>
      </w:pPr>
      <w:r>
        <w:rPr>
          <w:rFonts w:hint="eastAsia" w:ascii="Times New Roman" w:hAnsi="Times New Roman" w:eastAsia="楷体_GB2312"/>
          <w:b/>
          <w:sz w:val="32"/>
          <w:szCs w:val="32"/>
        </w:rPr>
        <w:t>（</w:t>
      </w:r>
      <w:r>
        <w:rPr>
          <w:rFonts w:hint="eastAsia" w:eastAsia="楷体_GB2312"/>
          <w:b/>
          <w:sz w:val="32"/>
          <w:szCs w:val="32"/>
        </w:rPr>
        <w:t>三</w:t>
      </w:r>
      <w:r>
        <w:rPr>
          <w:rFonts w:hint="eastAsia" w:ascii="Times New Roman" w:hAnsi="Times New Roman" w:eastAsia="楷体_GB2312"/>
          <w:b/>
          <w:sz w:val="32"/>
          <w:szCs w:val="32"/>
        </w:rPr>
        <w:t>）从社会效益、生态效益等方面完成情况如下：</w:t>
      </w:r>
    </w:p>
    <w:p>
      <w:pPr>
        <w:ind w:firstLine="640"/>
        <w:rPr>
          <w:rFonts w:ascii="Times New Roman" w:hAnsi="Times New Roman" w:eastAsia="仿宋_GB2312"/>
          <w:color w:val="000000"/>
          <w:kern w:val="2"/>
          <w:sz w:val="32"/>
          <w:szCs w:val="32"/>
        </w:rPr>
      </w:pPr>
      <w:r>
        <w:rPr>
          <w:rFonts w:hint="eastAsia" w:ascii="Times New Roman" w:hAnsi="Times New Roman" w:eastAsia="仿宋_GB2312"/>
          <w:color w:val="000000"/>
          <w:kern w:val="2"/>
          <w:sz w:val="32"/>
          <w:szCs w:val="32"/>
        </w:rPr>
        <w:t>（1）提高了社会群众对水产种质资源及长江江豚等水生生物的保护意识和参与度。</w:t>
      </w:r>
    </w:p>
    <w:p>
      <w:pPr>
        <w:ind w:firstLine="640"/>
        <w:rPr>
          <w:rFonts w:ascii="Times New Roman" w:hAnsi="Times New Roman" w:eastAsia="仿宋_GB2312"/>
          <w:color w:val="000000"/>
          <w:kern w:val="2"/>
          <w:sz w:val="32"/>
          <w:szCs w:val="32"/>
        </w:rPr>
      </w:pPr>
      <w:r>
        <w:rPr>
          <w:rFonts w:hint="eastAsia" w:ascii="Times New Roman" w:hAnsi="Times New Roman" w:eastAsia="仿宋_GB2312"/>
          <w:color w:val="000000"/>
          <w:kern w:val="2"/>
          <w:sz w:val="32"/>
          <w:szCs w:val="32"/>
        </w:rPr>
        <w:t>（2）参与相关部门的多次联合专项行动，努力改善长江江豚等濒危水生生物的栖息环境，促进生态环境可持续发展。根据长江江豚科学考察数据，江豚种群数量呈现向好趋势。</w:t>
      </w:r>
    </w:p>
    <w:p>
      <w:pPr>
        <w:ind w:firstLine="640"/>
        <w:rPr>
          <w:rFonts w:ascii="Times New Roman" w:hAnsi="Times New Roman" w:eastAsia="仿宋_GB2312"/>
          <w:color w:val="000000"/>
          <w:kern w:val="2"/>
          <w:sz w:val="32"/>
          <w:szCs w:val="32"/>
        </w:rPr>
      </w:pPr>
      <w:r>
        <w:rPr>
          <w:rFonts w:hint="eastAsia" w:ascii="Times New Roman" w:hAnsi="Times New Roman" w:eastAsia="仿宋_GB2312"/>
          <w:color w:val="000000"/>
          <w:kern w:val="2"/>
          <w:sz w:val="32"/>
          <w:szCs w:val="32"/>
        </w:rPr>
        <w:t>（3）通过发放宣传手册、宣传单及宣传牌，加强了与媒体的合作等水生生物保护宣传方式，特别是主动邀请媒体进行多次正面宣传报道，引导社会舆论，未造成社会负面影响，群众满意度较好。</w:t>
      </w:r>
    </w:p>
    <w:p>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color w:val="000000"/>
          <w:kern w:val="0"/>
          <w:sz w:val="32"/>
          <w:szCs w:val="24"/>
        </w:rPr>
      </w:pPr>
      <w:r>
        <w:rPr>
          <w:rFonts w:hint="eastAsia" w:ascii="黑体" w:hAnsi="黑体" w:eastAsia="黑体" w:cs="黑体"/>
          <w:color w:val="000000"/>
          <w:kern w:val="0"/>
          <w:sz w:val="32"/>
          <w:szCs w:val="24"/>
          <w:lang w:val="en-US" w:eastAsia="zh-CN"/>
        </w:rPr>
        <w:t>七</w:t>
      </w:r>
      <w:r>
        <w:rPr>
          <w:rFonts w:hint="eastAsia" w:ascii="黑体" w:hAnsi="黑体" w:eastAsia="黑体" w:cs="黑体"/>
          <w:color w:val="000000"/>
          <w:kern w:val="0"/>
          <w:sz w:val="32"/>
          <w:szCs w:val="24"/>
        </w:rPr>
        <w:t>、存在的问题及工作努力的方向</w:t>
      </w:r>
    </w:p>
    <w:p>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预算编制有待更严格执行，专项支出有待进一步加强。今后将借助岗位培训学习等途径，强化预算人员的素质能力，以提高预算管理的质量水平，在以后的工作更加严格按照预算规定支出，加强内控管理，把有限的资金用在刀刃上，切实发挥资金使用效益。</w:t>
      </w:r>
    </w:p>
    <w:p>
      <w:pPr>
        <w:pStyle w:val="2"/>
        <w:rPr>
          <w:rFonts w:hint="eastAsia"/>
        </w:rPr>
      </w:pPr>
      <w:bookmarkStart w:id="1" w:name="_GoBack"/>
      <w:bookmarkEnd w:id="1"/>
    </w:p>
    <w:p>
      <w:pPr>
        <w:widowControl/>
        <w:spacing w:afterLines="50"/>
        <w:jc w:val="center"/>
        <w:rPr>
          <w:rFonts w:ascii="方正小标宋简体" w:hAnsi="方正小标宋简体" w:eastAsia="方正小标宋简体" w:cs="方正小标宋简体"/>
          <w:color w:val="000000"/>
          <w:sz w:val="36"/>
          <w:szCs w:val="36"/>
        </w:rPr>
      </w:pPr>
      <w:r>
        <w:rPr>
          <w:rFonts w:hint="eastAsia" w:ascii="方正小标宋简体" w:hAnsi="方正小标宋简体" w:eastAsia="方正小标宋简体" w:cs="方正小标宋简体"/>
          <w:color w:val="000000"/>
          <w:sz w:val="36"/>
          <w:szCs w:val="36"/>
        </w:rPr>
        <w:t>2023年度部门整体支出绩效自评表</w:t>
      </w:r>
    </w:p>
    <w:tbl>
      <w:tblPr>
        <w:tblStyle w:val="7"/>
        <w:tblW w:w="10079" w:type="dxa"/>
        <w:jc w:val="center"/>
        <w:tblLayout w:type="autofit"/>
        <w:tblCellMar>
          <w:top w:w="0" w:type="dxa"/>
          <w:left w:w="108" w:type="dxa"/>
          <w:bottom w:w="0" w:type="dxa"/>
          <w:right w:w="108" w:type="dxa"/>
        </w:tblCellMar>
      </w:tblPr>
      <w:tblGrid>
        <w:gridCol w:w="1080"/>
        <w:gridCol w:w="1080"/>
        <w:gridCol w:w="1034"/>
        <w:gridCol w:w="1270"/>
        <w:gridCol w:w="1311"/>
        <w:gridCol w:w="1208"/>
        <w:gridCol w:w="777"/>
        <w:gridCol w:w="873"/>
        <w:gridCol w:w="1446"/>
      </w:tblGrid>
      <w:tr>
        <w:tblPrEx>
          <w:tblCellMar>
            <w:top w:w="0" w:type="dxa"/>
            <w:left w:w="108" w:type="dxa"/>
            <w:bottom w:w="0" w:type="dxa"/>
            <w:right w:w="108" w:type="dxa"/>
          </w:tblCellMar>
        </w:tblPrEx>
        <w:trPr>
          <w:jc w:val="center"/>
        </w:trPr>
        <w:tc>
          <w:tcPr>
            <w:tcW w:w="108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市级预算部门名称</w:t>
            </w:r>
          </w:p>
        </w:tc>
        <w:tc>
          <w:tcPr>
            <w:tcW w:w="8999" w:type="dxa"/>
            <w:gridSpan w:val="8"/>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岳阳市洞庭湖江豚保护中心</w:t>
            </w:r>
          </w:p>
        </w:tc>
      </w:tr>
      <w:tr>
        <w:tblPrEx>
          <w:tblCellMar>
            <w:top w:w="0" w:type="dxa"/>
            <w:left w:w="108" w:type="dxa"/>
            <w:bottom w:w="0" w:type="dxa"/>
            <w:right w:w="108" w:type="dxa"/>
          </w:tblCellMar>
        </w:tblPrEx>
        <w:trPr>
          <w:trHeight w:val="415" w:hRule="atLeast"/>
          <w:jc w:val="center"/>
        </w:trPr>
        <w:tc>
          <w:tcPr>
            <w:tcW w:w="1080" w:type="dxa"/>
            <w:vMerge w:val="restart"/>
            <w:tcBorders>
              <w:top w:val="nil"/>
              <w:left w:val="single" w:color="auto" w:sz="4" w:space="0"/>
              <w:right w:val="single" w:color="auto" w:sz="4" w:space="0"/>
            </w:tcBorders>
            <w:noWrap/>
            <w:vAlign w:val="center"/>
          </w:tcPr>
          <w:p>
            <w:pPr>
              <w:widowControl/>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年度预</w:t>
            </w:r>
          </w:p>
          <w:p>
            <w:pPr>
              <w:widowControl/>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算申请</w:t>
            </w:r>
            <w:r>
              <w:rPr>
                <w:rFonts w:hint="eastAsia" w:ascii="仿宋_GB2312" w:hAnsi="仿宋_GB2312" w:eastAsia="仿宋_GB2312" w:cs="仿宋_GB2312"/>
                <w:color w:val="000000"/>
                <w:sz w:val="20"/>
                <w:szCs w:val="20"/>
              </w:rPr>
              <w:br w:type="textWrapping"/>
            </w:r>
            <w:r>
              <w:rPr>
                <w:rFonts w:hint="eastAsia" w:ascii="仿宋_GB2312" w:hAnsi="仿宋_GB2312" w:eastAsia="仿宋_GB2312" w:cs="仿宋_GB2312"/>
                <w:color w:val="000000"/>
                <w:sz w:val="20"/>
                <w:szCs w:val="20"/>
              </w:rPr>
              <w:t>（万元）</w:t>
            </w:r>
          </w:p>
        </w:tc>
        <w:tc>
          <w:tcPr>
            <w:tcW w:w="2114" w:type="dxa"/>
            <w:gridSpan w:val="2"/>
            <w:tcBorders>
              <w:top w:val="nil"/>
              <w:left w:val="nil"/>
              <w:bottom w:val="single" w:color="auto" w:sz="4" w:space="0"/>
              <w:right w:val="single" w:color="auto" w:sz="4" w:space="0"/>
            </w:tcBorders>
            <w:noWrap/>
            <w:vAlign w:val="center"/>
          </w:tcPr>
          <w:p>
            <w:pPr>
              <w:spacing w:line="240" w:lineRule="exact"/>
              <w:jc w:val="center"/>
              <w:rPr>
                <w:rFonts w:ascii="仿宋_GB2312" w:hAnsi="仿宋_GB2312" w:eastAsia="仿宋_GB2312" w:cs="仿宋_GB2312"/>
                <w:sz w:val="20"/>
                <w:szCs w:val="20"/>
              </w:rPr>
            </w:pPr>
          </w:p>
        </w:tc>
        <w:tc>
          <w:tcPr>
            <w:tcW w:w="1270" w:type="dxa"/>
            <w:tcBorders>
              <w:top w:val="nil"/>
              <w:left w:val="nil"/>
              <w:bottom w:val="single" w:color="auto" w:sz="4" w:space="0"/>
              <w:right w:val="single" w:color="auto" w:sz="4" w:space="0"/>
            </w:tcBorders>
            <w:noWrap/>
            <w:vAlign w:val="center"/>
          </w:tcPr>
          <w:p>
            <w:pPr>
              <w:spacing w:line="240"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年初预算数</w:t>
            </w:r>
          </w:p>
        </w:tc>
        <w:tc>
          <w:tcPr>
            <w:tcW w:w="1311" w:type="dxa"/>
            <w:tcBorders>
              <w:top w:val="nil"/>
              <w:left w:val="nil"/>
              <w:bottom w:val="single" w:color="auto" w:sz="4" w:space="0"/>
              <w:right w:val="single" w:color="auto" w:sz="4" w:space="0"/>
            </w:tcBorders>
            <w:noWrap/>
            <w:vAlign w:val="center"/>
          </w:tcPr>
          <w:p>
            <w:pPr>
              <w:spacing w:line="240"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全年预算数</w:t>
            </w:r>
          </w:p>
        </w:tc>
        <w:tc>
          <w:tcPr>
            <w:tcW w:w="1208" w:type="dxa"/>
            <w:tcBorders>
              <w:top w:val="nil"/>
              <w:left w:val="nil"/>
              <w:bottom w:val="single" w:color="auto" w:sz="4" w:space="0"/>
              <w:right w:val="single" w:color="auto" w:sz="4" w:space="0"/>
            </w:tcBorders>
            <w:noWrap/>
            <w:vAlign w:val="center"/>
          </w:tcPr>
          <w:p>
            <w:pPr>
              <w:spacing w:line="240"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全年执行数</w:t>
            </w:r>
          </w:p>
        </w:tc>
        <w:tc>
          <w:tcPr>
            <w:tcW w:w="777" w:type="dxa"/>
            <w:tcBorders>
              <w:top w:val="nil"/>
              <w:left w:val="nil"/>
              <w:bottom w:val="single" w:color="auto" w:sz="4" w:space="0"/>
              <w:right w:val="single" w:color="auto" w:sz="4" w:space="0"/>
            </w:tcBorders>
            <w:noWrap/>
            <w:vAlign w:val="center"/>
          </w:tcPr>
          <w:p>
            <w:pPr>
              <w:spacing w:line="240"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分值</w:t>
            </w:r>
          </w:p>
        </w:tc>
        <w:tc>
          <w:tcPr>
            <w:tcW w:w="873" w:type="dxa"/>
            <w:tcBorders>
              <w:top w:val="nil"/>
              <w:left w:val="nil"/>
              <w:bottom w:val="single" w:color="auto" w:sz="4" w:space="0"/>
              <w:right w:val="single" w:color="auto" w:sz="4" w:space="0"/>
            </w:tcBorders>
            <w:noWrap/>
            <w:vAlign w:val="center"/>
          </w:tcPr>
          <w:p>
            <w:pPr>
              <w:spacing w:line="240"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执行率</w:t>
            </w:r>
          </w:p>
        </w:tc>
        <w:tc>
          <w:tcPr>
            <w:tcW w:w="1446" w:type="dxa"/>
            <w:tcBorders>
              <w:top w:val="nil"/>
              <w:left w:val="nil"/>
              <w:bottom w:val="single" w:color="auto" w:sz="4" w:space="0"/>
              <w:right w:val="single" w:color="auto" w:sz="4" w:space="0"/>
            </w:tcBorders>
            <w:noWrap/>
            <w:vAlign w:val="center"/>
          </w:tcPr>
          <w:p>
            <w:pPr>
              <w:spacing w:line="240"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得分</w:t>
            </w:r>
          </w:p>
        </w:tc>
      </w:tr>
      <w:tr>
        <w:tblPrEx>
          <w:tblCellMar>
            <w:top w:w="0" w:type="dxa"/>
            <w:left w:w="108" w:type="dxa"/>
            <w:bottom w:w="0" w:type="dxa"/>
            <w:right w:w="108" w:type="dxa"/>
          </w:tblCellMar>
        </w:tblPrEx>
        <w:trPr>
          <w:trHeight w:val="90" w:hRule="atLeast"/>
          <w:jc w:val="center"/>
        </w:trPr>
        <w:tc>
          <w:tcPr>
            <w:tcW w:w="1080" w:type="dxa"/>
            <w:vMerge w:val="continue"/>
            <w:tcBorders>
              <w:top w:val="nil"/>
              <w:left w:val="single" w:color="auto" w:sz="4" w:space="0"/>
              <w:right w:val="single" w:color="auto" w:sz="4" w:space="0"/>
            </w:tcBorders>
            <w:noWrap/>
            <w:vAlign w:val="center"/>
          </w:tcPr>
          <w:p>
            <w:pPr>
              <w:widowControl/>
              <w:spacing w:line="240" w:lineRule="exact"/>
              <w:jc w:val="center"/>
              <w:rPr>
                <w:rFonts w:ascii="仿宋_GB2312" w:hAnsi="仿宋_GB2312" w:eastAsia="仿宋_GB2312" w:cs="仿宋_GB2312"/>
                <w:color w:val="000000"/>
                <w:sz w:val="20"/>
                <w:szCs w:val="20"/>
              </w:rPr>
            </w:pPr>
          </w:p>
        </w:tc>
        <w:tc>
          <w:tcPr>
            <w:tcW w:w="2114" w:type="dxa"/>
            <w:gridSpan w:val="2"/>
            <w:tcBorders>
              <w:top w:val="nil"/>
              <w:left w:val="nil"/>
              <w:bottom w:val="single" w:color="auto" w:sz="4" w:space="0"/>
              <w:right w:val="single" w:color="auto" w:sz="4" w:space="0"/>
            </w:tcBorders>
            <w:noWrap/>
            <w:vAlign w:val="center"/>
          </w:tcPr>
          <w:p>
            <w:pPr>
              <w:spacing w:line="240" w:lineRule="exact"/>
              <w:jc w:val="center"/>
              <w:rPr>
                <w:rFonts w:ascii="仿宋_GB2312" w:hAnsi="仿宋_GB2312" w:eastAsia="仿宋_GB2312" w:cs="仿宋_GB2312"/>
                <w:sz w:val="20"/>
                <w:szCs w:val="20"/>
              </w:rPr>
            </w:pPr>
            <w:r>
              <w:rPr>
                <w:rFonts w:hint="eastAsia" w:ascii="仿宋_GB2312" w:hAnsi="仿宋_GB2312" w:eastAsia="仿宋_GB2312" w:cs="仿宋_GB2312"/>
                <w:color w:val="000000"/>
                <w:sz w:val="20"/>
                <w:szCs w:val="20"/>
              </w:rPr>
              <w:t>年度资金总额</w:t>
            </w:r>
          </w:p>
        </w:tc>
        <w:tc>
          <w:tcPr>
            <w:tcW w:w="1270" w:type="dxa"/>
            <w:tcBorders>
              <w:top w:val="nil"/>
              <w:left w:val="nil"/>
              <w:bottom w:val="single" w:color="auto" w:sz="4" w:space="0"/>
              <w:right w:val="single" w:color="auto" w:sz="4" w:space="0"/>
            </w:tcBorders>
            <w:noWrap/>
            <w:vAlign w:val="center"/>
          </w:tcPr>
          <w:p>
            <w:pPr>
              <w:spacing w:line="240" w:lineRule="exact"/>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97.23</w:t>
            </w:r>
          </w:p>
        </w:tc>
        <w:tc>
          <w:tcPr>
            <w:tcW w:w="1311" w:type="dxa"/>
            <w:tcBorders>
              <w:top w:val="nil"/>
              <w:left w:val="nil"/>
              <w:bottom w:val="single" w:color="auto" w:sz="4" w:space="0"/>
              <w:right w:val="single" w:color="auto" w:sz="4" w:space="0"/>
            </w:tcBorders>
            <w:noWrap/>
            <w:vAlign w:val="center"/>
          </w:tcPr>
          <w:p>
            <w:pPr>
              <w:spacing w:line="240" w:lineRule="exact"/>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479.60</w:t>
            </w:r>
          </w:p>
        </w:tc>
        <w:tc>
          <w:tcPr>
            <w:tcW w:w="1208" w:type="dxa"/>
            <w:tcBorders>
              <w:top w:val="nil"/>
              <w:left w:val="nil"/>
              <w:bottom w:val="single" w:color="auto" w:sz="4" w:space="0"/>
              <w:right w:val="single" w:color="auto" w:sz="4" w:space="0"/>
            </w:tcBorders>
            <w:noWrap/>
            <w:vAlign w:val="center"/>
          </w:tcPr>
          <w:p>
            <w:pPr>
              <w:spacing w:line="240"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432.72</w:t>
            </w:r>
          </w:p>
        </w:tc>
        <w:tc>
          <w:tcPr>
            <w:tcW w:w="777" w:type="dxa"/>
            <w:tcBorders>
              <w:top w:val="nil"/>
              <w:left w:val="nil"/>
              <w:bottom w:val="single" w:color="auto" w:sz="4" w:space="0"/>
              <w:right w:val="single" w:color="auto" w:sz="4" w:space="0"/>
            </w:tcBorders>
            <w:noWrap/>
            <w:vAlign w:val="center"/>
          </w:tcPr>
          <w:p>
            <w:pPr>
              <w:spacing w:line="240"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10</w:t>
            </w:r>
          </w:p>
        </w:tc>
        <w:tc>
          <w:tcPr>
            <w:tcW w:w="873" w:type="dxa"/>
            <w:tcBorders>
              <w:top w:val="nil"/>
              <w:left w:val="nil"/>
              <w:bottom w:val="single" w:color="auto" w:sz="4" w:space="0"/>
              <w:right w:val="single" w:color="auto" w:sz="4" w:space="0"/>
            </w:tcBorders>
            <w:noWrap/>
            <w:vAlign w:val="center"/>
          </w:tcPr>
          <w:p>
            <w:pPr>
              <w:spacing w:line="240" w:lineRule="exact"/>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90.23%</w:t>
            </w:r>
          </w:p>
        </w:tc>
        <w:tc>
          <w:tcPr>
            <w:tcW w:w="1446" w:type="dxa"/>
            <w:tcBorders>
              <w:top w:val="nil"/>
              <w:left w:val="nil"/>
              <w:bottom w:val="single" w:color="auto" w:sz="4" w:space="0"/>
              <w:right w:val="single" w:color="auto" w:sz="4" w:space="0"/>
            </w:tcBorders>
            <w:noWrap/>
            <w:vAlign w:val="center"/>
          </w:tcPr>
          <w:p>
            <w:pPr>
              <w:spacing w:line="240" w:lineRule="exact"/>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9.02</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p>
        </w:tc>
        <w:tc>
          <w:tcPr>
            <w:tcW w:w="4695" w:type="dxa"/>
            <w:gridSpan w:val="4"/>
            <w:tcBorders>
              <w:top w:val="nil"/>
              <w:left w:val="nil"/>
              <w:bottom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按收入性质分：</w:t>
            </w:r>
          </w:p>
        </w:tc>
        <w:tc>
          <w:tcPr>
            <w:tcW w:w="4304" w:type="dxa"/>
            <w:gridSpan w:val="4"/>
            <w:tcBorders>
              <w:top w:val="nil"/>
              <w:left w:val="nil"/>
              <w:bottom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按支出性质分：</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p>
        </w:tc>
        <w:tc>
          <w:tcPr>
            <w:tcW w:w="4695" w:type="dxa"/>
            <w:gridSpan w:val="4"/>
            <w:tcBorders>
              <w:top w:val="nil"/>
              <w:left w:val="nil"/>
              <w:bottom w:val="single" w:color="auto" w:sz="4" w:space="0"/>
              <w:right w:val="single" w:color="auto" w:sz="4" w:space="0"/>
            </w:tcBorders>
            <w:noWrap/>
            <w:vAlign w:val="center"/>
          </w:tcPr>
          <w:p>
            <w:pPr>
              <w:widowControl/>
              <w:spacing w:line="240" w:lineRule="exact"/>
              <w:jc w:val="left"/>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xml:space="preserve">  其中：  一般公共预算：</w:t>
            </w:r>
            <w:r>
              <w:rPr>
                <w:rFonts w:hint="eastAsia" w:ascii="仿宋_GB2312" w:hAnsi="仿宋_GB2312" w:eastAsia="仿宋_GB2312" w:cs="仿宋_GB2312"/>
                <w:color w:val="000000"/>
                <w:sz w:val="20"/>
                <w:szCs w:val="20"/>
                <w:lang w:val="en-US" w:eastAsia="zh-CN"/>
              </w:rPr>
              <w:t>432.72</w:t>
            </w:r>
          </w:p>
        </w:tc>
        <w:tc>
          <w:tcPr>
            <w:tcW w:w="4304" w:type="dxa"/>
            <w:gridSpan w:val="4"/>
            <w:tcBorders>
              <w:top w:val="nil"/>
              <w:left w:val="nil"/>
              <w:bottom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其中：基本支出：121.73</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p>
        </w:tc>
        <w:tc>
          <w:tcPr>
            <w:tcW w:w="4695" w:type="dxa"/>
            <w:gridSpan w:val="4"/>
            <w:tcBorders>
              <w:top w:val="nil"/>
              <w:left w:val="nil"/>
              <w:bottom w:val="single" w:color="auto" w:sz="4" w:space="0"/>
              <w:right w:val="single" w:color="auto" w:sz="4" w:space="0"/>
            </w:tcBorders>
            <w:noWrap/>
            <w:vAlign w:val="center"/>
          </w:tcPr>
          <w:p>
            <w:pPr>
              <w:widowControl/>
              <w:spacing w:line="240" w:lineRule="exact"/>
              <w:ind w:firstLine="800" w:firstLineChars="400"/>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政府性基金拨款：</w:t>
            </w:r>
          </w:p>
        </w:tc>
        <w:tc>
          <w:tcPr>
            <w:tcW w:w="4304" w:type="dxa"/>
            <w:gridSpan w:val="4"/>
            <w:tcBorders>
              <w:top w:val="nil"/>
              <w:left w:val="nil"/>
              <w:bottom w:val="single" w:color="auto" w:sz="4" w:space="0"/>
              <w:right w:val="single" w:color="auto" w:sz="4" w:space="0"/>
            </w:tcBorders>
            <w:noWrap/>
            <w:vAlign w:val="center"/>
          </w:tcPr>
          <w:p>
            <w:pPr>
              <w:widowControl/>
              <w:spacing w:line="240" w:lineRule="exact"/>
              <w:ind w:firstLine="600" w:firstLineChars="300"/>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项目支出：310.99</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p>
        </w:tc>
        <w:tc>
          <w:tcPr>
            <w:tcW w:w="4695" w:type="dxa"/>
            <w:gridSpan w:val="4"/>
            <w:tcBorders>
              <w:top w:val="nil"/>
              <w:left w:val="nil"/>
              <w:bottom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纳入专户管理的非税收入拨款：</w:t>
            </w:r>
          </w:p>
        </w:tc>
        <w:tc>
          <w:tcPr>
            <w:tcW w:w="4304" w:type="dxa"/>
            <w:gridSpan w:val="4"/>
            <w:tcBorders>
              <w:top w:val="nil"/>
              <w:left w:val="nil"/>
              <w:bottom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p>
        </w:tc>
      </w:tr>
      <w:tr>
        <w:tblPrEx>
          <w:tblCellMar>
            <w:top w:w="0" w:type="dxa"/>
            <w:left w:w="108" w:type="dxa"/>
            <w:bottom w:w="0" w:type="dxa"/>
            <w:right w:w="108" w:type="dxa"/>
          </w:tblCellMar>
        </w:tblPrEx>
        <w:trPr>
          <w:jc w:val="center"/>
        </w:trPr>
        <w:tc>
          <w:tcPr>
            <w:tcW w:w="1080" w:type="dxa"/>
            <w:vMerge w:val="continue"/>
            <w:tcBorders>
              <w:left w:val="single" w:color="auto" w:sz="4" w:space="0"/>
              <w:bottom w:val="single" w:color="000000"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p>
        </w:tc>
        <w:tc>
          <w:tcPr>
            <w:tcW w:w="4695" w:type="dxa"/>
            <w:gridSpan w:val="4"/>
            <w:tcBorders>
              <w:top w:val="nil"/>
              <w:left w:val="nil"/>
              <w:bottom w:val="single" w:color="auto" w:sz="4" w:space="0"/>
              <w:right w:val="single" w:color="auto" w:sz="4" w:space="0"/>
            </w:tcBorders>
            <w:noWrap/>
            <w:vAlign w:val="center"/>
          </w:tcPr>
          <w:p>
            <w:pPr>
              <w:widowControl/>
              <w:spacing w:line="240" w:lineRule="exact"/>
              <w:ind w:firstLine="1400" w:firstLineChars="700"/>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其他资金：</w:t>
            </w:r>
          </w:p>
        </w:tc>
        <w:tc>
          <w:tcPr>
            <w:tcW w:w="4304" w:type="dxa"/>
            <w:gridSpan w:val="4"/>
            <w:tcBorders>
              <w:top w:val="nil"/>
              <w:left w:val="nil"/>
              <w:bottom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p>
        </w:tc>
      </w:tr>
      <w:tr>
        <w:tblPrEx>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ign w:val="center"/>
          </w:tcPr>
          <w:p>
            <w:pPr>
              <w:widowControl/>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年度总体目标</w:t>
            </w:r>
          </w:p>
        </w:tc>
        <w:tc>
          <w:tcPr>
            <w:tcW w:w="4695" w:type="dxa"/>
            <w:gridSpan w:val="4"/>
            <w:tcBorders>
              <w:top w:val="single" w:color="auto" w:sz="4" w:space="0"/>
              <w:left w:val="nil"/>
              <w:bottom w:val="single" w:color="auto" w:sz="4" w:space="0"/>
              <w:right w:val="single" w:color="000000" w:sz="4" w:space="0"/>
            </w:tcBorders>
            <w:noWrap/>
            <w:vAlign w:val="center"/>
          </w:tcPr>
          <w:p>
            <w:pPr>
              <w:widowControl/>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预期目标</w:t>
            </w:r>
          </w:p>
        </w:tc>
        <w:tc>
          <w:tcPr>
            <w:tcW w:w="4304" w:type="dxa"/>
            <w:gridSpan w:val="4"/>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实际完成情况　</w:t>
            </w:r>
          </w:p>
        </w:tc>
      </w:tr>
      <w:tr>
        <w:tblPrEx>
          <w:tblCellMar>
            <w:top w:w="0" w:type="dxa"/>
            <w:left w:w="108" w:type="dxa"/>
            <w:bottom w:w="0" w:type="dxa"/>
            <w:right w:w="108" w:type="dxa"/>
          </w:tblCellMar>
        </w:tblPrEx>
        <w:trPr>
          <w:trHeight w:val="1560" w:hRule="atLeast"/>
          <w:jc w:val="center"/>
        </w:trPr>
        <w:tc>
          <w:tcPr>
            <w:tcW w:w="1080" w:type="dxa"/>
            <w:vMerge w:val="continue"/>
            <w:tcBorders>
              <w:top w:val="nil"/>
              <w:left w:val="single" w:color="auto" w:sz="4" w:space="0"/>
              <w:bottom w:val="single" w:color="000000"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p>
        </w:tc>
        <w:tc>
          <w:tcPr>
            <w:tcW w:w="4695" w:type="dxa"/>
            <w:gridSpan w:val="4"/>
            <w:tcBorders>
              <w:top w:val="single" w:color="auto" w:sz="4" w:space="0"/>
              <w:left w:val="nil"/>
              <w:bottom w:val="single" w:color="auto" w:sz="4" w:space="0"/>
              <w:right w:val="single" w:color="000000" w:sz="4" w:space="0"/>
            </w:tcBorders>
            <w:noWrap/>
            <w:vAlign w:val="center"/>
          </w:tcPr>
          <w:p>
            <w:pPr>
              <w:widowControl/>
              <w:spacing w:line="240" w:lineRule="exact"/>
              <w:jc w:val="left"/>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1.适时开展长江江豚科学考察和资源监测。2.适时进行自然保护长江江豚保护及保护区内水生生物资源保护的宣传教育。3.开展保护区长江江豚等水生生物巡查、救护工作。 4.有效协助涉保护区各相关部门的执法工作。5.开展增殖放流工作。6.开展涉渔项目监管工作。</w:t>
            </w:r>
          </w:p>
          <w:p>
            <w:pPr>
              <w:widowControl/>
              <w:spacing w:line="240" w:lineRule="exact"/>
              <w:jc w:val="left"/>
              <w:rPr>
                <w:rFonts w:hint="default" w:ascii="仿宋_GB2312" w:hAnsi="仿宋_GB2312" w:eastAsia="仿宋_GB2312" w:cs="仿宋_GB2312"/>
                <w:color w:val="000000"/>
                <w:sz w:val="20"/>
                <w:szCs w:val="20"/>
                <w:lang w:val="en-US" w:eastAsia="zh-CN"/>
              </w:rPr>
            </w:pPr>
          </w:p>
        </w:tc>
        <w:tc>
          <w:tcPr>
            <w:tcW w:w="4304" w:type="dxa"/>
            <w:gridSpan w:val="4"/>
            <w:tcBorders>
              <w:top w:val="single" w:color="auto" w:sz="4" w:space="0"/>
              <w:left w:val="nil"/>
              <w:bottom w:val="single" w:color="auto" w:sz="4" w:space="0"/>
              <w:right w:val="single" w:color="auto" w:sz="4" w:space="0"/>
            </w:tcBorders>
            <w:noWrap/>
            <w:vAlign w:val="top"/>
          </w:tcPr>
          <w:p>
            <w:pPr>
              <w:widowControl/>
              <w:spacing w:line="240" w:lineRule="exact"/>
              <w:jc w:val="both"/>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完成长江江豚科学考察1次，资源监测1次，印发宣传资料2000份，全年完成保护区巡查200次，协助执法部门出具保护区证明文件30余份，增殖放流2次。下发涉渔项目整改通知书1份。</w:t>
            </w:r>
          </w:p>
        </w:tc>
      </w:tr>
      <w:tr>
        <w:tblPrEx>
          <w:tblCellMar>
            <w:top w:w="0" w:type="dxa"/>
            <w:left w:w="108" w:type="dxa"/>
            <w:bottom w:w="0" w:type="dxa"/>
            <w:right w:w="108" w:type="dxa"/>
          </w:tblCellMar>
        </w:tblPrEx>
        <w:trPr>
          <w:jc w:val="center"/>
        </w:trPr>
        <w:tc>
          <w:tcPr>
            <w:tcW w:w="1080" w:type="dxa"/>
            <w:vMerge w:val="restart"/>
            <w:tcBorders>
              <w:top w:val="nil"/>
              <w:left w:val="single" w:color="auto" w:sz="4" w:space="0"/>
              <w:right w:val="single" w:color="auto" w:sz="4" w:space="0"/>
            </w:tcBorders>
            <w:noWrap/>
            <w:vAlign w:val="center"/>
          </w:tcPr>
          <w:p>
            <w:pPr>
              <w:widowControl/>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绩</w:t>
            </w:r>
          </w:p>
          <w:p>
            <w:pPr>
              <w:widowControl/>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效</w:t>
            </w:r>
          </w:p>
          <w:p>
            <w:pPr>
              <w:widowControl/>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指</w:t>
            </w:r>
          </w:p>
          <w:p>
            <w:pPr>
              <w:widowControl/>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标</w:t>
            </w:r>
          </w:p>
          <w:p>
            <w:pPr>
              <w:widowControl/>
              <w:spacing w:line="240" w:lineRule="exact"/>
              <w:jc w:val="center"/>
              <w:rPr>
                <w:rFonts w:ascii="仿宋_GB2312" w:hAnsi="仿宋_GB2312" w:eastAsia="仿宋_GB2312" w:cs="仿宋_GB2312"/>
                <w:color w:val="000000"/>
                <w:sz w:val="20"/>
                <w:szCs w:val="20"/>
              </w:rPr>
            </w:pPr>
          </w:p>
        </w:tc>
        <w:tc>
          <w:tcPr>
            <w:tcW w:w="1080" w:type="dxa"/>
            <w:tcBorders>
              <w:top w:val="nil"/>
              <w:left w:val="nil"/>
              <w:bottom w:val="nil"/>
              <w:right w:val="single" w:color="auto" w:sz="4" w:space="0"/>
            </w:tcBorders>
            <w:noWrap/>
            <w:vAlign w:val="center"/>
          </w:tcPr>
          <w:p>
            <w:pPr>
              <w:widowControl/>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一级指标</w:t>
            </w:r>
          </w:p>
        </w:tc>
        <w:tc>
          <w:tcPr>
            <w:tcW w:w="1034" w:type="dxa"/>
            <w:tcBorders>
              <w:top w:val="nil"/>
              <w:left w:val="nil"/>
              <w:bottom w:val="single" w:color="auto" w:sz="4" w:space="0"/>
              <w:right w:val="single" w:color="auto" w:sz="4" w:space="0"/>
            </w:tcBorders>
            <w:noWrap/>
            <w:vAlign w:val="center"/>
          </w:tcPr>
          <w:p>
            <w:pPr>
              <w:widowControl/>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二级指标</w:t>
            </w:r>
          </w:p>
        </w:tc>
        <w:tc>
          <w:tcPr>
            <w:tcW w:w="1270" w:type="dxa"/>
            <w:tcBorders>
              <w:top w:val="nil"/>
              <w:left w:val="nil"/>
              <w:bottom w:val="single" w:color="auto" w:sz="4" w:space="0"/>
              <w:right w:val="single" w:color="auto" w:sz="4" w:space="0"/>
            </w:tcBorders>
            <w:noWrap/>
            <w:vAlign w:val="center"/>
          </w:tcPr>
          <w:p>
            <w:pPr>
              <w:widowControl/>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三级指标</w:t>
            </w:r>
          </w:p>
        </w:tc>
        <w:tc>
          <w:tcPr>
            <w:tcW w:w="1311" w:type="dxa"/>
            <w:tcBorders>
              <w:top w:val="nil"/>
              <w:left w:val="nil"/>
              <w:bottom w:val="single" w:color="auto" w:sz="4" w:space="0"/>
              <w:right w:val="single" w:color="auto" w:sz="4" w:space="0"/>
            </w:tcBorders>
            <w:noWrap/>
            <w:vAlign w:val="center"/>
          </w:tcPr>
          <w:p>
            <w:pPr>
              <w:widowControl/>
              <w:spacing w:line="240" w:lineRule="exac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年度指标值</w:t>
            </w:r>
          </w:p>
        </w:tc>
        <w:tc>
          <w:tcPr>
            <w:tcW w:w="1208" w:type="dxa"/>
            <w:tcBorders>
              <w:top w:val="nil"/>
              <w:left w:val="nil"/>
              <w:bottom w:val="single" w:color="auto" w:sz="4" w:space="0"/>
              <w:right w:val="single" w:color="auto" w:sz="4" w:space="0"/>
            </w:tcBorders>
            <w:noWrap/>
            <w:vAlign w:val="center"/>
          </w:tcPr>
          <w:p>
            <w:pPr>
              <w:widowControl/>
              <w:spacing w:line="240" w:lineRule="exac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实际完成值</w:t>
            </w:r>
          </w:p>
        </w:tc>
        <w:tc>
          <w:tcPr>
            <w:tcW w:w="777" w:type="dxa"/>
            <w:tcBorders>
              <w:top w:val="nil"/>
              <w:left w:val="nil"/>
              <w:bottom w:val="single" w:color="auto" w:sz="4" w:space="0"/>
              <w:right w:val="single" w:color="auto" w:sz="4" w:space="0"/>
            </w:tcBorders>
            <w:noWrap/>
            <w:vAlign w:val="center"/>
          </w:tcPr>
          <w:p>
            <w:pPr>
              <w:widowControl/>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分值</w:t>
            </w:r>
          </w:p>
        </w:tc>
        <w:tc>
          <w:tcPr>
            <w:tcW w:w="873" w:type="dxa"/>
            <w:tcBorders>
              <w:top w:val="nil"/>
              <w:left w:val="nil"/>
              <w:bottom w:val="single" w:color="auto" w:sz="4" w:space="0"/>
              <w:right w:val="single" w:color="auto" w:sz="4" w:space="0"/>
            </w:tcBorders>
            <w:noWrap/>
            <w:vAlign w:val="center"/>
          </w:tcPr>
          <w:p>
            <w:pPr>
              <w:widowControl/>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得分</w:t>
            </w:r>
          </w:p>
        </w:tc>
        <w:tc>
          <w:tcPr>
            <w:tcW w:w="1446" w:type="dxa"/>
            <w:tcBorders>
              <w:top w:val="nil"/>
              <w:left w:val="nil"/>
              <w:bottom w:val="single" w:color="auto" w:sz="4" w:space="0"/>
              <w:right w:val="single" w:color="auto" w:sz="4" w:space="0"/>
            </w:tcBorders>
            <w:noWrap/>
            <w:vAlign w:val="center"/>
          </w:tcPr>
          <w:p>
            <w:pPr>
              <w:widowControl/>
              <w:spacing w:line="240" w:lineRule="exac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偏差原因分析及改进措施</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pPr>
              <w:spacing w:line="240" w:lineRule="exact"/>
              <w:jc w:val="left"/>
              <w:rPr>
                <w:rFonts w:ascii="仿宋_GB2312" w:hAnsi="仿宋_GB2312" w:eastAsia="仿宋_GB2312" w:cs="仿宋_GB2312"/>
                <w:color w:val="000000"/>
                <w:sz w:val="20"/>
                <w:szCs w:val="20"/>
              </w:rPr>
            </w:pPr>
          </w:p>
        </w:tc>
        <w:tc>
          <w:tcPr>
            <w:tcW w:w="1080" w:type="dxa"/>
            <w:vMerge w:val="restart"/>
            <w:tcBorders>
              <w:top w:val="nil"/>
              <w:left w:val="nil"/>
              <w:bottom w:val="single" w:color="auto" w:sz="4" w:space="0"/>
              <w:right w:val="single" w:color="auto" w:sz="4" w:space="0"/>
            </w:tcBorders>
            <w:noWrap/>
            <w:vAlign w:val="center"/>
          </w:tcPr>
          <w:p>
            <w:pPr>
              <w:widowControl/>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产出指标</w:t>
            </w:r>
          </w:p>
          <w:p>
            <w:pPr>
              <w:widowControl/>
              <w:spacing w:line="240" w:lineRule="exact"/>
              <w:jc w:val="center"/>
              <w:rPr>
                <w:rFonts w:ascii="仿宋_GB2312" w:hAnsi="仿宋_GB2312" w:eastAsia="仿宋_GB2312" w:cs="仿宋_GB2312"/>
                <w:color w:val="000000"/>
                <w:sz w:val="20"/>
                <w:szCs w:val="20"/>
              </w:rPr>
            </w:pPr>
          </w:p>
          <w:p>
            <w:pPr>
              <w:widowControl/>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(50分)</w:t>
            </w:r>
          </w:p>
        </w:tc>
        <w:tc>
          <w:tcPr>
            <w:tcW w:w="1034" w:type="dxa"/>
            <w:vMerge w:val="restart"/>
            <w:tcBorders>
              <w:top w:val="nil"/>
              <w:left w:val="nil"/>
              <w:right w:val="single" w:color="auto" w:sz="4" w:space="0"/>
            </w:tcBorders>
            <w:noWrap/>
            <w:vAlign w:val="center"/>
          </w:tcPr>
          <w:p>
            <w:pPr>
              <w:widowControl/>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数量指标</w:t>
            </w:r>
          </w:p>
        </w:tc>
        <w:tc>
          <w:tcPr>
            <w:tcW w:w="1270" w:type="dxa"/>
            <w:tcBorders>
              <w:top w:val="nil"/>
              <w:left w:val="nil"/>
              <w:bottom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全年常态化开展长江江豚保护巡查，适航条件下每日巡查</w:t>
            </w:r>
          </w:p>
        </w:tc>
        <w:tc>
          <w:tcPr>
            <w:tcW w:w="1311" w:type="dxa"/>
            <w:tcBorders>
              <w:top w:val="nil"/>
              <w:left w:val="nil"/>
              <w:bottom w:val="single" w:color="auto" w:sz="4" w:space="0"/>
              <w:right w:val="single" w:color="auto" w:sz="4" w:space="0"/>
            </w:tcBorders>
            <w:noWrap/>
            <w:vAlign w:val="center"/>
          </w:tcPr>
          <w:p>
            <w:pPr>
              <w:widowControl/>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≥150次</w:t>
            </w:r>
          </w:p>
        </w:tc>
        <w:tc>
          <w:tcPr>
            <w:tcW w:w="1208" w:type="dxa"/>
            <w:tcBorders>
              <w:top w:val="nil"/>
              <w:left w:val="nil"/>
              <w:bottom w:val="single" w:color="auto" w:sz="4" w:space="0"/>
              <w:right w:val="single" w:color="auto" w:sz="4" w:space="0"/>
            </w:tcBorders>
            <w:noWrap/>
            <w:vAlign w:val="center"/>
          </w:tcPr>
          <w:p>
            <w:pPr>
              <w:widowControl/>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≥150次</w:t>
            </w:r>
          </w:p>
        </w:tc>
        <w:tc>
          <w:tcPr>
            <w:tcW w:w="777" w:type="dxa"/>
            <w:tcBorders>
              <w:top w:val="nil"/>
              <w:left w:val="nil"/>
              <w:bottom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5</w:t>
            </w:r>
          </w:p>
        </w:tc>
        <w:tc>
          <w:tcPr>
            <w:tcW w:w="873" w:type="dxa"/>
            <w:tcBorders>
              <w:top w:val="nil"/>
              <w:left w:val="nil"/>
              <w:bottom w:val="single" w:color="auto" w:sz="4" w:space="0"/>
              <w:right w:val="single" w:color="auto" w:sz="4" w:space="0"/>
            </w:tcBorders>
            <w:noWrap/>
            <w:vAlign w:val="center"/>
          </w:tcPr>
          <w:p>
            <w:pPr>
              <w:widowControl/>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5</w:t>
            </w:r>
          </w:p>
        </w:tc>
        <w:tc>
          <w:tcPr>
            <w:tcW w:w="1446" w:type="dxa"/>
            <w:tcBorders>
              <w:top w:val="nil"/>
              <w:left w:val="nil"/>
              <w:bottom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pPr>
              <w:spacing w:line="240" w:lineRule="exact"/>
              <w:jc w:val="left"/>
              <w:rPr>
                <w:rFonts w:ascii="仿宋_GB2312" w:hAnsi="仿宋_GB2312" w:eastAsia="仿宋_GB2312" w:cs="仿宋_GB2312"/>
                <w:color w:val="000000"/>
                <w:sz w:val="20"/>
                <w:szCs w:val="20"/>
              </w:rPr>
            </w:pPr>
          </w:p>
        </w:tc>
        <w:tc>
          <w:tcPr>
            <w:tcW w:w="1080" w:type="dxa"/>
            <w:vMerge w:val="continue"/>
            <w:tcBorders>
              <w:top w:val="single" w:color="auto" w:sz="4" w:space="0"/>
              <w:left w:val="nil"/>
              <w:bottom w:val="single" w:color="auto" w:sz="4" w:space="0"/>
              <w:right w:val="single" w:color="auto" w:sz="4" w:space="0"/>
            </w:tcBorders>
            <w:noWrap/>
            <w:vAlign w:val="center"/>
          </w:tcPr>
          <w:p>
            <w:pPr>
              <w:spacing w:line="240" w:lineRule="exact"/>
              <w:jc w:val="left"/>
              <w:rPr>
                <w:rFonts w:ascii="仿宋_GB2312" w:hAnsi="仿宋_GB2312" w:eastAsia="仿宋_GB2312" w:cs="仿宋_GB2312"/>
                <w:color w:val="000000"/>
                <w:sz w:val="20"/>
                <w:szCs w:val="20"/>
              </w:rPr>
            </w:pPr>
          </w:p>
        </w:tc>
        <w:tc>
          <w:tcPr>
            <w:tcW w:w="1034" w:type="dxa"/>
            <w:vMerge w:val="continue"/>
            <w:tcBorders>
              <w:left w:val="nil"/>
              <w:right w:val="single" w:color="auto" w:sz="4" w:space="0"/>
            </w:tcBorders>
            <w:noWrap/>
            <w:vAlign w:val="center"/>
          </w:tcPr>
          <w:p>
            <w:pPr>
              <w:spacing w:line="240" w:lineRule="exact"/>
              <w:jc w:val="center"/>
              <w:rPr>
                <w:rFonts w:ascii="仿宋_GB2312" w:hAnsi="仿宋_GB2312" w:eastAsia="仿宋_GB2312" w:cs="仿宋_GB2312"/>
                <w:color w:val="000000"/>
                <w:sz w:val="20"/>
                <w:szCs w:val="20"/>
              </w:rPr>
            </w:pPr>
          </w:p>
        </w:tc>
        <w:tc>
          <w:tcPr>
            <w:tcW w:w="1270" w:type="dxa"/>
            <w:tcBorders>
              <w:top w:val="nil"/>
              <w:left w:val="nil"/>
              <w:bottom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做好保护区日常宣传工作</w:t>
            </w:r>
            <w:r>
              <w:rPr>
                <w:rFonts w:ascii="仿宋_GB2312" w:hAnsi="仿宋_GB2312" w:eastAsia="仿宋_GB2312" w:cs="仿宋_GB2312"/>
                <w:color w:val="000000"/>
                <w:sz w:val="20"/>
                <w:szCs w:val="20"/>
              </w:rPr>
              <w:t>,印发宣传资料</w:t>
            </w:r>
          </w:p>
        </w:tc>
        <w:tc>
          <w:tcPr>
            <w:tcW w:w="1311" w:type="dxa"/>
            <w:tcBorders>
              <w:top w:val="nil"/>
              <w:left w:val="nil"/>
              <w:bottom w:val="single" w:color="auto" w:sz="4" w:space="0"/>
              <w:right w:val="single" w:color="auto" w:sz="4" w:space="0"/>
            </w:tcBorders>
            <w:noWrap/>
            <w:vAlign w:val="center"/>
          </w:tcPr>
          <w:p>
            <w:pPr>
              <w:widowControl/>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≥2000份</w:t>
            </w:r>
          </w:p>
        </w:tc>
        <w:tc>
          <w:tcPr>
            <w:tcW w:w="1208" w:type="dxa"/>
            <w:tcBorders>
              <w:top w:val="nil"/>
              <w:left w:val="nil"/>
              <w:bottom w:val="single" w:color="auto" w:sz="4" w:space="0"/>
              <w:right w:val="single" w:color="auto" w:sz="4" w:space="0"/>
            </w:tcBorders>
            <w:noWrap/>
            <w:vAlign w:val="center"/>
          </w:tcPr>
          <w:p>
            <w:pPr>
              <w:widowControl/>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≥2000份</w:t>
            </w:r>
          </w:p>
        </w:tc>
        <w:tc>
          <w:tcPr>
            <w:tcW w:w="777" w:type="dxa"/>
            <w:tcBorders>
              <w:top w:val="nil"/>
              <w:left w:val="nil"/>
              <w:bottom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5</w:t>
            </w:r>
          </w:p>
        </w:tc>
        <w:tc>
          <w:tcPr>
            <w:tcW w:w="873" w:type="dxa"/>
            <w:tcBorders>
              <w:top w:val="nil"/>
              <w:left w:val="nil"/>
              <w:bottom w:val="single" w:color="auto" w:sz="4" w:space="0"/>
              <w:right w:val="single" w:color="auto" w:sz="4" w:space="0"/>
            </w:tcBorders>
            <w:noWrap/>
            <w:vAlign w:val="center"/>
          </w:tcPr>
          <w:p>
            <w:pPr>
              <w:widowControl/>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5</w:t>
            </w:r>
          </w:p>
        </w:tc>
        <w:tc>
          <w:tcPr>
            <w:tcW w:w="1446" w:type="dxa"/>
            <w:tcBorders>
              <w:top w:val="nil"/>
              <w:left w:val="nil"/>
              <w:bottom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pPr>
              <w:spacing w:line="240" w:lineRule="exact"/>
              <w:jc w:val="left"/>
              <w:rPr>
                <w:rFonts w:ascii="仿宋_GB2312" w:hAnsi="仿宋_GB2312" w:eastAsia="仿宋_GB2312" w:cs="仿宋_GB2312"/>
                <w:color w:val="000000"/>
                <w:sz w:val="20"/>
                <w:szCs w:val="20"/>
              </w:rPr>
            </w:pPr>
          </w:p>
        </w:tc>
        <w:tc>
          <w:tcPr>
            <w:tcW w:w="1080" w:type="dxa"/>
            <w:vMerge w:val="continue"/>
            <w:tcBorders>
              <w:top w:val="single" w:color="auto" w:sz="4" w:space="0"/>
              <w:left w:val="nil"/>
              <w:bottom w:val="single" w:color="auto" w:sz="4" w:space="0"/>
              <w:right w:val="single" w:color="auto" w:sz="4" w:space="0"/>
            </w:tcBorders>
            <w:noWrap/>
            <w:vAlign w:val="center"/>
          </w:tcPr>
          <w:p>
            <w:pPr>
              <w:spacing w:line="240" w:lineRule="exact"/>
              <w:jc w:val="left"/>
              <w:rPr>
                <w:rFonts w:ascii="仿宋_GB2312" w:hAnsi="仿宋_GB2312" w:eastAsia="仿宋_GB2312" w:cs="仿宋_GB2312"/>
                <w:color w:val="000000"/>
                <w:sz w:val="20"/>
                <w:szCs w:val="20"/>
              </w:rPr>
            </w:pPr>
          </w:p>
        </w:tc>
        <w:tc>
          <w:tcPr>
            <w:tcW w:w="1034" w:type="dxa"/>
            <w:vMerge w:val="continue"/>
            <w:tcBorders>
              <w:left w:val="nil"/>
              <w:right w:val="single" w:color="auto" w:sz="4" w:space="0"/>
            </w:tcBorders>
            <w:noWrap/>
            <w:vAlign w:val="center"/>
          </w:tcPr>
          <w:p>
            <w:pPr>
              <w:spacing w:line="240" w:lineRule="exact"/>
              <w:jc w:val="center"/>
              <w:rPr>
                <w:rFonts w:ascii="仿宋_GB2312" w:hAnsi="仿宋_GB2312" w:eastAsia="仿宋_GB2312" w:cs="仿宋_GB2312"/>
                <w:color w:val="000000"/>
                <w:sz w:val="20"/>
                <w:szCs w:val="20"/>
              </w:rPr>
            </w:pPr>
          </w:p>
        </w:tc>
        <w:tc>
          <w:tcPr>
            <w:tcW w:w="1270" w:type="dxa"/>
            <w:tcBorders>
              <w:top w:val="nil"/>
              <w:left w:val="nil"/>
              <w:bottom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开展增殖放流活动</w:t>
            </w:r>
          </w:p>
        </w:tc>
        <w:tc>
          <w:tcPr>
            <w:tcW w:w="1311" w:type="dxa"/>
            <w:tcBorders>
              <w:top w:val="nil"/>
              <w:left w:val="nil"/>
              <w:bottom w:val="single" w:color="auto" w:sz="4" w:space="0"/>
              <w:right w:val="single" w:color="auto" w:sz="4" w:space="0"/>
            </w:tcBorders>
            <w:noWrap/>
            <w:vAlign w:val="center"/>
          </w:tcPr>
          <w:p>
            <w:pPr>
              <w:widowControl/>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≥1次</w:t>
            </w:r>
          </w:p>
        </w:tc>
        <w:tc>
          <w:tcPr>
            <w:tcW w:w="1208" w:type="dxa"/>
            <w:tcBorders>
              <w:top w:val="nil"/>
              <w:left w:val="nil"/>
              <w:bottom w:val="single" w:color="auto" w:sz="4" w:space="0"/>
              <w:right w:val="single" w:color="auto" w:sz="4" w:space="0"/>
            </w:tcBorders>
            <w:noWrap/>
            <w:vAlign w:val="center"/>
          </w:tcPr>
          <w:p>
            <w:pPr>
              <w:widowControl/>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≥1次</w:t>
            </w:r>
          </w:p>
        </w:tc>
        <w:tc>
          <w:tcPr>
            <w:tcW w:w="777" w:type="dxa"/>
            <w:tcBorders>
              <w:top w:val="nil"/>
              <w:left w:val="nil"/>
              <w:bottom w:val="single" w:color="auto" w:sz="4" w:space="0"/>
              <w:right w:val="single" w:color="auto" w:sz="4" w:space="0"/>
            </w:tcBorders>
            <w:noWrap/>
            <w:vAlign w:val="center"/>
          </w:tcPr>
          <w:p>
            <w:pPr>
              <w:widowControl/>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5</w:t>
            </w:r>
          </w:p>
        </w:tc>
        <w:tc>
          <w:tcPr>
            <w:tcW w:w="873" w:type="dxa"/>
            <w:tcBorders>
              <w:top w:val="nil"/>
              <w:left w:val="nil"/>
              <w:bottom w:val="single" w:color="auto" w:sz="4" w:space="0"/>
              <w:right w:val="single" w:color="auto" w:sz="4" w:space="0"/>
            </w:tcBorders>
            <w:noWrap/>
            <w:vAlign w:val="center"/>
          </w:tcPr>
          <w:p>
            <w:pPr>
              <w:widowControl/>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5</w:t>
            </w:r>
          </w:p>
        </w:tc>
        <w:tc>
          <w:tcPr>
            <w:tcW w:w="1446" w:type="dxa"/>
            <w:tcBorders>
              <w:top w:val="nil"/>
              <w:left w:val="nil"/>
              <w:bottom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pPr>
              <w:spacing w:line="240" w:lineRule="exact"/>
              <w:jc w:val="left"/>
              <w:rPr>
                <w:rFonts w:ascii="仿宋_GB2312" w:hAnsi="仿宋_GB2312" w:eastAsia="仿宋_GB2312" w:cs="仿宋_GB2312"/>
                <w:color w:val="000000"/>
                <w:sz w:val="20"/>
                <w:szCs w:val="20"/>
              </w:rPr>
            </w:pPr>
          </w:p>
        </w:tc>
        <w:tc>
          <w:tcPr>
            <w:tcW w:w="1080" w:type="dxa"/>
            <w:vMerge w:val="continue"/>
            <w:tcBorders>
              <w:top w:val="single" w:color="auto" w:sz="4" w:space="0"/>
              <w:left w:val="nil"/>
              <w:bottom w:val="single" w:color="auto" w:sz="4" w:space="0"/>
              <w:right w:val="single" w:color="auto" w:sz="4" w:space="0"/>
            </w:tcBorders>
            <w:noWrap/>
            <w:vAlign w:val="center"/>
          </w:tcPr>
          <w:p>
            <w:pPr>
              <w:spacing w:line="240" w:lineRule="exact"/>
              <w:jc w:val="left"/>
              <w:rPr>
                <w:rFonts w:ascii="仿宋_GB2312" w:hAnsi="仿宋_GB2312" w:eastAsia="仿宋_GB2312" w:cs="仿宋_GB2312"/>
                <w:color w:val="000000"/>
                <w:sz w:val="20"/>
                <w:szCs w:val="20"/>
              </w:rPr>
            </w:pPr>
          </w:p>
        </w:tc>
        <w:tc>
          <w:tcPr>
            <w:tcW w:w="1034" w:type="dxa"/>
            <w:vMerge w:val="continue"/>
            <w:tcBorders>
              <w:left w:val="nil"/>
              <w:right w:val="single" w:color="auto" w:sz="4" w:space="0"/>
            </w:tcBorders>
            <w:noWrap/>
            <w:vAlign w:val="center"/>
          </w:tcPr>
          <w:p>
            <w:pPr>
              <w:widowControl/>
              <w:spacing w:line="240" w:lineRule="exact"/>
              <w:jc w:val="center"/>
              <w:rPr>
                <w:rFonts w:ascii="仿宋_GB2312" w:hAnsi="仿宋_GB2312" w:eastAsia="仿宋_GB2312" w:cs="仿宋_GB2312"/>
                <w:color w:val="000000"/>
                <w:sz w:val="20"/>
                <w:szCs w:val="20"/>
              </w:rPr>
            </w:pPr>
          </w:p>
        </w:tc>
        <w:tc>
          <w:tcPr>
            <w:tcW w:w="1270" w:type="dxa"/>
            <w:tcBorders>
              <w:top w:val="nil"/>
              <w:left w:val="nil"/>
              <w:bottom w:val="single" w:color="auto" w:sz="4" w:space="0"/>
              <w:right w:val="single" w:color="auto" w:sz="4" w:space="0"/>
            </w:tcBorders>
            <w:noWrap/>
            <w:vAlign w:val="center"/>
          </w:tcPr>
          <w:p>
            <w:pPr>
              <w:widowControl/>
              <w:spacing w:line="240" w:lineRule="exact"/>
              <w:jc w:val="center"/>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开展长江江豚生态科学考察</w:t>
            </w:r>
            <w:r>
              <w:rPr>
                <w:rFonts w:hint="eastAsia" w:ascii="仿宋_GB2312" w:hAnsi="仿宋_GB2312" w:eastAsia="仿宋_GB2312" w:cs="仿宋_GB2312"/>
                <w:color w:val="000000"/>
                <w:sz w:val="20"/>
                <w:szCs w:val="20"/>
                <w:lang w:val="en-US" w:eastAsia="zh-CN"/>
              </w:rPr>
              <w:t>和渔业资源监测</w:t>
            </w:r>
          </w:p>
        </w:tc>
        <w:tc>
          <w:tcPr>
            <w:tcW w:w="1311" w:type="dxa"/>
            <w:tcBorders>
              <w:top w:val="nil"/>
              <w:left w:val="nil"/>
              <w:bottom w:val="single" w:color="auto" w:sz="4" w:space="0"/>
              <w:right w:val="single" w:color="auto" w:sz="4" w:space="0"/>
            </w:tcBorders>
            <w:noWrap/>
            <w:vAlign w:val="center"/>
          </w:tcPr>
          <w:p>
            <w:pPr>
              <w:widowControl/>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≥1次</w:t>
            </w:r>
          </w:p>
        </w:tc>
        <w:tc>
          <w:tcPr>
            <w:tcW w:w="1208" w:type="dxa"/>
            <w:tcBorders>
              <w:top w:val="nil"/>
              <w:left w:val="nil"/>
              <w:bottom w:val="single" w:color="auto" w:sz="4" w:space="0"/>
              <w:right w:val="single" w:color="auto" w:sz="4" w:space="0"/>
            </w:tcBorders>
            <w:noWrap/>
            <w:vAlign w:val="center"/>
          </w:tcPr>
          <w:p>
            <w:pPr>
              <w:widowControl/>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lang w:val="en-US" w:eastAsia="zh-CN"/>
              </w:rPr>
              <w:t>2</w:t>
            </w:r>
            <w:r>
              <w:rPr>
                <w:rFonts w:hint="eastAsia" w:ascii="仿宋_GB2312" w:hAnsi="仿宋_GB2312" w:eastAsia="仿宋_GB2312" w:cs="仿宋_GB2312"/>
                <w:color w:val="000000"/>
                <w:sz w:val="20"/>
                <w:szCs w:val="20"/>
              </w:rPr>
              <w:t>次</w:t>
            </w:r>
          </w:p>
        </w:tc>
        <w:tc>
          <w:tcPr>
            <w:tcW w:w="777" w:type="dxa"/>
            <w:tcBorders>
              <w:top w:val="nil"/>
              <w:left w:val="nil"/>
              <w:bottom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5</w:t>
            </w:r>
          </w:p>
        </w:tc>
        <w:tc>
          <w:tcPr>
            <w:tcW w:w="873" w:type="dxa"/>
            <w:tcBorders>
              <w:top w:val="nil"/>
              <w:left w:val="nil"/>
              <w:bottom w:val="single" w:color="auto" w:sz="4" w:space="0"/>
              <w:right w:val="single" w:color="auto" w:sz="4" w:space="0"/>
            </w:tcBorders>
            <w:noWrap/>
            <w:vAlign w:val="center"/>
          </w:tcPr>
          <w:p>
            <w:pPr>
              <w:widowControl/>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5</w:t>
            </w:r>
          </w:p>
        </w:tc>
        <w:tc>
          <w:tcPr>
            <w:tcW w:w="1446" w:type="dxa"/>
            <w:tcBorders>
              <w:top w:val="nil"/>
              <w:left w:val="nil"/>
              <w:bottom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trHeight w:val="573" w:hRule="atLeast"/>
          <w:jc w:val="center"/>
        </w:trPr>
        <w:tc>
          <w:tcPr>
            <w:tcW w:w="1080" w:type="dxa"/>
            <w:vMerge w:val="continue"/>
            <w:tcBorders>
              <w:left w:val="single" w:color="auto" w:sz="4" w:space="0"/>
              <w:right w:val="single" w:color="auto" w:sz="4" w:space="0"/>
            </w:tcBorders>
            <w:noWrap/>
            <w:vAlign w:val="center"/>
          </w:tcPr>
          <w:p>
            <w:pPr>
              <w:spacing w:line="240" w:lineRule="exact"/>
              <w:jc w:val="left"/>
              <w:rPr>
                <w:rFonts w:ascii="仿宋_GB2312" w:hAnsi="仿宋_GB2312" w:eastAsia="仿宋_GB2312" w:cs="仿宋_GB2312"/>
                <w:color w:val="000000"/>
                <w:sz w:val="20"/>
                <w:szCs w:val="20"/>
              </w:rPr>
            </w:pPr>
          </w:p>
        </w:tc>
        <w:tc>
          <w:tcPr>
            <w:tcW w:w="1080" w:type="dxa"/>
            <w:vMerge w:val="continue"/>
            <w:tcBorders>
              <w:top w:val="single" w:color="auto" w:sz="4" w:space="0"/>
              <w:left w:val="nil"/>
              <w:bottom w:val="single" w:color="auto" w:sz="4" w:space="0"/>
              <w:right w:val="single" w:color="auto" w:sz="4" w:space="0"/>
            </w:tcBorders>
            <w:noWrap/>
            <w:vAlign w:val="center"/>
          </w:tcPr>
          <w:p>
            <w:pPr>
              <w:spacing w:line="240" w:lineRule="exact"/>
              <w:jc w:val="left"/>
              <w:rPr>
                <w:rFonts w:ascii="仿宋_GB2312" w:hAnsi="仿宋_GB2312" w:eastAsia="仿宋_GB2312" w:cs="仿宋_GB2312"/>
                <w:color w:val="000000"/>
                <w:sz w:val="20"/>
                <w:szCs w:val="20"/>
              </w:rPr>
            </w:pPr>
          </w:p>
        </w:tc>
        <w:tc>
          <w:tcPr>
            <w:tcW w:w="1034" w:type="dxa"/>
            <w:vMerge w:val="continue"/>
            <w:tcBorders>
              <w:left w:val="nil"/>
              <w:bottom w:val="single" w:color="auto" w:sz="4" w:space="0"/>
              <w:right w:val="single" w:color="auto" w:sz="4" w:space="0"/>
            </w:tcBorders>
            <w:noWrap/>
            <w:vAlign w:val="center"/>
          </w:tcPr>
          <w:p>
            <w:pPr>
              <w:widowControl/>
              <w:spacing w:line="240" w:lineRule="exact"/>
              <w:jc w:val="center"/>
              <w:rPr>
                <w:rFonts w:ascii="仿宋_GB2312" w:hAnsi="仿宋_GB2312" w:eastAsia="仿宋_GB2312" w:cs="仿宋_GB2312"/>
                <w:color w:val="000000"/>
                <w:sz w:val="20"/>
                <w:szCs w:val="20"/>
              </w:rPr>
            </w:pPr>
          </w:p>
        </w:tc>
        <w:tc>
          <w:tcPr>
            <w:tcW w:w="1270" w:type="dxa"/>
            <w:tcBorders>
              <w:top w:val="nil"/>
              <w:left w:val="nil"/>
              <w:bottom w:val="single" w:color="auto" w:sz="4" w:space="0"/>
              <w:right w:val="single" w:color="auto" w:sz="4" w:space="0"/>
            </w:tcBorders>
            <w:noWrap/>
            <w:vAlign w:val="center"/>
          </w:tcPr>
          <w:p>
            <w:pPr>
              <w:widowControl/>
              <w:spacing w:line="200" w:lineRule="exact"/>
              <w:jc w:val="left"/>
              <w:rPr>
                <w:rFonts w:hint="eastAsia" w:ascii="仿宋_GB2312" w:hAnsi="仿宋_GB2312" w:eastAsia="仿宋_GB2312" w:cs="仿宋_GB2312"/>
                <w:color w:val="000000"/>
                <w:sz w:val="20"/>
                <w:szCs w:val="20"/>
                <w:lang w:val="en-US" w:eastAsia="zh-CN" w:bidi="ar-SA"/>
              </w:rPr>
            </w:pPr>
            <w:r>
              <w:rPr>
                <w:rFonts w:hint="eastAsia" w:ascii="仿宋_GB2312" w:hAnsi="仿宋_GB2312" w:eastAsia="仿宋_GB2312" w:cs="仿宋_GB2312"/>
                <w:color w:val="000000"/>
                <w:sz w:val="20"/>
                <w:szCs w:val="20"/>
                <w:lang w:val="en-US" w:eastAsia="zh-CN"/>
              </w:rPr>
              <w:t>开展涉渔项目监管工作</w:t>
            </w:r>
          </w:p>
        </w:tc>
        <w:tc>
          <w:tcPr>
            <w:tcW w:w="1311" w:type="dxa"/>
            <w:tcBorders>
              <w:top w:val="nil"/>
              <w:left w:val="nil"/>
              <w:bottom w:val="single" w:color="auto" w:sz="4" w:space="0"/>
              <w:right w:val="single" w:color="auto" w:sz="4" w:space="0"/>
            </w:tcBorders>
            <w:noWrap/>
            <w:vAlign w:val="center"/>
          </w:tcPr>
          <w:p>
            <w:pPr>
              <w:widowControl/>
              <w:spacing w:line="200" w:lineRule="exact"/>
              <w:jc w:val="center"/>
              <w:rPr>
                <w:rFonts w:hint="eastAsia" w:ascii="仿宋_GB2312" w:hAnsi="仿宋_GB2312" w:eastAsia="仿宋_GB2312" w:cs="仿宋_GB2312"/>
                <w:color w:val="000000"/>
                <w:sz w:val="20"/>
                <w:szCs w:val="20"/>
                <w:lang w:val="en-US" w:eastAsia="zh-CN" w:bidi="ar-SA"/>
              </w:rPr>
            </w:pPr>
            <w:r>
              <w:rPr>
                <w:rFonts w:hint="eastAsia" w:ascii="仿宋_GB2312" w:hAnsi="仿宋_GB2312" w:eastAsia="仿宋_GB2312" w:cs="仿宋_GB2312"/>
                <w:color w:val="000000"/>
                <w:sz w:val="20"/>
                <w:szCs w:val="20"/>
              </w:rPr>
              <w:t>≥1次</w:t>
            </w:r>
          </w:p>
        </w:tc>
        <w:tc>
          <w:tcPr>
            <w:tcW w:w="1208" w:type="dxa"/>
            <w:tcBorders>
              <w:top w:val="nil"/>
              <w:left w:val="nil"/>
              <w:bottom w:val="single" w:color="auto" w:sz="4" w:space="0"/>
              <w:right w:val="single" w:color="auto" w:sz="4" w:space="0"/>
            </w:tcBorders>
            <w:noWrap/>
            <w:vAlign w:val="center"/>
          </w:tcPr>
          <w:p>
            <w:pPr>
              <w:widowControl/>
              <w:spacing w:line="200" w:lineRule="exact"/>
              <w:jc w:val="center"/>
              <w:rPr>
                <w:rFonts w:hint="eastAsia" w:ascii="仿宋_GB2312" w:hAnsi="仿宋_GB2312" w:eastAsia="仿宋_GB2312" w:cs="仿宋_GB2312"/>
                <w:color w:val="000000"/>
                <w:sz w:val="20"/>
                <w:szCs w:val="20"/>
                <w:lang w:val="en-US" w:eastAsia="zh-CN" w:bidi="ar-SA"/>
              </w:rPr>
            </w:pPr>
            <w:r>
              <w:rPr>
                <w:rFonts w:hint="eastAsia" w:ascii="仿宋_GB2312" w:hAnsi="仿宋_GB2312" w:eastAsia="仿宋_GB2312" w:cs="仿宋_GB2312"/>
                <w:color w:val="000000"/>
                <w:sz w:val="20"/>
                <w:szCs w:val="20"/>
                <w:lang w:val="en-US" w:eastAsia="zh-CN"/>
              </w:rPr>
              <w:t>1次</w:t>
            </w:r>
          </w:p>
        </w:tc>
        <w:tc>
          <w:tcPr>
            <w:tcW w:w="777" w:type="dxa"/>
            <w:tcBorders>
              <w:top w:val="nil"/>
              <w:left w:val="nil"/>
              <w:bottom w:val="single" w:color="auto" w:sz="4" w:space="0"/>
              <w:right w:val="single" w:color="auto" w:sz="4" w:space="0"/>
            </w:tcBorders>
            <w:noWrap/>
            <w:vAlign w:val="center"/>
          </w:tcPr>
          <w:p>
            <w:pPr>
              <w:widowControl/>
              <w:spacing w:line="200" w:lineRule="exact"/>
              <w:jc w:val="center"/>
              <w:rPr>
                <w:rFonts w:hint="eastAsia" w:ascii="仿宋_GB2312" w:hAnsi="仿宋_GB2312" w:eastAsia="仿宋_GB2312" w:cs="仿宋_GB2312"/>
                <w:color w:val="000000"/>
                <w:sz w:val="20"/>
                <w:szCs w:val="20"/>
                <w:lang w:val="en-US" w:eastAsia="zh-CN" w:bidi="ar-SA"/>
              </w:rPr>
            </w:pPr>
            <w:r>
              <w:rPr>
                <w:rFonts w:hint="eastAsia" w:ascii="仿宋_GB2312" w:hAnsi="仿宋_GB2312" w:eastAsia="仿宋_GB2312" w:cs="仿宋_GB2312"/>
                <w:color w:val="000000"/>
                <w:sz w:val="20"/>
                <w:szCs w:val="20"/>
                <w:lang w:val="en-US" w:eastAsia="zh-CN"/>
              </w:rPr>
              <w:t>5</w:t>
            </w:r>
          </w:p>
        </w:tc>
        <w:tc>
          <w:tcPr>
            <w:tcW w:w="873" w:type="dxa"/>
            <w:tcBorders>
              <w:top w:val="nil"/>
              <w:left w:val="nil"/>
              <w:bottom w:val="single" w:color="auto" w:sz="4" w:space="0"/>
              <w:right w:val="single" w:color="auto" w:sz="4" w:space="0"/>
            </w:tcBorders>
            <w:noWrap/>
            <w:vAlign w:val="center"/>
          </w:tcPr>
          <w:p>
            <w:pPr>
              <w:widowControl/>
              <w:spacing w:line="200" w:lineRule="exact"/>
              <w:jc w:val="center"/>
              <w:rPr>
                <w:rFonts w:hint="eastAsia" w:ascii="仿宋_GB2312" w:hAnsi="仿宋_GB2312" w:eastAsia="仿宋_GB2312" w:cs="仿宋_GB2312"/>
                <w:color w:val="000000"/>
                <w:sz w:val="20"/>
                <w:szCs w:val="20"/>
                <w:lang w:val="en-US" w:eastAsia="zh-CN" w:bidi="ar-SA"/>
              </w:rPr>
            </w:pPr>
            <w:r>
              <w:rPr>
                <w:rFonts w:hint="eastAsia" w:ascii="仿宋_GB2312" w:hAnsi="仿宋_GB2312" w:eastAsia="仿宋_GB2312" w:cs="仿宋_GB2312"/>
                <w:color w:val="000000"/>
                <w:sz w:val="20"/>
                <w:szCs w:val="20"/>
                <w:lang w:val="en-US" w:eastAsia="zh-CN"/>
              </w:rPr>
              <w:t>5</w:t>
            </w:r>
          </w:p>
        </w:tc>
        <w:tc>
          <w:tcPr>
            <w:tcW w:w="1446" w:type="dxa"/>
            <w:tcBorders>
              <w:top w:val="nil"/>
              <w:left w:val="nil"/>
              <w:bottom w:val="single" w:color="auto" w:sz="4" w:space="0"/>
              <w:right w:val="single" w:color="auto" w:sz="4" w:space="0"/>
            </w:tcBorders>
            <w:noWrap/>
            <w:vAlign w:val="center"/>
          </w:tcPr>
          <w:p>
            <w:pPr>
              <w:widowControl/>
              <w:spacing w:line="260" w:lineRule="exact"/>
              <w:jc w:val="left"/>
              <w:rPr>
                <w:rFonts w:hint="eastAsia" w:ascii="仿宋_GB2312" w:hAnsi="仿宋_GB2312" w:eastAsia="仿宋_GB2312" w:cs="仿宋_GB2312"/>
                <w:color w:val="000000"/>
                <w:sz w:val="20"/>
                <w:szCs w:val="20"/>
                <w:lang w:val="en-US" w:eastAsia="zh-CN" w:bidi="ar-SA"/>
              </w:rPr>
            </w:pP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pPr>
              <w:spacing w:line="240" w:lineRule="exact"/>
              <w:jc w:val="left"/>
              <w:rPr>
                <w:rFonts w:ascii="仿宋_GB2312" w:hAnsi="仿宋_GB2312" w:eastAsia="仿宋_GB2312" w:cs="仿宋_GB2312"/>
                <w:color w:val="000000"/>
                <w:sz w:val="20"/>
                <w:szCs w:val="20"/>
              </w:rPr>
            </w:pPr>
          </w:p>
        </w:tc>
        <w:tc>
          <w:tcPr>
            <w:tcW w:w="1080" w:type="dxa"/>
            <w:vMerge w:val="continue"/>
            <w:tcBorders>
              <w:top w:val="single" w:color="auto" w:sz="4" w:space="0"/>
              <w:left w:val="nil"/>
              <w:bottom w:val="single" w:color="auto" w:sz="4" w:space="0"/>
              <w:right w:val="single" w:color="auto" w:sz="4" w:space="0"/>
            </w:tcBorders>
            <w:noWrap/>
            <w:vAlign w:val="center"/>
          </w:tcPr>
          <w:p>
            <w:pPr>
              <w:spacing w:line="240" w:lineRule="exact"/>
              <w:jc w:val="left"/>
              <w:rPr>
                <w:rFonts w:ascii="仿宋_GB2312" w:hAnsi="仿宋_GB2312" w:eastAsia="仿宋_GB2312" w:cs="仿宋_GB2312"/>
                <w:color w:val="000000"/>
                <w:sz w:val="20"/>
                <w:szCs w:val="20"/>
              </w:rPr>
            </w:pPr>
          </w:p>
        </w:tc>
        <w:tc>
          <w:tcPr>
            <w:tcW w:w="1034" w:type="dxa"/>
            <w:tcBorders>
              <w:top w:val="nil"/>
              <w:left w:val="nil"/>
              <w:right w:val="single" w:color="auto" w:sz="4" w:space="0"/>
            </w:tcBorders>
            <w:noWrap/>
            <w:vAlign w:val="center"/>
          </w:tcPr>
          <w:p>
            <w:pPr>
              <w:widowControl/>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质量指标</w:t>
            </w:r>
          </w:p>
        </w:tc>
        <w:tc>
          <w:tcPr>
            <w:tcW w:w="1270" w:type="dxa"/>
            <w:tcBorders>
              <w:top w:val="nil"/>
              <w:left w:val="nil"/>
              <w:bottom w:val="single" w:color="auto" w:sz="4" w:space="0"/>
              <w:right w:val="single" w:color="auto" w:sz="4" w:space="0"/>
            </w:tcBorders>
            <w:noWrap/>
            <w:vAlign w:val="center"/>
          </w:tcPr>
          <w:p>
            <w:pPr>
              <w:widowControl/>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做好观测站相关工作, 准确掌握观测站观测水域相关数据</w:t>
            </w:r>
          </w:p>
        </w:tc>
        <w:tc>
          <w:tcPr>
            <w:tcW w:w="1311" w:type="dxa"/>
            <w:tcBorders>
              <w:top w:val="nil"/>
              <w:left w:val="nil"/>
              <w:bottom w:val="single" w:color="auto" w:sz="4" w:space="0"/>
              <w:right w:val="single" w:color="auto" w:sz="4" w:space="0"/>
            </w:tcBorders>
            <w:noWrap/>
            <w:vAlign w:val="center"/>
          </w:tcPr>
          <w:p>
            <w:pPr>
              <w:widowControl/>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≥95%</w:t>
            </w:r>
          </w:p>
        </w:tc>
        <w:tc>
          <w:tcPr>
            <w:tcW w:w="1208" w:type="dxa"/>
            <w:tcBorders>
              <w:top w:val="nil"/>
              <w:left w:val="nil"/>
              <w:bottom w:val="single" w:color="auto" w:sz="4" w:space="0"/>
              <w:right w:val="single" w:color="auto" w:sz="4" w:space="0"/>
            </w:tcBorders>
            <w:noWrap/>
            <w:vAlign w:val="center"/>
          </w:tcPr>
          <w:p>
            <w:pPr>
              <w:widowControl/>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≥95%</w:t>
            </w:r>
          </w:p>
        </w:tc>
        <w:tc>
          <w:tcPr>
            <w:tcW w:w="777" w:type="dxa"/>
            <w:tcBorders>
              <w:top w:val="nil"/>
              <w:left w:val="nil"/>
              <w:bottom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5</w:t>
            </w:r>
          </w:p>
        </w:tc>
        <w:tc>
          <w:tcPr>
            <w:tcW w:w="873" w:type="dxa"/>
            <w:tcBorders>
              <w:top w:val="nil"/>
              <w:left w:val="nil"/>
              <w:bottom w:val="single" w:color="auto" w:sz="4" w:space="0"/>
              <w:right w:val="single" w:color="auto" w:sz="4" w:space="0"/>
            </w:tcBorders>
            <w:noWrap/>
            <w:vAlign w:val="center"/>
          </w:tcPr>
          <w:p>
            <w:pPr>
              <w:widowControl/>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5</w:t>
            </w:r>
          </w:p>
        </w:tc>
        <w:tc>
          <w:tcPr>
            <w:tcW w:w="1446" w:type="dxa"/>
            <w:tcBorders>
              <w:top w:val="nil"/>
              <w:left w:val="nil"/>
              <w:bottom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pPr>
              <w:spacing w:line="240" w:lineRule="exact"/>
              <w:jc w:val="left"/>
              <w:rPr>
                <w:rFonts w:ascii="仿宋_GB2312" w:hAnsi="仿宋_GB2312" w:eastAsia="仿宋_GB2312" w:cs="仿宋_GB2312"/>
                <w:color w:val="000000"/>
                <w:sz w:val="20"/>
                <w:szCs w:val="20"/>
              </w:rPr>
            </w:pPr>
          </w:p>
        </w:tc>
        <w:tc>
          <w:tcPr>
            <w:tcW w:w="1080" w:type="dxa"/>
            <w:vMerge w:val="continue"/>
            <w:tcBorders>
              <w:top w:val="single" w:color="auto" w:sz="4" w:space="0"/>
              <w:left w:val="nil"/>
              <w:bottom w:val="single" w:color="auto" w:sz="4" w:space="0"/>
              <w:right w:val="single" w:color="auto" w:sz="4" w:space="0"/>
            </w:tcBorders>
            <w:noWrap/>
            <w:vAlign w:val="center"/>
          </w:tcPr>
          <w:p>
            <w:pPr>
              <w:spacing w:line="240" w:lineRule="exact"/>
              <w:jc w:val="left"/>
              <w:rPr>
                <w:rFonts w:ascii="仿宋_GB2312" w:hAnsi="仿宋_GB2312" w:eastAsia="仿宋_GB2312" w:cs="仿宋_GB2312"/>
                <w:color w:val="000000"/>
                <w:sz w:val="20"/>
                <w:szCs w:val="20"/>
              </w:rPr>
            </w:pPr>
          </w:p>
        </w:tc>
        <w:tc>
          <w:tcPr>
            <w:tcW w:w="103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时效指标</w:t>
            </w:r>
          </w:p>
        </w:tc>
        <w:tc>
          <w:tcPr>
            <w:tcW w:w="1270" w:type="dxa"/>
            <w:tcBorders>
              <w:top w:val="nil"/>
              <w:left w:val="nil"/>
              <w:bottom w:val="single" w:color="auto" w:sz="4" w:space="0"/>
              <w:right w:val="single" w:color="auto" w:sz="4" w:space="0"/>
            </w:tcBorders>
            <w:noWrap/>
            <w:vAlign w:val="center"/>
          </w:tcPr>
          <w:p>
            <w:pPr>
              <w:widowControl/>
              <w:spacing w:line="240" w:lineRule="exact"/>
              <w:jc w:val="center"/>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年内完成预期目标</w:t>
            </w:r>
          </w:p>
        </w:tc>
        <w:tc>
          <w:tcPr>
            <w:tcW w:w="1311" w:type="dxa"/>
            <w:tcBorders>
              <w:top w:val="nil"/>
              <w:left w:val="nil"/>
              <w:bottom w:val="single" w:color="auto" w:sz="4" w:space="0"/>
              <w:right w:val="single" w:color="auto" w:sz="4" w:space="0"/>
            </w:tcBorders>
            <w:noWrap/>
            <w:vAlign w:val="center"/>
          </w:tcPr>
          <w:p>
            <w:pPr>
              <w:widowControl/>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≥95%</w:t>
            </w:r>
          </w:p>
        </w:tc>
        <w:tc>
          <w:tcPr>
            <w:tcW w:w="1208" w:type="dxa"/>
            <w:tcBorders>
              <w:top w:val="nil"/>
              <w:left w:val="nil"/>
              <w:bottom w:val="single" w:color="auto" w:sz="4" w:space="0"/>
              <w:right w:val="single" w:color="auto" w:sz="4" w:space="0"/>
            </w:tcBorders>
            <w:noWrap/>
            <w:vAlign w:val="center"/>
          </w:tcPr>
          <w:p>
            <w:pPr>
              <w:widowControl/>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lang w:val="en-US" w:eastAsia="zh-CN"/>
              </w:rPr>
              <w:t>100</w:t>
            </w:r>
            <w:r>
              <w:rPr>
                <w:rFonts w:hint="eastAsia" w:ascii="仿宋_GB2312" w:hAnsi="仿宋_GB2312" w:eastAsia="仿宋_GB2312" w:cs="仿宋_GB2312"/>
                <w:color w:val="000000"/>
                <w:sz w:val="20"/>
                <w:szCs w:val="20"/>
              </w:rPr>
              <w:t>%</w:t>
            </w:r>
          </w:p>
        </w:tc>
        <w:tc>
          <w:tcPr>
            <w:tcW w:w="777" w:type="dxa"/>
            <w:tcBorders>
              <w:top w:val="nil"/>
              <w:left w:val="nil"/>
              <w:bottom w:val="single" w:color="auto" w:sz="4" w:space="0"/>
              <w:right w:val="single" w:color="auto" w:sz="4" w:space="0"/>
            </w:tcBorders>
            <w:noWrap/>
            <w:vAlign w:val="center"/>
          </w:tcPr>
          <w:p>
            <w:pPr>
              <w:widowControl/>
              <w:spacing w:line="240" w:lineRule="exact"/>
              <w:jc w:val="center"/>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5</w:t>
            </w:r>
          </w:p>
        </w:tc>
        <w:tc>
          <w:tcPr>
            <w:tcW w:w="873" w:type="dxa"/>
            <w:tcBorders>
              <w:top w:val="nil"/>
              <w:left w:val="nil"/>
              <w:bottom w:val="single" w:color="auto" w:sz="4" w:space="0"/>
              <w:right w:val="single" w:color="auto" w:sz="4" w:space="0"/>
            </w:tcBorders>
            <w:noWrap/>
            <w:vAlign w:val="center"/>
          </w:tcPr>
          <w:p>
            <w:pPr>
              <w:widowControl/>
              <w:spacing w:line="240" w:lineRule="exact"/>
              <w:jc w:val="center"/>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5</w:t>
            </w:r>
          </w:p>
        </w:tc>
        <w:tc>
          <w:tcPr>
            <w:tcW w:w="1446" w:type="dxa"/>
            <w:tcBorders>
              <w:top w:val="nil"/>
              <w:left w:val="nil"/>
              <w:bottom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pPr>
              <w:spacing w:line="240" w:lineRule="exact"/>
              <w:jc w:val="left"/>
              <w:rPr>
                <w:rFonts w:ascii="仿宋_GB2312" w:hAnsi="仿宋_GB2312" w:eastAsia="仿宋_GB2312" w:cs="仿宋_GB2312"/>
                <w:color w:val="000000"/>
                <w:sz w:val="20"/>
                <w:szCs w:val="20"/>
              </w:rPr>
            </w:pPr>
          </w:p>
        </w:tc>
        <w:tc>
          <w:tcPr>
            <w:tcW w:w="1080" w:type="dxa"/>
            <w:vMerge w:val="continue"/>
            <w:tcBorders>
              <w:top w:val="single" w:color="auto" w:sz="4" w:space="0"/>
              <w:left w:val="nil"/>
              <w:bottom w:val="single" w:color="auto" w:sz="4" w:space="0"/>
              <w:right w:val="single" w:color="auto" w:sz="4" w:space="0"/>
            </w:tcBorders>
            <w:noWrap/>
            <w:vAlign w:val="center"/>
          </w:tcPr>
          <w:p>
            <w:pPr>
              <w:spacing w:line="240" w:lineRule="exact"/>
              <w:jc w:val="left"/>
              <w:rPr>
                <w:rFonts w:ascii="仿宋_GB2312" w:hAnsi="仿宋_GB2312" w:eastAsia="仿宋_GB2312" w:cs="仿宋_GB2312"/>
                <w:color w:val="000000"/>
                <w:sz w:val="20"/>
                <w:szCs w:val="20"/>
              </w:rPr>
            </w:pPr>
          </w:p>
        </w:tc>
        <w:tc>
          <w:tcPr>
            <w:tcW w:w="1034" w:type="dxa"/>
            <w:vMerge w:val="restart"/>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成本指标</w:t>
            </w:r>
          </w:p>
        </w:tc>
        <w:tc>
          <w:tcPr>
            <w:tcW w:w="127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压缩巡护成本，提高巡护效率</w:t>
            </w:r>
          </w:p>
        </w:tc>
        <w:tc>
          <w:tcPr>
            <w:tcW w:w="1311"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成本控制在预算内</w:t>
            </w:r>
          </w:p>
        </w:tc>
        <w:tc>
          <w:tcPr>
            <w:tcW w:w="1208"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成本控制在预算内</w:t>
            </w:r>
          </w:p>
        </w:tc>
        <w:tc>
          <w:tcPr>
            <w:tcW w:w="77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5</w:t>
            </w:r>
          </w:p>
        </w:tc>
        <w:tc>
          <w:tcPr>
            <w:tcW w:w="87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5</w:t>
            </w:r>
          </w:p>
        </w:tc>
        <w:tc>
          <w:tcPr>
            <w:tcW w:w="1446"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pPr>
              <w:spacing w:line="240" w:lineRule="exact"/>
              <w:jc w:val="left"/>
              <w:rPr>
                <w:rFonts w:ascii="仿宋_GB2312" w:hAnsi="仿宋_GB2312" w:eastAsia="仿宋_GB2312" w:cs="仿宋_GB2312"/>
                <w:color w:val="000000"/>
                <w:sz w:val="20"/>
                <w:szCs w:val="20"/>
              </w:rPr>
            </w:pPr>
          </w:p>
        </w:tc>
        <w:tc>
          <w:tcPr>
            <w:tcW w:w="1080" w:type="dxa"/>
            <w:vMerge w:val="continue"/>
            <w:tcBorders>
              <w:top w:val="single" w:color="auto" w:sz="4" w:space="0"/>
              <w:left w:val="nil"/>
              <w:bottom w:val="single" w:color="auto" w:sz="4" w:space="0"/>
              <w:right w:val="single" w:color="auto" w:sz="4" w:space="0"/>
            </w:tcBorders>
            <w:noWrap/>
            <w:vAlign w:val="center"/>
          </w:tcPr>
          <w:p>
            <w:pPr>
              <w:spacing w:line="240" w:lineRule="exact"/>
              <w:jc w:val="left"/>
              <w:rPr>
                <w:rFonts w:ascii="仿宋_GB2312" w:hAnsi="仿宋_GB2312" w:eastAsia="仿宋_GB2312" w:cs="仿宋_GB2312"/>
                <w:color w:val="000000"/>
                <w:sz w:val="20"/>
                <w:szCs w:val="20"/>
              </w:rPr>
            </w:pPr>
          </w:p>
        </w:tc>
        <w:tc>
          <w:tcPr>
            <w:tcW w:w="1034" w:type="dxa"/>
            <w:vMerge w:val="continue"/>
            <w:tcBorders>
              <w:top w:val="single" w:color="auto" w:sz="4" w:space="0"/>
              <w:left w:val="single" w:color="auto" w:sz="4" w:space="0"/>
              <w:bottom w:val="single" w:color="auto" w:sz="4" w:space="0"/>
              <w:right w:val="single" w:color="auto" w:sz="4" w:space="0"/>
            </w:tcBorders>
            <w:noWrap/>
            <w:vAlign w:val="center"/>
          </w:tcPr>
          <w:p>
            <w:pPr>
              <w:spacing w:line="240" w:lineRule="exact"/>
              <w:jc w:val="left"/>
              <w:rPr>
                <w:rFonts w:ascii="仿宋_GB2312" w:hAnsi="仿宋_GB2312" w:eastAsia="仿宋_GB2312" w:cs="仿宋_GB2312"/>
                <w:color w:val="000000"/>
                <w:sz w:val="20"/>
                <w:szCs w:val="20"/>
              </w:rPr>
            </w:pPr>
          </w:p>
        </w:tc>
        <w:tc>
          <w:tcPr>
            <w:tcW w:w="127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对社会发展造成的负面影响</w:t>
            </w:r>
          </w:p>
        </w:tc>
        <w:tc>
          <w:tcPr>
            <w:tcW w:w="1311"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无负面影响</w:t>
            </w:r>
          </w:p>
        </w:tc>
        <w:tc>
          <w:tcPr>
            <w:tcW w:w="1208"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无负面影响</w:t>
            </w:r>
          </w:p>
        </w:tc>
        <w:tc>
          <w:tcPr>
            <w:tcW w:w="77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5</w:t>
            </w:r>
          </w:p>
        </w:tc>
        <w:tc>
          <w:tcPr>
            <w:tcW w:w="87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5</w:t>
            </w:r>
          </w:p>
        </w:tc>
        <w:tc>
          <w:tcPr>
            <w:tcW w:w="1446"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pPr>
              <w:spacing w:line="240" w:lineRule="exact"/>
              <w:jc w:val="left"/>
              <w:rPr>
                <w:rFonts w:ascii="仿宋_GB2312" w:hAnsi="仿宋_GB2312" w:eastAsia="仿宋_GB2312" w:cs="仿宋_GB2312"/>
                <w:color w:val="000000"/>
                <w:sz w:val="20"/>
                <w:szCs w:val="20"/>
              </w:rPr>
            </w:pPr>
          </w:p>
        </w:tc>
        <w:tc>
          <w:tcPr>
            <w:tcW w:w="1080" w:type="dxa"/>
            <w:vMerge w:val="continue"/>
            <w:tcBorders>
              <w:top w:val="single" w:color="auto" w:sz="4" w:space="0"/>
              <w:left w:val="nil"/>
              <w:bottom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p>
        </w:tc>
        <w:tc>
          <w:tcPr>
            <w:tcW w:w="1034"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p>
        </w:tc>
        <w:tc>
          <w:tcPr>
            <w:tcW w:w="127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对自然生态环境可能造成的负面影响</w:t>
            </w:r>
          </w:p>
        </w:tc>
        <w:tc>
          <w:tcPr>
            <w:tcW w:w="1311"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无负面影响</w:t>
            </w:r>
          </w:p>
        </w:tc>
        <w:tc>
          <w:tcPr>
            <w:tcW w:w="1208"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无负面影响</w:t>
            </w:r>
          </w:p>
        </w:tc>
        <w:tc>
          <w:tcPr>
            <w:tcW w:w="77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5</w:t>
            </w:r>
          </w:p>
        </w:tc>
        <w:tc>
          <w:tcPr>
            <w:tcW w:w="87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5</w:t>
            </w:r>
          </w:p>
        </w:tc>
        <w:tc>
          <w:tcPr>
            <w:tcW w:w="1446"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pPr>
              <w:spacing w:line="240" w:lineRule="exact"/>
              <w:jc w:val="left"/>
              <w:rPr>
                <w:rFonts w:ascii="仿宋_GB2312" w:hAnsi="仿宋_GB2312" w:eastAsia="仿宋_GB2312" w:cs="仿宋_GB2312"/>
                <w:color w:val="000000"/>
                <w:sz w:val="20"/>
                <w:szCs w:val="20"/>
              </w:rPr>
            </w:pPr>
          </w:p>
        </w:tc>
        <w:tc>
          <w:tcPr>
            <w:tcW w:w="1080" w:type="dxa"/>
            <w:vMerge w:val="restart"/>
            <w:tcBorders>
              <w:top w:val="single" w:color="auto" w:sz="4" w:space="0"/>
              <w:left w:val="nil"/>
              <w:bottom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效益指标</w:t>
            </w:r>
          </w:p>
          <w:p>
            <w:pPr>
              <w:widowControl/>
              <w:spacing w:line="240" w:lineRule="exact"/>
              <w:jc w:val="left"/>
              <w:rPr>
                <w:rFonts w:ascii="仿宋_GB2312" w:hAnsi="仿宋_GB2312" w:eastAsia="仿宋_GB2312" w:cs="仿宋_GB2312"/>
                <w:color w:val="000000"/>
                <w:sz w:val="20"/>
                <w:szCs w:val="20"/>
              </w:rPr>
            </w:pPr>
          </w:p>
          <w:p>
            <w:pPr>
              <w:widowControl/>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（30分）</w:t>
            </w:r>
          </w:p>
          <w:p>
            <w:pPr>
              <w:widowControl/>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034"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经济效</w:t>
            </w:r>
          </w:p>
          <w:p>
            <w:pPr>
              <w:widowControl/>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益指标</w:t>
            </w:r>
          </w:p>
        </w:tc>
        <w:tc>
          <w:tcPr>
            <w:tcW w:w="127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无</w:t>
            </w:r>
          </w:p>
        </w:tc>
        <w:tc>
          <w:tcPr>
            <w:tcW w:w="1311"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无</w:t>
            </w:r>
          </w:p>
        </w:tc>
        <w:tc>
          <w:tcPr>
            <w:tcW w:w="1208"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仿宋_GB2312" w:eastAsia="仿宋_GB2312" w:cs="仿宋_GB2312"/>
                <w:color w:val="000000"/>
                <w:sz w:val="20"/>
                <w:szCs w:val="20"/>
              </w:rPr>
            </w:pPr>
          </w:p>
        </w:tc>
        <w:tc>
          <w:tcPr>
            <w:tcW w:w="77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87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446"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pPr>
              <w:spacing w:line="240" w:lineRule="exact"/>
              <w:jc w:val="left"/>
              <w:rPr>
                <w:rFonts w:ascii="仿宋_GB2312" w:hAnsi="仿宋_GB2312" w:eastAsia="仿宋_GB2312" w:cs="仿宋_GB2312"/>
                <w:color w:val="000000"/>
                <w:sz w:val="20"/>
                <w:szCs w:val="20"/>
              </w:rPr>
            </w:pPr>
          </w:p>
        </w:tc>
        <w:tc>
          <w:tcPr>
            <w:tcW w:w="1080" w:type="dxa"/>
            <w:vMerge w:val="continue"/>
            <w:tcBorders>
              <w:top w:val="single" w:color="auto" w:sz="4" w:space="0"/>
              <w:left w:val="nil"/>
              <w:bottom w:val="single" w:color="auto" w:sz="4" w:space="0"/>
              <w:right w:val="single" w:color="auto" w:sz="4" w:space="0"/>
            </w:tcBorders>
            <w:noWrap/>
            <w:vAlign w:val="center"/>
          </w:tcPr>
          <w:p>
            <w:pPr>
              <w:spacing w:line="240" w:lineRule="exact"/>
              <w:jc w:val="left"/>
              <w:rPr>
                <w:rFonts w:ascii="仿宋_GB2312" w:hAnsi="仿宋_GB2312" w:eastAsia="仿宋_GB2312" w:cs="仿宋_GB2312"/>
                <w:color w:val="000000"/>
                <w:sz w:val="20"/>
                <w:szCs w:val="20"/>
              </w:rPr>
            </w:pPr>
          </w:p>
        </w:tc>
        <w:tc>
          <w:tcPr>
            <w:tcW w:w="1034"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社会效</w:t>
            </w:r>
          </w:p>
          <w:p>
            <w:pPr>
              <w:widowControl/>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益指标</w:t>
            </w:r>
          </w:p>
        </w:tc>
        <w:tc>
          <w:tcPr>
            <w:tcW w:w="1270"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保持生态保护的社会高参与度和认可度</w:t>
            </w:r>
          </w:p>
        </w:tc>
        <w:tc>
          <w:tcPr>
            <w:tcW w:w="1311"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≥90%</w:t>
            </w:r>
          </w:p>
        </w:tc>
        <w:tc>
          <w:tcPr>
            <w:tcW w:w="1208"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≥90%</w:t>
            </w:r>
          </w:p>
        </w:tc>
        <w:tc>
          <w:tcPr>
            <w:tcW w:w="777" w:type="dxa"/>
            <w:tcBorders>
              <w:top w:val="single" w:color="auto" w:sz="4" w:space="0"/>
              <w:left w:val="nil"/>
              <w:bottom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10</w:t>
            </w:r>
          </w:p>
        </w:tc>
        <w:tc>
          <w:tcPr>
            <w:tcW w:w="873" w:type="dxa"/>
            <w:tcBorders>
              <w:top w:val="single" w:color="auto" w:sz="4" w:space="0"/>
              <w:left w:val="nil"/>
              <w:bottom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10</w:t>
            </w:r>
          </w:p>
        </w:tc>
        <w:tc>
          <w:tcPr>
            <w:tcW w:w="1446" w:type="dxa"/>
            <w:tcBorders>
              <w:top w:val="single" w:color="auto" w:sz="4" w:space="0"/>
              <w:left w:val="nil"/>
              <w:bottom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pPr>
              <w:spacing w:line="240" w:lineRule="exact"/>
              <w:jc w:val="left"/>
              <w:rPr>
                <w:rFonts w:ascii="仿宋_GB2312" w:hAnsi="仿宋_GB2312" w:eastAsia="仿宋_GB2312" w:cs="仿宋_GB2312"/>
                <w:color w:val="000000"/>
                <w:sz w:val="20"/>
                <w:szCs w:val="20"/>
              </w:rPr>
            </w:pPr>
          </w:p>
        </w:tc>
        <w:tc>
          <w:tcPr>
            <w:tcW w:w="1080" w:type="dxa"/>
            <w:vMerge w:val="continue"/>
            <w:tcBorders>
              <w:top w:val="single" w:color="auto" w:sz="4" w:space="0"/>
              <w:left w:val="nil"/>
              <w:bottom w:val="single" w:color="auto" w:sz="4" w:space="0"/>
              <w:right w:val="single" w:color="auto" w:sz="4" w:space="0"/>
            </w:tcBorders>
            <w:noWrap/>
            <w:vAlign w:val="center"/>
          </w:tcPr>
          <w:p>
            <w:pPr>
              <w:spacing w:line="240" w:lineRule="exact"/>
              <w:jc w:val="left"/>
              <w:rPr>
                <w:rFonts w:ascii="仿宋_GB2312" w:hAnsi="仿宋_GB2312" w:eastAsia="仿宋_GB2312" w:cs="仿宋_GB2312"/>
                <w:color w:val="000000"/>
                <w:sz w:val="20"/>
                <w:szCs w:val="20"/>
              </w:rPr>
            </w:pPr>
          </w:p>
        </w:tc>
        <w:tc>
          <w:tcPr>
            <w:tcW w:w="1034"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生态效</w:t>
            </w:r>
          </w:p>
          <w:p>
            <w:pPr>
              <w:widowControl/>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益指标</w:t>
            </w:r>
          </w:p>
        </w:tc>
        <w:tc>
          <w:tcPr>
            <w:tcW w:w="1270" w:type="dxa"/>
            <w:tcBorders>
              <w:top w:val="nil"/>
              <w:left w:val="nil"/>
              <w:bottom w:val="single" w:color="auto" w:sz="4" w:space="0"/>
              <w:right w:val="single" w:color="auto" w:sz="4" w:space="0"/>
            </w:tcBorders>
            <w:noWrap/>
            <w:vAlign w:val="center"/>
          </w:tcPr>
          <w:p>
            <w:pPr>
              <w:widowControl/>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优化江豚等水生生物的生存环境，洞庭湖生态环境向好发展。</w:t>
            </w:r>
          </w:p>
        </w:tc>
        <w:tc>
          <w:tcPr>
            <w:tcW w:w="1311" w:type="dxa"/>
            <w:tcBorders>
              <w:top w:val="nil"/>
              <w:left w:val="nil"/>
              <w:bottom w:val="single" w:color="auto" w:sz="4" w:space="0"/>
              <w:right w:val="single" w:color="auto" w:sz="4" w:space="0"/>
            </w:tcBorders>
            <w:noWrap/>
            <w:vAlign w:val="center"/>
          </w:tcPr>
          <w:p>
            <w:pPr>
              <w:widowControl/>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保护区水生生物栖息环境有所改善</w:t>
            </w:r>
          </w:p>
        </w:tc>
        <w:tc>
          <w:tcPr>
            <w:tcW w:w="1208" w:type="dxa"/>
            <w:tcBorders>
              <w:top w:val="nil"/>
              <w:left w:val="nil"/>
              <w:bottom w:val="single" w:color="auto" w:sz="4" w:space="0"/>
              <w:right w:val="single" w:color="auto" w:sz="4" w:space="0"/>
            </w:tcBorders>
            <w:noWrap/>
            <w:vAlign w:val="center"/>
          </w:tcPr>
          <w:p>
            <w:pPr>
              <w:widowControl/>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有所改善</w:t>
            </w:r>
          </w:p>
        </w:tc>
        <w:tc>
          <w:tcPr>
            <w:tcW w:w="777" w:type="dxa"/>
            <w:tcBorders>
              <w:top w:val="nil"/>
              <w:left w:val="nil"/>
              <w:bottom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10</w:t>
            </w:r>
          </w:p>
        </w:tc>
        <w:tc>
          <w:tcPr>
            <w:tcW w:w="873" w:type="dxa"/>
            <w:tcBorders>
              <w:top w:val="nil"/>
              <w:left w:val="nil"/>
              <w:bottom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10</w:t>
            </w:r>
          </w:p>
        </w:tc>
        <w:tc>
          <w:tcPr>
            <w:tcW w:w="1446" w:type="dxa"/>
            <w:tcBorders>
              <w:top w:val="nil"/>
              <w:left w:val="nil"/>
              <w:bottom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trHeight w:val="290" w:hRule="atLeast"/>
          <w:jc w:val="center"/>
        </w:trPr>
        <w:tc>
          <w:tcPr>
            <w:tcW w:w="1080" w:type="dxa"/>
            <w:vMerge w:val="continue"/>
            <w:tcBorders>
              <w:left w:val="single" w:color="auto" w:sz="4" w:space="0"/>
              <w:right w:val="single" w:color="auto" w:sz="4" w:space="0"/>
            </w:tcBorders>
            <w:noWrap/>
            <w:vAlign w:val="center"/>
          </w:tcPr>
          <w:p>
            <w:pPr>
              <w:widowControl/>
              <w:spacing w:line="240" w:lineRule="exact"/>
              <w:jc w:val="center"/>
              <w:rPr>
                <w:rFonts w:ascii="仿宋_GB2312" w:hAnsi="仿宋_GB2312" w:eastAsia="仿宋_GB2312" w:cs="仿宋_GB2312"/>
                <w:color w:val="000000"/>
                <w:sz w:val="20"/>
                <w:szCs w:val="20"/>
              </w:rPr>
            </w:pPr>
          </w:p>
        </w:tc>
        <w:tc>
          <w:tcPr>
            <w:tcW w:w="1080" w:type="dxa"/>
            <w:vMerge w:val="continue"/>
            <w:tcBorders>
              <w:top w:val="single" w:color="auto" w:sz="4" w:space="0"/>
              <w:left w:val="nil"/>
              <w:bottom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p>
        </w:tc>
        <w:tc>
          <w:tcPr>
            <w:tcW w:w="103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可持续影响指标</w:t>
            </w:r>
          </w:p>
        </w:tc>
        <w:tc>
          <w:tcPr>
            <w:tcW w:w="127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实现长江江豚种群可持续发展</w:t>
            </w:r>
          </w:p>
        </w:tc>
        <w:tc>
          <w:tcPr>
            <w:tcW w:w="1311"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力争江豚种群数量稳中有升</w:t>
            </w:r>
          </w:p>
        </w:tc>
        <w:tc>
          <w:tcPr>
            <w:tcW w:w="1208"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稳中有升</w:t>
            </w:r>
          </w:p>
        </w:tc>
        <w:tc>
          <w:tcPr>
            <w:tcW w:w="77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10</w:t>
            </w:r>
          </w:p>
        </w:tc>
        <w:tc>
          <w:tcPr>
            <w:tcW w:w="87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10</w:t>
            </w:r>
          </w:p>
        </w:tc>
        <w:tc>
          <w:tcPr>
            <w:tcW w:w="1446"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trHeight w:val="330" w:hRule="atLeast"/>
          <w:jc w:val="center"/>
        </w:trPr>
        <w:tc>
          <w:tcPr>
            <w:tcW w:w="1080" w:type="dxa"/>
            <w:vMerge w:val="continue"/>
            <w:tcBorders>
              <w:left w:val="single" w:color="auto" w:sz="4" w:space="0"/>
              <w:right w:val="single" w:color="auto" w:sz="4" w:space="0"/>
            </w:tcBorders>
            <w:noWrap/>
            <w:vAlign w:val="center"/>
          </w:tcPr>
          <w:p>
            <w:pPr>
              <w:spacing w:line="240" w:lineRule="exact"/>
              <w:jc w:val="left"/>
              <w:rPr>
                <w:rFonts w:ascii="仿宋_GB2312" w:hAnsi="仿宋_GB2312" w:eastAsia="仿宋_GB2312" w:cs="仿宋_GB2312"/>
                <w:color w:val="000000"/>
                <w:sz w:val="20"/>
                <w:szCs w:val="20"/>
              </w:rPr>
            </w:pPr>
          </w:p>
        </w:tc>
        <w:tc>
          <w:tcPr>
            <w:tcW w:w="1080" w:type="dxa"/>
            <w:tcBorders>
              <w:top w:val="single" w:color="auto" w:sz="4" w:space="0"/>
              <w:left w:val="nil"/>
              <w:bottom w:val="nil"/>
              <w:right w:val="single" w:color="auto" w:sz="4" w:space="0"/>
            </w:tcBorders>
            <w:noWrap/>
            <w:vAlign w:val="center"/>
          </w:tcPr>
          <w:p>
            <w:pPr>
              <w:widowControl/>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满意度</w:t>
            </w:r>
          </w:p>
          <w:p>
            <w:pPr>
              <w:widowControl/>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指标</w:t>
            </w:r>
          </w:p>
          <w:p>
            <w:pPr>
              <w:widowControl/>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（10分）</w:t>
            </w:r>
          </w:p>
        </w:tc>
        <w:tc>
          <w:tcPr>
            <w:tcW w:w="1034"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服务对象满意度指标</w:t>
            </w:r>
          </w:p>
        </w:tc>
        <w:tc>
          <w:tcPr>
            <w:tcW w:w="1270" w:type="dxa"/>
            <w:tcBorders>
              <w:top w:val="nil"/>
              <w:left w:val="nil"/>
              <w:bottom w:val="single" w:color="auto" w:sz="4" w:space="0"/>
              <w:right w:val="single" w:color="auto" w:sz="4" w:space="0"/>
            </w:tcBorders>
            <w:noWrap/>
            <w:vAlign w:val="center"/>
          </w:tcPr>
          <w:p>
            <w:pPr>
              <w:widowControl/>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群众满意度</w:t>
            </w:r>
          </w:p>
        </w:tc>
        <w:tc>
          <w:tcPr>
            <w:tcW w:w="1311" w:type="dxa"/>
            <w:tcBorders>
              <w:top w:val="nil"/>
              <w:left w:val="nil"/>
              <w:bottom w:val="single" w:color="auto" w:sz="4" w:space="0"/>
              <w:right w:val="single" w:color="auto" w:sz="4" w:space="0"/>
            </w:tcBorders>
            <w:noWrap/>
            <w:vAlign w:val="center"/>
          </w:tcPr>
          <w:p>
            <w:pPr>
              <w:widowControl/>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w:t>
            </w:r>
            <w:r>
              <w:rPr>
                <w:rFonts w:ascii="仿宋_GB2312" w:hAnsi="仿宋_GB2312" w:eastAsia="仿宋_GB2312" w:cs="仿宋_GB2312"/>
                <w:color w:val="000000"/>
                <w:sz w:val="20"/>
                <w:szCs w:val="20"/>
              </w:rPr>
              <w:t>90%</w:t>
            </w:r>
          </w:p>
        </w:tc>
        <w:tc>
          <w:tcPr>
            <w:tcW w:w="1208" w:type="dxa"/>
            <w:tcBorders>
              <w:top w:val="nil"/>
              <w:left w:val="nil"/>
              <w:bottom w:val="single" w:color="auto" w:sz="4" w:space="0"/>
              <w:right w:val="single" w:color="auto" w:sz="4" w:space="0"/>
            </w:tcBorders>
            <w:noWrap/>
            <w:vAlign w:val="center"/>
          </w:tcPr>
          <w:p>
            <w:pPr>
              <w:widowControl/>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w:t>
            </w:r>
            <w:r>
              <w:rPr>
                <w:rFonts w:ascii="仿宋_GB2312" w:hAnsi="仿宋_GB2312" w:eastAsia="仿宋_GB2312" w:cs="仿宋_GB2312"/>
                <w:color w:val="000000"/>
                <w:sz w:val="20"/>
                <w:szCs w:val="20"/>
              </w:rPr>
              <w:t>90%</w:t>
            </w:r>
          </w:p>
        </w:tc>
        <w:tc>
          <w:tcPr>
            <w:tcW w:w="777" w:type="dxa"/>
            <w:tcBorders>
              <w:top w:val="nil"/>
              <w:left w:val="nil"/>
              <w:bottom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10</w:t>
            </w:r>
          </w:p>
        </w:tc>
        <w:tc>
          <w:tcPr>
            <w:tcW w:w="873" w:type="dxa"/>
            <w:tcBorders>
              <w:top w:val="nil"/>
              <w:left w:val="nil"/>
              <w:bottom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10</w:t>
            </w:r>
          </w:p>
        </w:tc>
        <w:tc>
          <w:tcPr>
            <w:tcW w:w="1446" w:type="dxa"/>
            <w:tcBorders>
              <w:top w:val="nil"/>
              <w:left w:val="nil"/>
              <w:bottom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trHeight w:val="270" w:hRule="atLeast"/>
          <w:jc w:val="center"/>
        </w:trPr>
        <w:tc>
          <w:tcPr>
            <w:tcW w:w="6983" w:type="dxa"/>
            <w:gridSpan w:val="6"/>
            <w:tcBorders>
              <w:top w:val="single" w:color="auto" w:sz="4" w:space="0"/>
              <w:left w:val="single" w:color="auto" w:sz="4" w:space="0"/>
              <w:bottom w:val="single" w:color="auto" w:sz="4" w:space="0"/>
              <w:right w:val="single" w:color="000000" w:sz="4" w:space="0"/>
            </w:tcBorders>
            <w:noWrap/>
            <w:vAlign w:val="center"/>
          </w:tcPr>
          <w:p>
            <w:pPr>
              <w:widowControl/>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总分</w:t>
            </w:r>
          </w:p>
        </w:tc>
        <w:tc>
          <w:tcPr>
            <w:tcW w:w="777" w:type="dxa"/>
            <w:tcBorders>
              <w:top w:val="nil"/>
              <w:left w:val="nil"/>
              <w:bottom w:val="single" w:color="auto" w:sz="4" w:space="0"/>
              <w:right w:val="single" w:color="auto" w:sz="4" w:space="0"/>
            </w:tcBorders>
            <w:noWrap/>
            <w:vAlign w:val="center"/>
          </w:tcPr>
          <w:p>
            <w:pPr>
              <w:widowControl/>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100</w:t>
            </w:r>
          </w:p>
        </w:tc>
        <w:tc>
          <w:tcPr>
            <w:tcW w:w="873" w:type="dxa"/>
            <w:tcBorders>
              <w:top w:val="nil"/>
              <w:left w:val="nil"/>
              <w:bottom w:val="single" w:color="auto" w:sz="4" w:space="0"/>
              <w:right w:val="single" w:color="auto" w:sz="4" w:space="0"/>
            </w:tcBorders>
            <w:noWrap/>
            <w:vAlign w:val="center"/>
          </w:tcPr>
          <w:p>
            <w:pPr>
              <w:widowControl/>
              <w:spacing w:line="240" w:lineRule="exact"/>
              <w:jc w:val="center"/>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99.02</w:t>
            </w:r>
          </w:p>
        </w:tc>
        <w:tc>
          <w:tcPr>
            <w:tcW w:w="1446" w:type="dxa"/>
            <w:tcBorders>
              <w:top w:val="nil"/>
              <w:left w:val="nil"/>
              <w:bottom w:val="single" w:color="auto" w:sz="4" w:space="0"/>
              <w:right w:val="single" w:color="auto" w:sz="4" w:space="0"/>
            </w:tcBorders>
            <w:noWrap/>
            <w:vAlign w:val="center"/>
          </w:tcPr>
          <w:p>
            <w:pPr>
              <w:widowControl/>
              <w:spacing w:line="240" w:lineRule="exact"/>
              <w:jc w:val="left"/>
              <w:rPr>
                <w:rFonts w:hint="default" w:ascii="仿宋_GB2312" w:hAnsi="仿宋_GB2312" w:eastAsia="仿宋_GB2312" w:cs="仿宋_GB2312"/>
                <w:color w:val="000000"/>
                <w:sz w:val="20"/>
                <w:szCs w:val="20"/>
                <w:lang w:val="en-US"/>
              </w:rPr>
            </w:pPr>
          </w:p>
        </w:tc>
      </w:tr>
    </w:tbl>
    <w:p>
      <w:pPr>
        <w:spacing w:line="360" w:lineRule="auto"/>
        <w:rPr>
          <w:rFonts w:hint="eastAsia" w:ascii="Times New Roman" w:hAnsi="Times New Roman" w:eastAsia="仿宋_GB2312"/>
          <w:sz w:val="22"/>
          <w:szCs w:val="22"/>
        </w:rPr>
      </w:pPr>
    </w:p>
    <w:p>
      <w:pPr>
        <w:spacing w:line="360" w:lineRule="auto"/>
        <w:rPr>
          <w:rFonts w:ascii="仿宋_GB2312" w:hAnsi="仿宋_GB2312" w:eastAsia="仿宋_GB2312" w:cs="仿宋_GB2312"/>
          <w:sz w:val="32"/>
          <w:szCs w:val="32"/>
        </w:rPr>
      </w:pPr>
    </w:p>
    <w:p>
      <w:pPr>
        <w:adjustRightInd/>
        <w:spacing w:before="108" w:beforeLines="25" w:after="108" w:afterLines="25" w:line="500" w:lineRule="exact"/>
        <w:ind w:firstLine="0" w:firstLineChars="0"/>
        <w:jc w:val="center"/>
        <w:rPr>
          <w:rFonts w:ascii="方正小标宋简体" w:eastAsia="方正小标宋简体"/>
          <w:kern w:val="0"/>
          <w:sz w:val="36"/>
          <w:szCs w:val="36"/>
          <w:highlight w:val="none"/>
        </w:rPr>
      </w:pPr>
      <w:bookmarkStart w:id="0" w:name="_Hlk73626984"/>
      <w:r>
        <w:rPr>
          <w:rFonts w:ascii="方正小标宋简体" w:eastAsia="方正小标宋简体"/>
          <w:kern w:val="0"/>
          <w:sz w:val="36"/>
          <w:szCs w:val="36"/>
          <w:highlight w:val="none"/>
        </w:rPr>
        <w:t>202</w:t>
      </w:r>
      <w:r>
        <w:rPr>
          <w:rFonts w:hint="eastAsia" w:ascii="方正小标宋简体" w:eastAsia="方正小标宋简体"/>
          <w:kern w:val="0"/>
          <w:sz w:val="36"/>
          <w:szCs w:val="36"/>
          <w:highlight w:val="none"/>
          <w:lang w:val="en-US" w:eastAsia="zh-CN"/>
        </w:rPr>
        <w:t>3</w:t>
      </w:r>
      <w:r>
        <w:rPr>
          <w:rFonts w:ascii="方正小标宋简体" w:eastAsia="方正小标宋简体"/>
          <w:kern w:val="0"/>
          <w:sz w:val="36"/>
          <w:szCs w:val="36"/>
          <w:highlight w:val="none"/>
        </w:rPr>
        <w:t>年度</w:t>
      </w:r>
      <w:r>
        <w:rPr>
          <w:rFonts w:hint="eastAsia" w:ascii="方正小标宋简体" w:eastAsia="方正小标宋简体"/>
          <w:kern w:val="0"/>
          <w:sz w:val="36"/>
          <w:szCs w:val="36"/>
          <w:highlight w:val="none"/>
        </w:rPr>
        <w:t>项目支出</w:t>
      </w:r>
      <w:r>
        <w:rPr>
          <w:rFonts w:ascii="方正小标宋简体" w:eastAsia="方正小标宋简体"/>
          <w:kern w:val="0"/>
          <w:sz w:val="36"/>
          <w:szCs w:val="36"/>
          <w:highlight w:val="none"/>
        </w:rPr>
        <w:t>绩效自评表</w:t>
      </w:r>
      <w:bookmarkEnd w:id="0"/>
    </w:p>
    <w:tbl>
      <w:tblPr>
        <w:tblStyle w:val="7"/>
        <w:tblW w:w="9851" w:type="dxa"/>
        <w:jc w:val="center"/>
        <w:tblLayout w:type="fixed"/>
        <w:tblCellMar>
          <w:top w:w="0" w:type="dxa"/>
          <w:left w:w="108" w:type="dxa"/>
          <w:bottom w:w="0" w:type="dxa"/>
          <w:right w:w="108" w:type="dxa"/>
        </w:tblCellMar>
      </w:tblPr>
      <w:tblGrid>
        <w:gridCol w:w="1158"/>
        <w:gridCol w:w="1050"/>
        <w:gridCol w:w="1031"/>
        <w:gridCol w:w="1275"/>
        <w:gridCol w:w="1219"/>
        <w:gridCol w:w="1219"/>
        <w:gridCol w:w="692"/>
        <w:gridCol w:w="911"/>
        <w:gridCol w:w="1296"/>
      </w:tblGrid>
      <w:tr>
        <w:tblPrEx>
          <w:tblCellMar>
            <w:top w:w="0" w:type="dxa"/>
            <w:left w:w="108" w:type="dxa"/>
            <w:bottom w:w="0" w:type="dxa"/>
            <w:right w:w="108" w:type="dxa"/>
          </w:tblCellMar>
        </w:tblPrEx>
        <w:trPr>
          <w:jc w:val="center"/>
        </w:trPr>
        <w:tc>
          <w:tcPr>
            <w:tcW w:w="115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both"/>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项目支</w:t>
            </w:r>
          </w:p>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both"/>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出名称</w:t>
            </w:r>
          </w:p>
        </w:tc>
        <w:tc>
          <w:tcPr>
            <w:tcW w:w="8693" w:type="dxa"/>
            <w:gridSpan w:val="8"/>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lang w:eastAsia="zh-CN"/>
              </w:rPr>
            </w:pPr>
            <w:r>
              <w:rPr>
                <w:rFonts w:hint="eastAsia" w:ascii="仿宋_GB2312" w:hAnsi="仿宋_GB2312" w:cs="仿宋_GB2312"/>
                <w:sz w:val="20"/>
                <w:szCs w:val="20"/>
                <w:lang w:eastAsia="zh-CN"/>
              </w:rPr>
              <w:t>业务工作经费</w:t>
            </w:r>
          </w:p>
        </w:tc>
      </w:tr>
      <w:tr>
        <w:tblPrEx>
          <w:tblCellMar>
            <w:top w:w="0" w:type="dxa"/>
            <w:left w:w="108" w:type="dxa"/>
            <w:bottom w:w="0" w:type="dxa"/>
            <w:right w:w="108" w:type="dxa"/>
          </w:tblCellMar>
        </w:tblPrEx>
        <w:trPr>
          <w:jc w:val="center"/>
        </w:trPr>
        <w:tc>
          <w:tcPr>
            <w:tcW w:w="1158"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主管部门</w:t>
            </w:r>
          </w:p>
        </w:tc>
        <w:tc>
          <w:tcPr>
            <w:tcW w:w="4575" w:type="dxa"/>
            <w:gridSpan w:val="4"/>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lang w:val="en-US" w:eastAsia="zh-CN"/>
              </w:rPr>
              <w:t>岳阳市农业农村局</w:t>
            </w:r>
          </w:p>
        </w:tc>
        <w:tc>
          <w:tcPr>
            <w:tcW w:w="1219" w:type="dxa"/>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both"/>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实施单位</w:t>
            </w:r>
          </w:p>
        </w:tc>
        <w:tc>
          <w:tcPr>
            <w:tcW w:w="2899" w:type="dxa"/>
            <w:gridSpan w:val="3"/>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eastAsia="zh-CN"/>
              </w:rPr>
              <w:t>岳阳市洞庭湖江豚保护中心</w:t>
            </w:r>
          </w:p>
        </w:tc>
      </w:tr>
      <w:tr>
        <w:tblPrEx>
          <w:tblCellMar>
            <w:top w:w="0" w:type="dxa"/>
            <w:left w:w="108" w:type="dxa"/>
            <w:bottom w:w="0" w:type="dxa"/>
            <w:right w:w="108" w:type="dxa"/>
          </w:tblCellMar>
        </w:tblPrEx>
        <w:trPr>
          <w:jc w:val="center"/>
        </w:trPr>
        <w:tc>
          <w:tcPr>
            <w:tcW w:w="1158" w:type="dxa"/>
            <w:vMerge w:val="restart"/>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both"/>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项目资金</w:t>
            </w:r>
            <w:r>
              <w:rPr>
                <w:rFonts w:hint="eastAsia" w:ascii="仿宋_GB2312" w:hAnsi="仿宋_GB2312" w:eastAsia="仿宋_GB2312" w:cs="仿宋_GB2312"/>
                <w:color w:val="000000"/>
                <w:sz w:val="20"/>
                <w:szCs w:val="20"/>
              </w:rPr>
              <w:br w:type="textWrapping"/>
            </w:r>
            <w:r>
              <w:rPr>
                <w:rFonts w:hint="eastAsia" w:ascii="仿宋_GB2312" w:hAnsi="仿宋_GB2312" w:eastAsia="仿宋_GB2312" w:cs="仿宋_GB2312"/>
                <w:color w:val="000000"/>
                <w:sz w:val="20"/>
                <w:szCs w:val="20"/>
              </w:rPr>
              <w:t>（万元）</w:t>
            </w:r>
          </w:p>
        </w:tc>
        <w:tc>
          <w:tcPr>
            <w:tcW w:w="2081"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27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both"/>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年初预算数</w:t>
            </w:r>
          </w:p>
        </w:tc>
        <w:tc>
          <w:tcPr>
            <w:tcW w:w="121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both"/>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全年预算数</w:t>
            </w:r>
          </w:p>
        </w:tc>
        <w:tc>
          <w:tcPr>
            <w:tcW w:w="1219"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ind w:left="0" w:leftChars="0" w:firstLine="0" w:firstLineChars="0"/>
              <w:jc w:val="both"/>
              <w:textAlignment w:val="auto"/>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全年执行数</w:t>
            </w:r>
          </w:p>
        </w:tc>
        <w:tc>
          <w:tcPr>
            <w:tcW w:w="692"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ind w:left="0" w:leftChars="0" w:firstLine="0" w:firstLineChars="0"/>
              <w:jc w:val="both"/>
              <w:textAlignment w:val="auto"/>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分值</w:t>
            </w:r>
          </w:p>
        </w:tc>
        <w:tc>
          <w:tcPr>
            <w:tcW w:w="911"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ind w:left="0" w:leftChars="0" w:firstLine="0" w:firstLineChars="0"/>
              <w:jc w:val="both"/>
              <w:textAlignment w:val="auto"/>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执行率</w:t>
            </w:r>
          </w:p>
        </w:tc>
        <w:tc>
          <w:tcPr>
            <w:tcW w:w="1296"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ind w:left="0" w:leftChars="0" w:firstLine="200" w:firstLineChars="100"/>
              <w:jc w:val="both"/>
              <w:textAlignment w:val="auto"/>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得分</w:t>
            </w:r>
          </w:p>
        </w:tc>
      </w:tr>
      <w:tr>
        <w:tblPrEx>
          <w:tblCellMar>
            <w:top w:w="0" w:type="dxa"/>
            <w:left w:w="108" w:type="dxa"/>
            <w:bottom w:w="0" w:type="dxa"/>
            <w:right w:w="108" w:type="dxa"/>
          </w:tblCellMar>
        </w:tblPrEx>
        <w:trPr>
          <w:trHeight w:val="90" w:hRule="atLeast"/>
          <w:jc w:val="center"/>
        </w:trPr>
        <w:tc>
          <w:tcPr>
            <w:tcW w:w="1158"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2081"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年度资金总额　</w:t>
            </w:r>
          </w:p>
        </w:tc>
        <w:tc>
          <w:tcPr>
            <w:tcW w:w="127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textAlignment w:val="auto"/>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0</w:t>
            </w:r>
          </w:p>
        </w:tc>
        <w:tc>
          <w:tcPr>
            <w:tcW w:w="121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textAlignment w:val="auto"/>
              <w:rPr>
                <w:rFonts w:hint="default"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lang w:val="en-US" w:eastAsia="zh-CN" w:bidi="ar-SA"/>
              </w:rPr>
              <w:t>355.58</w:t>
            </w:r>
          </w:p>
        </w:tc>
        <w:tc>
          <w:tcPr>
            <w:tcW w:w="121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textAlignment w:val="auto"/>
              <w:rPr>
                <w:rFonts w:hint="default"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lang w:val="en-US" w:eastAsia="zh-CN" w:bidi="ar-SA"/>
              </w:rPr>
              <w:t>310.99</w:t>
            </w:r>
          </w:p>
        </w:tc>
        <w:tc>
          <w:tcPr>
            <w:tcW w:w="69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w:t>
            </w:r>
          </w:p>
        </w:tc>
        <w:tc>
          <w:tcPr>
            <w:tcW w:w="91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87.46%</w:t>
            </w:r>
          </w:p>
        </w:tc>
        <w:tc>
          <w:tcPr>
            <w:tcW w:w="129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8.75</w:t>
            </w:r>
          </w:p>
        </w:tc>
      </w:tr>
      <w:tr>
        <w:tblPrEx>
          <w:tblCellMar>
            <w:top w:w="0" w:type="dxa"/>
            <w:left w:w="108" w:type="dxa"/>
            <w:bottom w:w="0" w:type="dxa"/>
            <w:right w:w="108" w:type="dxa"/>
          </w:tblCellMar>
        </w:tblPrEx>
        <w:trPr>
          <w:jc w:val="center"/>
        </w:trPr>
        <w:tc>
          <w:tcPr>
            <w:tcW w:w="1158"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2081"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其中：当年财政拨款　</w:t>
            </w:r>
          </w:p>
        </w:tc>
        <w:tc>
          <w:tcPr>
            <w:tcW w:w="127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textAlignment w:val="auto"/>
              <w:rPr>
                <w:rFonts w:hint="default"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lang w:val="en-US" w:eastAsia="zh-CN" w:bidi="ar-SA"/>
              </w:rPr>
              <w:t>0</w:t>
            </w:r>
          </w:p>
        </w:tc>
        <w:tc>
          <w:tcPr>
            <w:tcW w:w="121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textAlignment w:val="auto"/>
              <w:rPr>
                <w:rFonts w:hint="default"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lang w:val="en-US" w:eastAsia="zh-CN" w:bidi="ar-SA"/>
              </w:rPr>
              <w:t>355.58</w:t>
            </w:r>
          </w:p>
        </w:tc>
        <w:tc>
          <w:tcPr>
            <w:tcW w:w="121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textAlignment w:val="auto"/>
              <w:rPr>
                <w:rFonts w:hint="default"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lang w:val="en-US" w:eastAsia="zh-CN" w:bidi="ar-SA"/>
              </w:rPr>
              <w:t>310.99</w:t>
            </w:r>
          </w:p>
        </w:tc>
        <w:tc>
          <w:tcPr>
            <w:tcW w:w="69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textAlignment w:val="auto"/>
              <w:rPr>
                <w:rFonts w:hint="eastAsia" w:ascii="仿宋_GB2312" w:hAnsi="仿宋_GB2312" w:eastAsia="仿宋_GB2312" w:cs="仿宋_GB2312"/>
                <w:color w:val="000000"/>
                <w:sz w:val="20"/>
                <w:szCs w:val="20"/>
              </w:rPr>
            </w:pPr>
          </w:p>
        </w:tc>
        <w:tc>
          <w:tcPr>
            <w:tcW w:w="91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textAlignment w:val="auto"/>
              <w:rPr>
                <w:rFonts w:hint="eastAsia" w:ascii="仿宋_GB2312" w:hAnsi="仿宋_GB2312" w:eastAsia="仿宋_GB2312" w:cs="仿宋_GB2312"/>
                <w:color w:val="000000"/>
                <w:sz w:val="20"/>
                <w:szCs w:val="20"/>
              </w:rPr>
            </w:pPr>
          </w:p>
        </w:tc>
        <w:tc>
          <w:tcPr>
            <w:tcW w:w="129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textAlignment w:val="auto"/>
              <w:rPr>
                <w:rFonts w:hint="default" w:ascii="仿宋_GB2312" w:hAnsi="仿宋_GB2312" w:eastAsia="仿宋_GB2312" w:cs="仿宋_GB2312"/>
                <w:color w:val="000000"/>
                <w:sz w:val="20"/>
                <w:szCs w:val="20"/>
                <w:lang w:val="en-US"/>
              </w:rPr>
            </w:pPr>
          </w:p>
        </w:tc>
      </w:tr>
      <w:tr>
        <w:tblPrEx>
          <w:tblCellMar>
            <w:top w:w="0" w:type="dxa"/>
            <w:left w:w="108" w:type="dxa"/>
            <w:bottom w:w="0" w:type="dxa"/>
            <w:right w:w="108" w:type="dxa"/>
          </w:tblCellMar>
        </w:tblPrEx>
        <w:trPr>
          <w:jc w:val="center"/>
        </w:trPr>
        <w:tc>
          <w:tcPr>
            <w:tcW w:w="1158"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2081"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firstLine="600" w:firstLineChars="300"/>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上年结转资金　</w:t>
            </w:r>
          </w:p>
        </w:tc>
        <w:tc>
          <w:tcPr>
            <w:tcW w:w="127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textAlignment w:val="auto"/>
              <w:rPr>
                <w:rFonts w:hint="eastAsia" w:ascii="仿宋_GB2312" w:hAnsi="仿宋_GB2312" w:eastAsia="仿宋_GB2312" w:cs="仿宋_GB2312"/>
                <w:color w:val="000000"/>
                <w:sz w:val="20"/>
                <w:szCs w:val="20"/>
                <w:lang w:val="en-US" w:eastAsia="zh-CN"/>
              </w:rPr>
            </w:pPr>
          </w:p>
        </w:tc>
        <w:tc>
          <w:tcPr>
            <w:tcW w:w="121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textAlignment w:val="auto"/>
              <w:rPr>
                <w:rFonts w:hint="default" w:ascii="仿宋_GB2312" w:hAnsi="仿宋_GB2312" w:eastAsia="仿宋_GB2312" w:cs="仿宋_GB2312"/>
                <w:color w:val="000000"/>
                <w:sz w:val="20"/>
                <w:szCs w:val="20"/>
                <w:lang w:val="en-US" w:eastAsia="zh-CN"/>
              </w:rPr>
            </w:pPr>
          </w:p>
        </w:tc>
        <w:tc>
          <w:tcPr>
            <w:tcW w:w="121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textAlignment w:val="auto"/>
              <w:rPr>
                <w:rFonts w:hint="eastAsia" w:ascii="仿宋_GB2312" w:hAnsi="仿宋_GB2312" w:eastAsia="仿宋_GB2312" w:cs="仿宋_GB2312"/>
                <w:color w:val="000000"/>
                <w:sz w:val="20"/>
                <w:szCs w:val="20"/>
              </w:rPr>
            </w:pPr>
          </w:p>
        </w:tc>
        <w:tc>
          <w:tcPr>
            <w:tcW w:w="69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91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29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158"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2081"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firstLine="600" w:firstLineChars="300"/>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其他资金</w:t>
            </w:r>
          </w:p>
        </w:tc>
        <w:tc>
          <w:tcPr>
            <w:tcW w:w="127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21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21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69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91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29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158" w:type="dxa"/>
            <w:vMerge w:val="restart"/>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both"/>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年度总体目标</w:t>
            </w:r>
          </w:p>
        </w:tc>
        <w:tc>
          <w:tcPr>
            <w:tcW w:w="4575" w:type="dxa"/>
            <w:gridSpan w:val="4"/>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预期目标</w:t>
            </w:r>
          </w:p>
        </w:tc>
        <w:tc>
          <w:tcPr>
            <w:tcW w:w="4118" w:type="dxa"/>
            <w:gridSpan w:val="4"/>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实际完成情况　</w:t>
            </w:r>
          </w:p>
        </w:tc>
      </w:tr>
      <w:tr>
        <w:tblPrEx>
          <w:tblCellMar>
            <w:top w:w="0" w:type="dxa"/>
            <w:left w:w="108" w:type="dxa"/>
            <w:bottom w:w="0" w:type="dxa"/>
            <w:right w:w="108" w:type="dxa"/>
          </w:tblCellMar>
        </w:tblPrEx>
        <w:trPr>
          <w:jc w:val="center"/>
        </w:trPr>
        <w:tc>
          <w:tcPr>
            <w:tcW w:w="1158"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4575" w:type="dxa"/>
            <w:gridSpan w:val="4"/>
            <w:tcBorders>
              <w:top w:val="single" w:color="auto" w:sz="4" w:space="0"/>
              <w:left w:val="nil"/>
              <w:bottom w:val="single" w:color="auto" w:sz="4" w:space="0"/>
              <w:right w:val="single" w:color="000000" w:sz="4" w:space="0"/>
            </w:tcBorders>
            <w:noWrap w:val="0"/>
            <w:vAlign w:val="center"/>
          </w:tcPr>
          <w:p>
            <w:pPr>
              <w:pStyle w:val="2"/>
              <w:keepNext w:val="0"/>
              <w:keepLines w:val="0"/>
              <w:pageBreakBefore w:val="0"/>
              <w:widowControl w:val="0"/>
              <w:kinsoku/>
              <w:wordWrap/>
              <w:overflowPunct/>
              <w:topLinePunct w:val="0"/>
              <w:autoSpaceDE/>
              <w:autoSpaceDN/>
              <w:bidi w:val="0"/>
              <w:adjustRightInd w:val="0"/>
              <w:snapToGrid w:val="0"/>
              <w:spacing w:line="260" w:lineRule="exact"/>
              <w:ind w:left="0" w:leftChars="0" w:firstLine="0" w:firstLineChars="0"/>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kern w:val="2"/>
                <w:sz w:val="20"/>
                <w:szCs w:val="20"/>
                <w:lang w:val="en-US" w:eastAsia="zh-CN" w:bidi="ar-SA"/>
              </w:rPr>
              <w:t>做好各观测站的日常管理工作，加强长江江豚保护区日常巡查，及时救护长江江豚等珍贵、濒危水生生物。做好长江江豚保护宣传工作</w:t>
            </w:r>
            <w:r>
              <w:rPr>
                <w:rFonts w:hint="eastAsia" w:ascii="仿宋_GB2312" w:hAnsi="仿宋_GB2312" w:cs="仿宋_GB2312"/>
                <w:color w:val="000000"/>
                <w:kern w:val="2"/>
                <w:sz w:val="20"/>
                <w:szCs w:val="20"/>
                <w:lang w:val="en-US" w:eastAsia="zh-CN" w:bidi="ar-SA"/>
              </w:rPr>
              <w:t>，以及</w:t>
            </w:r>
            <w:r>
              <w:rPr>
                <w:rFonts w:hint="eastAsia" w:ascii="仿宋_GB2312" w:hAnsi="仿宋_GB2312" w:eastAsia="仿宋_GB2312" w:cs="仿宋_GB2312"/>
                <w:b w:val="0"/>
                <w:bCs w:val="0"/>
                <w:sz w:val="20"/>
                <w:szCs w:val="20"/>
                <w:lang w:val="en-US" w:eastAsia="zh-CN"/>
              </w:rPr>
              <w:t>长江岳阳段范围内珍贵、濒危水生野生动物保护</w:t>
            </w:r>
            <w:r>
              <w:rPr>
                <w:rFonts w:hint="eastAsia" w:ascii="仿宋_GB2312" w:hAnsi="仿宋_GB2312" w:cs="仿宋_GB2312"/>
                <w:b w:val="0"/>
                <w:bCs w:val="0"/>
                <w:sz w:val="20"/>
                <w:szCs w:val="20"/>
                <w:lang w:val="en-US" w:eastAsia="zh-CN"/>
              </w:rPr>
              <w:t>、</w:t>
            </w:r>
            <w:r>
              <w:rPr>
                <w:rFonts w:hint="eastAsia" w:ascii="仿宋_GB2312" w:hAnsi="仿宋_GB2312" w:eastAsia="仿宋_GB2312" w:cs="仿宋_GB2312"/>
                <w:b w:val="0"/>
                <w:bCs w:val="0"/>
                <w:sz w:val="20"/>
                <w:szCs w:val="20"/>
                <w:lang w:val="en-US" w:eastAsia="zh-CN"/>
              </w:rPr>
              <w:t>宣传教育工作。完成市本级保护区内水生生物资源及其生存环境的监测工作。</w:t>
            </w:r>
            <w:r>
              <w:rPr>
                <w:rFonts w:hint="eastAsia" w:ascii="仿宋_GB2312" w:hAnsi="仿宋_GB2312" w:eastAsia="仿宋_GB2312" w:cs="仿宋_GB2312"/>
                <w:color w:val="000000"/>
                <w:sz w:val="20"/>
                <w:szCs w:val="20"/>
                <w:lang w:val="en-US" w:eastAsia="zh-CN"/>
              </w:rPr>
              <w:t>按质按量完成水生生物人工增殖放流工作。</w:t>
            </w:r>
            <w:r>
              <w:rPr>
                <w:rFonts w:hint="eastAsia" w:ascii="仿宋_GB2312" w:hAnsi="仿宋_GB2312" w:eastAsia="仿宋_GB2312" w:cs="仿宋_GB2312"/>
                <w:color w:val="000000"/>
                <w:sz w:val="20"/>
                <w:szCs w:val="20"/>
              </w:rPr>
              <w:t>　　　　　</w:t>
            </w:r>
          </w:p>
          <w:p>
            <w:pPr>
              <w:pStyle w:val="2"/>
              <w:keepNext w:val="0"/>
              <w:keepLines w:val="0"/>
              <w:pageBreakBefore w:val="0"/>
              <w:widowControl w:val="0"/>
              <w:kinsoku/>
              <w:wordWrap/>
              <w:overflowPunct/>
              <w:topLinePunct w:val="0"/>
              <w:autoSpaceDE/>
              <w:autoSpaceDN/>
              <w:bidi w:val="0"/>
              <w:adjustRightInd w:val="0"/>
              <w:snapToGrid w:val="0"/>
              <w:spacing w:line="260" w:lineRule="exact"/>
              <w:ind w:left="0" w:leftChars="0" w:firstLine="0" w:firstLineChars="0"/>
              <w:textAlignment w:val="auto"/>
              <w:rPr>
                <w:rFonts w:hint="eastAsia" w:ascii="仿宋_GB2312" w:hAnsi="仿宋_GB2312" w:eastAsia="仿宋_GB2312" w:cs="仿宋_GB2312"/>
                <w:color w:val="000000"/>
                <w:sz w:val="20"/>
                <w:szCs w:val="20"/>
              </w:rPr>
            </w:pPr>
          </w:p>
        </w:tc>
        <w:tc>
          <w:tcPr>
            <w:tcW w:w="4118" w:type="dxa"/>
            <w:gridSpan w:val="4"/>
            <w:tcBorders>
              <w:top w:val="single" w:color="auto" w:sz="4" w:space="0"/>
              <w:left w:val="nil"/>
              <w:bottom w:val="single" w:color="auto" w:sz="4" w:space="0"/>
              <w:right w:val="single" w:color="auto" w:sz="4" w:space="0"/>
            </w:tcBorders>
            <w:noWrap w:val="0"/>
            <w:vAlign w:val="center"/>
          </w:tcPr>
          <w:p>
            <w:pPr>
              <w:pStyle w:val="2"/>
              <w:ind w:left="0" w:leftChars="0" w:firstLine="0" w:firstLineChars="0"/>
              <w:jc w:val="center"/>
              <w:rPr>
                <w:rFonts w:hint="default"/>
                <w:lang w:val="en-US" w:eastAsia="zh-CN"/>
              </w:rPr>
            </w:pPr>
            <w:r>
              <w:rPr>
                <w:rFonts w:hint="eastAsia" w:ascii="仿宋_GB2312" w:hAnsi="仿宋_GB2312" w:eastAsia="仿宋_GB2312" w:cs="仿宋_GB2312"/>
                <w:b w:val="0"/>
                <w:bCs w:val="0"/>
                <w:sz w:val="20"/>
                <w:szCs w:val="20"/>
                <w:lang w:val="en-US" w:eastAsia="zh-CN"/>
              </w:rPr>
              <w:t>全部完成</w:t>
            </w:r>
          </w:p>
        </w:tc>
      </w:tr>
      <w:tr>
        <w:tblPrEx>
          <w:tblCellMar>
            <w:top w:w="0" w:type="dxa"/>
            <w:left w:w="108" w:type="dxa"/>
            <w:bottom w:w="0" w:type="dxa"/>
            <w:right w:w="108" w:type="dxa"/>
          </w:tblCellMar>
        </w:tblPrEx>
        <w:trPr>
          <w:jc w:val="center"/>
        </w:trPr>
        <w:tc>
          <w:tcPr>
            <w:tcW w:w="1158" w:type="dxa"/>
            <w:vMerge w:val="restart"/>
            <w:tcBorders>
              <w:top w:val="nil"/>
              <w:left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both"/>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绩效指标</w:t>
            </w:r>
          </w:p>
        </w:tc>
        <w:tc>
          <w:tcPr>
            <w:tcW w:w="105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both"/>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一级指标</w:t>
            </w:r>
          </w:p>
        </w:tc>
        <w:tc>
          <w:tcPr>
            <w:tcW w:w="103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both"/>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二级指标</w:t>
            </w:r>
          </w:p>
        </w:tc>
        <w:tc>
          <w:tcPr>
            <w:tcW w:w="127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both"/>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三级指标</w:t>
            </w:r>
          </w:p>
        </w:tc>
        <w:tc>
          <w:tcPr>
            <w:tcW w:w="121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both"/>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年度指标值</w:t>
            </w:r>
          </w:p>
        </w:tc>
        <w:tc>
          <w:tcPr>
            <w:tcW w:w="121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both"/>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实际完成值</w:t>
            </w:r>
          </w:p>
        </w:tc>
        <w:tc>
          <w:tcPr>
            <w:tcW w:w="69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both"/>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分值</w:t>
            </w:r>
          </w:p>
        </w:tc>
        <w:tc>
          <w:tcPr>
            <w:tcW w:w="91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both"/>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得分</w:t>
            </w:r>
          </w:p>
        </w:tc>
        <w:tc>
          <w:tcPr>
            <w:tcW w:w="129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both"/>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偏差原因分析及改进措施</w:t>
            </w:r>
          </w:p>
        </w:tc>
      </w:tr>
      <w:tr>
        <w:tblPrEx>
          <w:tblCellMar>
            <w:top w:w="0" w:type="dxa"/>
            <w:left w:w="108" w:type="dxa"/>
            <w:bottom w:w="0" w:type="dxa"/>
            <w:right w:w="108" w:type="dxa"/>
          </w:tblCellMar>
        </w:tblPrEx>
        <w:trPr>
          <w:jc w:val="center"/>
        </w:trPr>
        <w:tc>
          <w:tcPr>
            <w:tcW w:w="1158"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50"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both"/>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产出指标</w:t>
            </w:r>
          </w:p>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both"/>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(50分)</w:t>
            </w:r>
          </w:p>
        </w:tc>
        <w:tc>
          <w:tcPr>
            <w:tcW w:w="1031"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both"/>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数量指标</w:t>
            </w:r>
          </w:p>
        </w:tc>
        <w:tc>
          <w:tcPr>
            <w:tcW w:w="127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both"/>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lang w:val="en-US" w:eastAsia="zh-CN"/>
              </w:rPr>
              <w:t>做好长江江豚保护宣传工作</w:t>
            </w:r>
          </w:p>
        </w:tc>
        <w:tc>
          <w:tcPr>
            <w:tcW w:w="121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left"/>
              <w:textAlignment w:val="auto"/>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印发宣传资料</w:t>
            </w:r>
            <w:r>
              <w:rPr>
                <w:rFonts w:hint="eastAsia" w:ascii="仿宋_GB2312" w:hAnsi="仿宋_GB2312" w:cs="仿宋_GB2312"/>
                <w:color w:val="000000"/>
                <w:sz w:val="20"/>
                <w:szCs w:val="20"/>
                <w:lang w:val="en-US" w:eastAsia="zh-CN"/>
              </w:rPr>
              <w:t>2</w:t>
            </w:r>
            <w:r>
              <w:rPr>
                <w:rFonts w:hint="eastAsia" w:ascii="仿宋_GB2312" w:hAnsi="仿宋_GB2312" w:eastAsia="仿宋_GB2312" w:cs="仿宋_GB2312"/>
                <w:color w:val="000000"/>
                <w:sz w:val="20"/>
                <w:szCs w:val="20"/>
                <w:lang w:val="en-US" w:eastAsia="zh-CN"/>
              </w:rPr>
              <w:t>000份</w:t>
            </w:r>
          </w:p>
        </w:tc>
        <w:tc>
          <w:tcPr>
            <w:tcW w:w="121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cs="仿宋_GB2312"/>
                <w:color w:val="000000"/>
                <w:sz w:val="20"/>
                <w:szCs w:val="20"/>
                <w:lang w:val="en-US" w:eastAsia="zh-CN"/>
              </w:rPr>
              <w:t>2</w:t>
            </w:r>
            <w:r>
              <w:rPr>
                <w:rFonts w:hint="eastAsia" w:ascii="仿宋_GB2312" w:hAnsi="仿宋_GB2312" w:eastAsia="仿宋_GB2312" w:cs="仿宋_GB2312"/>
                <w:color w:val="000000"/>
                <w:sz w:val="20"/>
                <w:szCs w:val="20"/>
                <w:lang w:val="en-US" w:eastAsia="zh-CN"/>
              </w:rPr>
              <w:t>000份</w:t>
            </w:r>
          </w:p>
        </w:tc>
        <w:tc>
          <w:tcPr>
            <w:tcW w:w="69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cs="仿宋_GB2312"/>
                <w:color w:val="000000"/>
                <w:sz w:val="20"/>
                <w:szCs w:val="20"/>
                <w:lang w:val="en-US" w:eastAsia="zh-CN"/>
              </w:rPr>
              <w:t>5</w:t>
            </w:r>
          </w:p>
        </w:tc>
        <w:tc>
          <w:tcPr>
            <w:tcW w:w="91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cs="仿宋_GB2312"/>
                <w:color w:val="000000"/>
                <w:sz w:val="20"/>
                <w:szCs w:val="20"/>
                <w:lang w:val="en-US" w:eastAsia="zh-CN"/>
              </w:rPr>
              <w:t>5</w:t>
            </w:r>
          </w:p>
        </w:tc>
        <w:tc>
          <w:tcPr>
            <w:tcW w:w="129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158"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5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1031"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127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both"/>
              <w:textAlignment w:val="auto"/>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开展长江江豚生态科学考察</w:t>
            </w:r>
          </w:p>
        </w:tc>
        <w:tc>
          <w:tcPr>
            <w:tcW w:w="121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1次</w:t>
            </w:r>
          </w:p>
        </w:tc>
        <w:tc>
          <w:tcPr>
            <w:tcW w:w="121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1次</w:t>
            </w:r>
          </w:p>
        </w:tc>
        <w:tc>
          <w:tcPr>
            <w:tcW w:w="69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5</w:t>
            </w:r>
          </w:p>
        </w:tc>
        <w:tc>
          <w:tcPr>
            <w:tcW w:w="91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5</w:t>
            </w:r>
          </w:p>
        </w:tc>
        <w:tc>
          <w:tcPr>
            <w:tcW w:w="129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r>
      <w:tr>
        <w:tblPrEx>
          <w:tblCellMar>
            <w:top w:w="0" w:type="dxa"/>
            <w:left w:w="108" w:type="dxa"/>
            <w:bottom w:w="0" w:type="dxa"/>
            <w:right w:w="108" w:type="dxa"/>
          </w:tblCellMar>
        </w:tblPrEx>
        <w:trPr>
          <w:jc w:val="center"/>
        </w:trPr>
        <w:tc>
          <w:tcPr>
            <w:tcW w:w="1158"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5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1031"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127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left"/>
              <w:textAlignment w:val="auto"/>
              <w:rPr>
                <w:rFonts w:hint="eastAsia" w:ascii="仿宋_GB2312" w:hAnsi="仿宋_GB2312" w:eastAsia="仿宋_GB2312" w:cs="仿宋_GB2312"/>
                <w:color w:val="000000"/>
                <w:kern w:val="2"/>
                <w:sz w:val="20"/>
                <w:szCs w:val="20"/>
                <w:lang w:val="en-US" w:eastAsia="zh-CN" w:bidi="ar-SA"/>
              </w:rPr>
            </w:pPr>
            <w:r>
              <w:rPr>
                <w:rFonts w:hint="eastAsia" w:ascii="仿宋_GB2312" w:hAnsi="仿宋_GB2312" w:eastAsia="仿宋_GB2312" w:cs="仿宋_GB2312"/>
                <w:color w:val="000000"/>
                <w:sz w:val="20"/>
                <w:szCs w:val="20"/>
                <w:lang w:val="en-US" w:eastAsia="zh-CN"/>
              </w:rPr>
              <w:t>开展资源调查</w:t>
            </w:r>
          </w:p>
        </w:tc>
        <w:tc>
          <w:tcPr>
            <w:tcW w:w="121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lang w:val="en-US" w:eastAsia="zh-CN" w:bidi="ar-SA"/>
              </w:rPr>
            </w:pPr>
            <w:r>
              <w:rPr>
                <w:rFonts w:hint="eastAsia" w:ascii="仿宋_GB2312" w:hAnsi="仿宋_GB2312" w:eastAsia="仿宋_GB2312" w:cs="仿宋_GB2312"/>
                <w:color w:val="000000"/>
                <w:sz w:val="20"/>
                <w:szCs w:val="20"/>
                <w:lang w:val="en-US" w:eastAsia="zh-CN"/>
              </w:rPr>
              <w:t>1次</w:t>
            </w:r>
          </w:p>
        </w:tc>
        <w:tc>
          <w:tcPr>
            <w:tcW w:w="121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textAlignment w:val="auto"/>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2次</w:t>
            </w:r>
          </w:p>
        </w:tc>
        <w:tc>
          <w:tcPr>
            <w:tcW w:w="69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cs="仿宋_GB2312"/>
                <w:color w:val="000000"/>
                <w:sz w:val="20"/>
                <w:szCs w:val="20"/>
                <w:lang w:val="en-US" w:eastAsia="zh-CN"/>
              </w:rPr>
              <w:t>5</w:t>
            </w:r>
          </w:p>
        </w:tc>
        <w:tc>
          <w:tcPr>
            <w:tcW w:w="91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cs="仿宋_GB2312"/>
                <w:color w:val="000000"/>
                <w:sz w:val="20"/>
                <w:szCs w:val="20"/>
                <w:lang w:val="en-US" w:eastAsia="zh-CN"/>
              </w:rPr>
              <w:t>5</w:t>
            </w:r>
          </w:p>
        </w:tc>
        <w:tc>
          <w:tcPr>
            <w:tcW w:w="129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r>
      <w:tr>
        <w:tblPrEx>
          <w:tblCellMar>
            <w:top w:w="0" w:type="dxa"/>
            <w:left w:w="108" w:type="dxa"/>
            <w:bottom w:w="0" w:type="dxa"/>
            <w:right w:w="108" w:type="dxa"/>
          </w:tblCellMar>
        </w:tblPrEx>
        <w:trPr>
          <w:jc w:val="center"/>
        </w:trPr>
        <w:tc>
          <w:tcPr>
            <w:tcW w:w="1158"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5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1031"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127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left"/>
              <w:textAlignment w:val="auto"/>
              <w:rPr>
                <w:rFonts w:hint="eastAsia" w:ascii="仿宋_GB2312" w:hAnsi="仿宋_GB2312" w:eastAsia="仿宋_GB2312" w:cs="仿宋_GB2312"/>
                <w:color w:val="000000"/>
                <w:kern w:val="2"/>
                <w:sz w:val="20"/>
                <w:szCs w:val="20"/>
                <w:lang w:val="en-US" w:eastAsia="zh-CN" w:bidi="ar-SA"/>
              </w:rPr>
            </w:pPr>
            <w:r>
              <w:rPr>
                <w:rFonts w:hint="eastAsia" w:ascii="仿宋_GB2312" w:hAnsi="仿宋_GB2312" w:eastAsia="仿宋_GB2312" w:cs="仿宋_GB2312"/>
                <w:color w:val="000000"/>
                <w:sz w:val="20"/>
                <w:szCs w:val="20"/>
                <w:lang w:eastAsia="zh-CN"/>
              </w:rPr>
              <w:t>增殖放流鱼苗</w:t>
            </w:r>
          </w:p>
        </w:tc>
        <w:tc>
          <w:tcPr>
            <w:tcW w:w="121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textAlignment w:val="auto"/>
              <w:rPr>
                <w:rFonts w:hint="eastAsia" w:ascii="仿宋_GB2312" w:hAnsi="仿宋_GB2312" w:eastAsia="仿宋_GB2312" w:cs="仿宋_GB2312"/>
                <w:color w:val="000000"/>
                <w:kern w:val="2"/>
                <w:sz w:val="20"/>
                <w:szCs w:val="20"/>
                <w:lang w:val="en-US" w:eastAsia="zh-CN" w:bidi="ar-SA"/>
              </w:rPr>
            </w:pPr>
            <w:r>
              <w:rPr>
                <w:rFonts w:hint="eastAsia" w:ascii="仿宋_GB2312" w:hAnsi="仿宋_GB2312" w:eastAsia="仿宋_GB2312" w:cs="仿宋_GB2312"/>
                <w:color w:val="000000"/>
                <w:sz w:val="20"/>
                <w:szCs w:val="20"/>
                <w:lang w:val="en-US" w:eastAsia="zh-CN"/>
              </w:rPr>
              <w:t>约</w:t>
            </w:r>
            <w:r>
              <w:rPr>
                <w:rFonts w:hint="eastAsia" w:ascii="仿宋_GB2312" w:hAnsi="仿宋_GB2312" w:cs="仿宋_GB2312"/>
                <w:color w:val="000000"/>
                <w:sz w:val="20"/>
                <w:szCs w:val="20"/>
                <w:lang w:val="en-US" w:eastAsia="zh-CN"/>
              </w:rPr>
              <w:t>5</w:t>
            </w:r>
            <w:r>
              <w:rPr>
                <w:rFonts w:hint="eastAsia" w:ascii="仿宋_GB2312" w:hAnsi="仿宋_GB2312" w:eastAsia="仿宋_GB2312" w:cs="仿宋_GB2312"/>
                <w:color w:val="000000"/>
                <w:sz w:val="20"/>
                <w:szCs w:val="20"/>
                <w:lang w:val="en-US" w:eastAsia="zh-CN"/>
              </w:rPr>
              <w:t>万</w:t>
            </w:r>
            <w:r>
              <w:rPr>
                <w:rFonts w:hint="eastAsia" w:ascii="仿宋_GB2312" w:hAnsi="仿宋_GB2312" w:eastAsia="仿宋_GB2312" w:cs="仿宋_GB2312"/>
                <w:color w:val="000000"/>
                <w:sz w:val="20"/>
                <w:szCs w:val="20"/>
                <w:lang w:eastAsia="zh-CN"/>
              </w:rPr>
              <w:t>尾</w:t>
            </w:r>
          </w:p>
        </w:tc>
        <w:tc>
          <w:tcPr>
            <w:tcW w:w="121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textAlignment w:val="auto"/>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4.8万尾</w:t>
            </w:r>
          </w:p>
        </w:tc>
        <w:tc>
          <w:tcPr>
            <w:tcW w:w="69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cs="仿宋_GB2312"/>
                <w:color w:val="000000"/>
                <w:sz w:val="20"/>
                <w:szCs w:val="20"/>
                <w:lang w:val="en-US" w:eastAsia="zh-CN"/>
              </w:rPr>
              <w:t>5</w:t>
            </w:r>
          </w:p>
        </w:tc>
        <w:tc>
          <w:tcPr>
            <w:tcW w:w="91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cs="仿宋_GB2312"/>
                <w:color w:val="000000"/>
                <w:sz w:val="20"/>
                <w:szCs w:val="20"/>
                <w:lang w:val="en-US" w:eastAsia="zh-CN"/>
              </w:rPr>
              <w:t>5</w:t>
            </w:r>
          </w:p>
        </w:tc>
        <w:tc>
          <w:tcPr>
            <w:tcW w:w="129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r>
      <w:tr>
        <w:tblPrEx>
          <w:tblCellMar>
            <w:top w:w="0" w:type="dxa"/>
            <w:left w:w="108" w:type="dxa"/>
            <w:bottom w:w="0" w:type="dxa"/>
            <w:right w:w="108" w:type="dxa"/>
          </w:tblCellMar>
        </w:tblPrEx>
        <w:trPr>
          <w:jc w:val="center"/>
        </w:trPr>
        <w:tc>
          <w:tcPr>
            <w:tcW w:w="1158"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5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1031"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127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textAlignment w:val="auto"/>
              <w:rPr>
                <w:rFonts w:hint="eastAsia" w:ascii="仿宋_GB2312" w:hAnsi="仿宋_GB2312" w:eastAsia="仿宋_GB2312" w:cs="仿宋_GB2312"/>
                <w:color w:val="000000"/>
                <w:sz w:val="20"/>
                <w:szCs w:val="20"/>
                <w:lang w:eastAsia="zh-CN"/>
              </w:rPr>
            </w:pPr>
            <w:r>
              <w:rPr>
                <w:rFonts w:hint="eastAsia" w:ascii="仿宋_GB2312" w:hAnsi="仿宋_GB2312" w:eastAsia="仿宋_GB2312" w:cs="仿宋_GB2312"/>
                <w:color w:val="000000"/>
                <w:sz w:val="20"/>
                <w:szCs w:val="20"/>
                <w:lang w:eastAsia="zh-CN"/>
              </w:rPr>
              <w:t>完成对岳阳市江豚保护协会环境保护宣教的捐赠工作。</w:t>
            </w:r>
          </w:p>
        </w:tc>
        <w:tc>
          <w:tcPr>
            <w:tcW w:w="121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cs="仿宋_GB2312"/>
                <w:color w:val="000000"/>
                <w:sz w:val="20"/>
                <w:szCs w:val="20"/>
                <w:lang w:val="en-US" w:eastAsia="zh-CN"/>
              </w:rPr>
              <w:t>2次</w:t>
            </w:r>
          </w:p>
        </w:tc>
        <w:tc>
          <w:tcPr>
            <w:tcW w:w="121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2次</w:t>
            </w:r>
          </w:p>
        </w:tc>
        <w:tc>
          <w:tcPr>
            <w:tcW w:w="69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cs="仿宋_GB2312"/>
                <w:color w:val="000000"/>
                <w:sz w:val="20"/>
                <w:szCs w:val="20"/>
                <w:lang w:val="en-US" w:eastAsia="zh-CN"/>
              </w:rPr>
              <w:t>5</w:t>
            </w:r>
          </w:p>
        </w:tc>
        <w:tc>
          <w:tcPr>
            <w:tcW w:w="91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cs="仿宋_GB2312"/>
                <w:color w:val="000000"/>
                <w:sz w:val="20"/>
                <w:szCs w:val="20"/>
                <w:lang w:val="en-US" w:eastAsia="zh-CN"/>
              </w:rPr>
              <w:t>5</w:t>
            </w:r>
          </w:p>
        </w:tc>
        <w:tc>
          <w:tcPr>
            <w:tcW w:w="129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r>
      <w:tr>
        <w:tblPrEx>
          <w:tblCellMar>
            <w:top w:w="0" w:type="dxa"/>
            <w:left w:w="108" w:type="dxa"/>
            <w:bottom w:w="0" w:type="dxa"/>
            <w:right w:w="108" w:type="dxa"/>
          </w:tblCellMar>
        </w:tblPrEx>
        <w:trPr>
          <w:trHeight w:val="889" w:hRule="atLeast"/>
          <w:jc w:val="center"/>
        </w:trPr>
        <w:tc>
          <w:tcPr>
            <w:tcW w:w="1158"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5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31"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127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both"/>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lang w:val="en-US" w:eastAsia="zh-CN"/>
              </w:rPr>
              <w:t>日常巡查</w:t>
            </w:r>
          </w:p>
        </w:tc>
        <w:tc>
          <w:tcPr>
            <w:tcW w:w="121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left"/>
              <w:textAlignment w:val="auto"/>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适航条件下每日巡查</w:t>
            </w:r>
          </w:p>
        </w:tc>
        <w:tc>
          <w:tcPr>
            <w:tcW w:w="1219" w:type="dxa"/>
            <w:tcBorders>
              <w:top w:val="nil"/>
              <w:left w:val="nil"/>
              <w:bottom w:val="single" w:color="auto" w:sz="4" w:space="0"/>
              <w:right w:val="single" w:color="auto" w:sz="4" w:space="0"/>
            </w:tcBorders>
            <w:noWrap w:val="0"/>
            <w:vAlign w:val="center"/>
          </w:tcPr>
          <w:p>
            <w:pPr>
              <w:widowControl/>
              <w:spacing w:line="240" w:lineRule="exact"/>
              <w:ind w:left="0" w:leftChars="0" w:firstLine="0" w:firstLineChars="0"/>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95%以上</w:t>
            </w:r>
          </w:p>
        </w:tc>
        <w:tc>
          <w:tcPr>
            <w:tcW w:w="69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textAlignment w:val="auto"/>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cs="仿宋_GB2312"/>
                <w:color w:val="000000"/>
                <w:sz w:val="20"/>
                <w:szCs w:val="20"/>
                <w:lang w:val="en-US" w:eastAsia="zh-CN"/>
              </w:rPr>
              <w:t>5</w:t>
            </w:r>
          </w:p>
        </w:tc>
        <w:tc>
          <w:tcPr>
            <w:tcW w:w="91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textAlignment w:val="auto"/>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cs="仿宋_GB2312"/>
                <w:color w:val="000000"/>
                <w:sz w:val="20"/>
                <w:szCs w:val="20"/>
                <w:lang w:val="en-US" w:eastAsia="zh-CN"/>
              </w:rPr>
              <w:t>5</w:t>
            </w:r>
          </w:p>
        </w:tc>
        <w:tc>
          <w:tcPr>
            <w:tcW w:w="129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left"/>
              <w:textAlignment w:val="auto"/>
              <w:rPr>
                <w:rFonts w:hint="eastAsia" w:ascii="仿宋_GB2312" w:hAnsi="仿宋_GB2312" w:eastAsia="仿宋_GB2312" w:cs="仿宋_GB2312"/>
                <w:color w:val="000000"/>
                <w:kern w:val="0"/>
                <w:sz w:val="20"/>
                <w:szCs w:val="20"/>
                <w:lang w:val="en-US" w:eastAsia="zh-CN" w:bidi="ar-SA"/>
              </w:rPr>
            </w:pPr>
          </w:p>
        </w:tc>
      </w:tr>
      <w:tr>
        <w:tblPrEx>
          <w:tblCellMar>
            <w:top w:w="0" w:type="dxa"/>
            <w:left w:w="108" w:type="dxa"/>
            <w:bottom w:w="0" w:type="dxa"/>
            <w:right w:w="108" w:type="dxa"/>
          </w:tblCellMar>
        </w:tblPrEx>
        <w:trPr>
          <w:jc w:val="center"/>
        </w:trPr>
        <w:tc>
          <w:tcPr>
            <w:tcW w:w="1158"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5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31" w:type="dxa"/>
            <w:tcBorders>
              <w:top w:val="single" w:color="auto" w:sz="4" w:space="0"/>
              <w:left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both"/>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质量指标</w:t>
            </w:r>
          </w:p>
        </w:tc>
        <w:tc>
          <w:tcPr>
            <w:tcW w:w="127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both"/>
              <w:textAlignment w:val="auto"/>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做好观测站相关工作</w:t>
            </w:r>
          </w:p>
        </w:tc>
        <w:tc>
          <w:tcPr>
            <w:tcW w:w="121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left"/>
              <w:textAlignment w:val="auto"/>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准确掌握观测站观测水域相关数据，填报巡查日志</w:t>
            </w:r>
          </w:p>
        </w:tc>
        <w:tc>
          <w:tcPr>
            <w:tcW w:w="121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textAlignment w:val="auto"/>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95%以上</w:t>
            </w:r>
          </w:p>
        </w:tc>
        <w:tc>
          <w:tcPr>
            <w:tcW w:w="69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lang w:val="en-US" w:eastAsia="zh-CN"/>
              </w:rPr>
              <w:t>5</w:t>
            </w:r>
          </w:p>
        </w:tc>
        <w:tc>
          <w:tcPr>
            <w:tcW w:w="91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textAlignment w:val="auto"/>
              <w:rPr>
                <w:rFonts w:hint="eastAsia" w:ascii="仿宋_GB2312" w:hAnsi="仿宋_GB2312" w:eastAsia="仿宋_GB2312" w:cs="仿宋_GB2312"/>
                <w:color w:val="000000"/>
                <w:sz w:val="20"/>
                <w:szCs w:val="20"/>
              </w:rPr>
            </w:pPr>
            <w:r>
              <w:rPr>
                <w:rFonts w:hint="eastAsia" w:ascii="仿宋_GB2312" w:hAnsi="仿宋_GB2312" w:cs="仿宋_GB2312"/>
                <w:color w:val="000000"/>
                <w:sz w:val="20"/>
                <w:szCs w:val="20"/>
                <w:lang w:val="en-US" w:eastAsia="zh-CN"/>
              </w:rPr>
              <w:t>5</w:t>
            </w:r>
          </w:p>
        </w:tc>
        <w:tc>
          <w:tcPr>
            <w:tcW w:w="129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left"/>
              <w:textAlignment w:val="auto"/>
              <w:rPr>
                <w:rFonts w:hint="default" w:ascii="仿宋_GB2312" w:hAnsi="仿宋_GB2312" w:eastAsia="仿宋_GB2312" w:cs="仿宋_GB2312"/>
                <w:color w:val="000000"/>
                <w:sz w:val="20"/>
                <w:szCs w:val="20"/>
                <w:lang w:val="en-US"/>
              </w:rPr>
            </w:pPr>
          </w:p>
        </w:tc>
      </w:tr>
      <w:tr>
        <w:tblPrEx>
          <w:tblCellMar>
            <w:top w:w="0" w:type="dxa"/>
            <w:left w:w="108" w:type="dxa"/>
            <w:bottom w:w="0" w:type="dxa"/>
            <w:right w:w="108" w:type="dxa"/>
          </w:tblCellMar>
        </w:tblPrEx>
        <w:trPr>
          <w:jc w:val="center"/>
        </w:trPr>
        <w:tc>
          <w:tcPr>
            <w:tcW w:w="1158"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5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31" w:type="dxa"/>
            <w:vMerge w:val="restart"/>
            <w:tcBorders>
              <w:top w:val="single" w:color="auto" w:sz="4" w:space="0"/>
              <w:left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both"/>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时效指标</w:t>
            </w:r>
          </w:p>
        </w:tc>
        <w:tc>
          <w:tcPr>
            <w:tcW w:w="127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both"/>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救护长江江豚</w:t>
            </w:r>
          </w:p>
        </w:tc>
        <w:tc>
          <w:tcPr>
            <w:tcW w:w="121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left"/>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及时救护长江江豚</w:t>
            </w:r>
            <w:r>
              <w:rPr>
                <w:rFonts w:hint="eastAsia" w:ascii="仿宋_GB2312" w:hAnsi="仿宋_GB2312" w:eastAsia="仿宋_GB2312" w:cs="仿宋_GB2312"/>
                <w:color w:val="000000"/>
                <w:sz w:val="20"/>
                <w:szCs w:val="20"/>
                <w:lang w:val="en-US" w:eastAsia="zh-CN"/>
              </w:rPr>
              <w:t>1次以上</w:t>
            </w:r>
          </w:p>
        </w:tc>
        <w:tc>
          <w:tcPr>
            <w:tcW w:w="121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2次</w:t>
            </w:r>
          </w:p>
        </w:tc>
        <w:tc>
          <w:tcPr>
            <w:tcW w:w="69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cs="仿宋_GB2312"/>
                <w:color w:val="000000"/>
                <w:sz w:val="20"/>
                <w:szCs w:val="20"/>
                <w:lang w:val="en-US" w:eastAsia="zh-CN"/>
              </w:rPr>
              <w:t>5</w:t>
            </w:r>
          </w:p>
        </w:tc>
        <w:tc>
          <w:tcPr>
            <w:tcW w:w="91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cs="仿宋_GB2312"/>
                <w:color w:val="000000"/>
                <w:sz w:val="20"/>
                <w:szCs w:val="20"/>
                <w:lang w:val="en-US" w:eastAsia="zh-CN"/>
              </w:rPr>
              <w:t>5</w:t>
            </w:r>
          </w:p>
        </w:tc>
        <w:tc>
          <w:tcPr>
            <w:tcW w:w="129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158"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5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31" w:type="dxa"/>
            <w:vMerge w:val="continue"/>
            <w:tcBorders>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both"/>
              <w:textAlignment w:val="auto"/>
              <w:rPr>
                <w:rFonts w:hint="eastAsia" w:ascii="仿宋_GB2312" w:hAnsi="仿宋_GB2312" w:eastAsia="仿宋_GB2312" w:cs="仿宋_GB2312"/>
                <w:color w:val="000000"/>
                <w:sz w:val="20"/>
                <w:szCs w:val="20"/>
              </w:rPr>
            </w:pPr>
          </w:p>
        </w:tc>
        <w:tc>
          <w:tcPr>
            <w:tcW w:w="127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left"/>
              <w:textAlignment w:val="auto"/>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eastAsia="zh-CN"/>
              </w:rPr>
              <w:t>年内完成</w:t>
            </w:r>
          </w:p>
        </w:tc>
        <w:tc>
          <w:tcPr>
            <w:tcW w:w="121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left"/>
              <w:textAlignment w:val="auto"/>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2023年12月31日前完成</w:t>
            </w:r>
            <w:r>
              <w:rPr>
                <w:rFonts w:hint="eastAsia" w:ascii="仿宋_GB2312" w:hAnsi="仿宋_GB2312" w:eastAsia="仿宋_GB2312" w:cs="仿宋_GB2312"/>
                <w:color w:val="000000"/>
                <w:sz w:val="20"/>
                <w:szCs w:val="20"/>
              </w:rPr>
              <w:t>　</w:t>
            </w:r>
          </w:p>
        </w:tc>
        <w:tc>
          <w:tcPr>
            <w:tcW w:w="121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textAlignment w:val="auto"/>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eastAsia="zh-CN"/>
              </w:rPr>
              <w:t>已完成</w:t>
            </w:r>
          </w:p>
        </w:tc>
        <w:tc>
          <w:tcPr>
            <w:tcW w:w="69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cs="仿宋_GB2312"/>
                <w:color w:val="000000"/>
                <w:sz w:val="20"/>
                <w:szCs w:val="20"/>
                <w:lang w:val="en-US" w:eastAsia="zh-CN"/>
              </w:rPr>
              <w:t>5</w:t>
            </w:r>
          </w:p>
        </w:tc>
        <w:tc>
          <w:tcPr>
            <w:tcW w:w="91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cs="仿宋_GB2312"/>
                <w:color w:val="000000"/>
                <w:sz w:val="20"/>
                <w:szCs w:val="20"/>
                <w:lang w:val="en-US" w:eastAsia="zh-CN"/>
              </w:rPr>
              <w:t>5</w:t>
            </w:r>
          </w:p>
        </w:tc>
        <w:tc>
          <w:tcPr>
            <w:tcW w:w="129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r>
      <w:tr>
        <w:tblPrEx>
          <w:tblCellMar>
            <w:top w:w="0" w:type="dxa"/>
            <w:left w:w="108" w:type="dxa"/>
            <w:bottom w:w="0" w:type="dxa"/>
            <w:right w:w="108" w:type="dxa"/>
          </w:tblCellMar>
        </w:tblPrEx>
        <w:trPr>
          <w:jc w:val="center"/>
        </w:trPr>
        <w:tc>
          <w:tcPr>
            <w:tcW w:w="1158"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5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both"/>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成本指标</w:t>
            </w:r>
          </w:p>
        </w:tc>
        <w:tc>
          <w:tcPr>
            <w:tcW w:w="127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both"/>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合理使用项目资金</w:t>
            </w:r>
          </w:p>
        </w:tc>
        <w:tc>
          <w:tcPr>
            <w:tcW w:w="121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both"/>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控制在批复预算内</w:t>
            </w:r>
          </w:p>
        </w:tc>
        <w:tc>
          <w:tcPr>
            <w:tcW w:w="121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textAlignment w:val="auto"/>
              <w:rPr>
                <w:rFonts w:hint="eastAsia" w:ascii="仿宋_GB2312" w:hAnsi="仿宋_GB2312" w:eastAsia="仿宋_GB2312" w:cs="仿宋_GB2312"/>
                <w:color w:val="000000"/>
                <w:sz w:val="20"/>
                <w:szCs w:val="20"/>
                <w:lang w:eastAsia="zh-CN"/>
              </w:rPr>
            </w:pPr>
            <w:r>
              <w:rPr>
                <w:rFonts w:hint="eastAsia" w:ascii="仿宋_GB2312" w:hAnsi="仿宋_GB2312" w:eastAsia="仿宋_GB2312" w:cs="仿宋_GB2312"/>
                <w:color w:val="000000"/>
                <w:sz w:val="20"/>
                <w:szCs w:val="20"/>
                <w:lang w:eastAsia="zh-CN"/>
              </w:rPr>
              <w:t>已完成</w:t>
            </w:r>
          </w:p>
        </w:tc>
        <w:tc>
          <w:tcPr>
            <w:tcW w:w="69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cs="仿宋_GB2312"/>
                <w:color w:val="000000"/>
                <w:sz w:val="20"/>
                <w:szCs w:val="20"/>
                <w:lang w:val="en-US" w:eastAsia="zh-CN"/>
              </w:rPr>
              <w:t>5</w:t>
            </w:r>
          </w:p>
        </w:tc>
        <w:tc>
          <w:tcPr>
            <w:tcW w:w="91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cs="仿宋_GB2312"/>
                <w:color w:val="000000"/>
                <w:sz w:val="20"/>
                <w:szCs w:val="20"/>
                <w:lang w:val="en-US" w:eastAsia="zh-CN"/>
              </w:rPr>
              <w:t>5</w:t>
            </w:r>
          </w:p>
        </w:tc>
        <w:tc>
          <w:tcPr>
            <w:tcW w:w="129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158"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50" w:type="dxa"/>
            <w:vMerge w:val="restart"/>
            <w:tcBorders>
              <w:top w:val="single" w:color="auto" w:sz="4" w:space="0"/>
              <w:left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效益指标</w:t>
            </w:r>
          </w:p>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（30分）</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0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both"/>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经济效益指标</w:t>
            </w:r>
          </w:p>
        </w:tc>
        <w:tc>
          <w:tcPr>
            <w:tcW w:w="127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无</w:t>
            </w:r>
          </w:p>
        </w:tc>
        <w:tc>
          <w:tcPr>
            <w:tcW w:w="121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无</w:t>
            </w:r>
          </w:p>
        </w:tc>
        <w:tc>
          <w:tcPr>
            <w:tcW w:w="121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69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91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129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158"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5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both"/>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社会效</w:t>
            </w:r>
          </w:p>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both"/>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益指标</w:t>
            </w:r>
          </w:p>
        </w:tc>
        <w:tc>
          <w:tcPr>
            <w:tcW w:w="127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both"/>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保持生态保护的社会高参与度和认可度。</w:t>
            </w:r>
          </w:p>
        </w:tc>
        <w:tc>
          <w:tcPr>
            <w:tcW w:w="121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both"/>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社会认可度≥9</w:t>
            </w:r>
            <w:r>
              <w:rPr>
                <w:rFonts w:hint="eastAsia" w:ascii="仿宋_GB2312" w:hAnsi="仿宋_GB2312" w:eastAsia="仿宋_GB2312" w:cs="仿宋_GB2312"/>
                <w:color w:val="000000"/>
                <w:sz w:val="20"/>
                <w:szCs w:val="20"/>
                <w:lang w:val="en-US" w:eastAsia="zh-CN"/>
              </w:rPr>
              <w:t>0</w:t>
            </w:r>
            <w:r>
              <w:rPr>
                <w:rFonts w:hint="eastAsia" w:ascii="仿宋_GB2312" w:hAnsi="仿宋_GB2312" w:eastAsia="仿宋_GB2312" w:cs="仿宋_GB2312"/>
                <w:color w:val="000000"/>
                <w:sz w:val="20"/>
                <w:szCs w:val="20"/>
              </w:rPr>
              <w:t>%</w:t>
            </w:r>
          </w:p>
        </w:tc>
        <w:tc>
          <w:tcPr>
            <w:tcW w:w="121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textAlignment w:val="auto"/>
              <w:rPr>
                <w:rFonts w:hint="eastAsia" w:ascii="仿宋_GB2312" w:hAnsi="仿宋_GB2312" w:eastAsia="仿宋_GB2312" w:cs="仿宋_GB2312"/>
                <w:color w:val="000000"/>
                <w:sz w:val="20"/>
                <w:szCs w:val="20"/>
                <w:lang w:eastAsia="zh-CN"/>
              </w:rPr>
            </w:pPr>
            <w:r>
              <w:rPr>
                <w:rFonts w:hint="eastAsia" w:ascii="仿宋_GB2312" w:hAnsi="仿宋_GB2312" w:eastAsia="仿宋_GB2312" w:cs="仿宋_GB2312"/>
                <w:color w:val="000000"/>
                <w:sz w:val="20"/>
                <w:szCs w:val="20"/>
                <w:lang w:eastAsia="zh-CN"/>
              </w:rPr>
              <w:t>已完成</w:t>
            </w:r>
          </w:p>
        </w:tc>
        <w:tc>
          <w:tcPr>
            <w:tcW w:w="69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cs="仿宋_GB2312"/>
                <w:color w:val="000000"/>
                <w:sz w:val="20"/>
                <w:szCs w:val="20"/>
                <w:lang w:val="en-US" w:eastAsia="zh-CN"/>
              </w:rPr>
              <w:t>6</w:t>
            </w:r>
          </w:p>
        </w:tc>
        <w:tc>
          <w:tcPr>
            <w:tcW w:w="91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cs="仿宋_GB2312"/>
                <w:color w:val="000000"/>
                <w:sz w:val="20"/>
                <w:szCs w:val="20"/>
                <w:lang w:val="en-US" w:eastAsia="zh-CN"/>
              </w:rPr>
              <w:t>6</w:t>
            </w:r>
          </w:p>
        </w:tc>
        <w:tc>
          <w:tcPr>
            <w:tcW w:w="129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trHeight w:val="771" w:hRule="atLeast"/>
          <w:jc w:val="center"/>
        </w:trPr>
        <w:tc>
          <w:tcPr>
            <w:tcW w:w="1158"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5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31" w:type="dxa"/>
            <w:vMerge w:val="restart"/>
            <w:tcBorders>
              <w:top w:val="single" w:color="auto" w:sz="4" w:space="0"/>
              <w:left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both"/>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生态效</w:t>
            </w:r>
          </w:p>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both"/>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益指标</w:t>
            </w:r>
          </w:p>
        </w:tc>
        <w:tc>
          <w:tcPr>
            <w:tcW w:w="127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both"/>
              <w:textAlignment w:val="auto"/>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优化江豚等水生生物的栖息环境</w:t>
            </w:r>
          </w:p>
        </w:tc>
        <w:tc>
          <w:tcPr>
            <w:tcW w:w="121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both"/>
              <w:textAlignment w:val="auto"/>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保护区水生生物栖息环境</w:t>
            </w:r>
            <w:r>
              <w:rPr>
                <w:rFonts w:hint="eastAsia" w:ascii="仿宋_GB2312" w:hAnsi="仿宋_GB2312" w:eastAsia="仿宋_GB2312" w:cs="仿宋_GB2312"/>
                <w:color w:val="000000"/>
                <w:sz w:val="20"/>
                <w:szCs w:val="20"/>
                <w:lang w:eastAsia="zh-CN"/>
              </w:rPr>
              <w:t>有所改善</w:t>
            </w:r>
          </w:p>
        </w:tc>
        <w:tc>
          <w:tcPr>
            <w:tcW w:w="121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textAlignment w:val="auto"/>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eastAsia="zh-CN"/>
              </w:rPr>
              <w:t>有所改善</w:t>
            </w:r>
          </w:p>
        </w:tc>
        <w:tc>
          <w:tcPr>
            <w:tcW w:w="69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textAlignment w:val="auto"/>
              <w:rPr>
                <w:rFonts w:hint="default" w:ascii="仿宋_GB2312" w:hAnsi="仿宋_GB2312" w:eastAsia="仿宋_GB2312" w:cs="仿宋_GB2312"/>
                <w:color w:val="000000"/>
                <w:kern w:val="0"/>
                <w:sz w:val="20"/>
                <w:szCs w:val="20"/>
                <w:lang w:val="en-US" w:eastAsia="zh-CN" w:bidi="ar-SA"/>
              </w:rPr>
            </w:pPr>
            <w:r>
              <w:rPr>
                <w:rFonts w:hint="eastAsia" w:ascii="仿宋_GB2312" w:hAnsi="仿宋_GB2312" w:cs="仿宋_GB2312"/>
                <w:color w:val="000000"/>
                <w:kern w:val="0"/>
                <w:sz w:val="20"/>
                <w:szCs w:val="20"/>
                <w:lang w:val="en-US" w:eastAsia="zh-CN" w:bidi="ar-SA"/>
              </w:rPr>
              <w:t>6</w:t>
            </w:r>
          </w:p>
        </w:tc>
        <w:tc>
          <w:tcPr>
            <w:tcW w:w="91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cs="仿宋_GB2312"/>
                <w:color w:val="000000"/>
                <w:kern w:val="0"/>
                <w:sz w:val="20"/>
                <w:szCs w:val="20"/>
                <w:lang w:val="en-US" w:eastAsia="zh-CN" w:bidi="ar-SA"/>
              </w:rPr>
              <w:t>6</w:t>
            </w:r>
          </w:p>
        </w:tc>
        <w:tc>
          <w:tcPr>
            <w:tcW w:w="129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lang w:val="en-US"/>
              </w:rPr>
            </w:pPr>
          </w:p>
        </w:tc>
      </w:tr>
      <w:tr>
        <w:tblPrEx>
          <w:tblCellMar>
            <w:top w:w="0" w:type="dxa"/>
            <w:left w:w="108" w:type="dxa"/>
            <w:bottom w:w="0" w:type="dxa"/>
            <w:right w:w="108" w:type="dxa"/>
          </w:tblCellMar>
        </w:tblPrEx>
        <w:trPr>
          <w:jc w:val="center"/>
        </w:trPr>
        <w:tc>
          <w:tcPr>
            <w:tcW w:w="1158"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5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31" w:type="dxa"/>
            <w:vMerge w:val="continue"/>
            <w:tcBorders>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both"/>
              <w:textAlignment w:val="auto"/>
              <w:rPr>
                <w:rFonts w:hint="eastAsia" w:ascii="仿宋_GB2312" w:hAnsi="仿宋_GB2312" w:eastAsia="仿宋_GB2312" w:cs="仿宋_GB2312"/>
                <w:color w:val="000000"/>
                <w:sz w:val="20"/>
                <w:szCs w:val="20"/>
              </w:rPr>
            </w:pPr>
          </w:p>
        </w:tc>
        <w:tc>
          <w:tcPr>
            <w:tcW w:w="127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both"/>
              <w:textAlignment w:val="auto"/>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保护区水生生物栖息环境有所改善</w:t>
            </w:r>
          </w:p>
        </w:tc>
        <w:tc>
          <w:tcPr>
            <w:tcW w:w="121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both"/>
              <w:textAlignment w:val="auto"/>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有所改善</w:t>
            </w:r>
          </w:p>
        </w:tc>
        <w:tc>
          <w:tcPr>
            <w:tcW w:w="121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textAlignment w:val="auto"/>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有所改善</w:t>
            </w:r>
          </w:p>
        </w:tc>
        <w:tc>
          <w:tcPr>
            <w:tcW w:w="69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textAlignment w:val="auto"/>
              <w:rPr>
                <w:rFonts w:hint="default" w:ascii="仿宋_GB2312" w:hAnsi="仿宋_GB2312" w:eastAsia="仿宋_GB2312" w:cs="仿宋_GB2312"/>
                <w:color w:val="000000"/>
                <w:kern w:val="0"/>
                <w:sz w:val="20"/>
                <w:szCs w:val="20"/>
                <w:lang w:val="en-US" w:eastAsia="zh-CN" w:bidi="ar-SA"/>
              </w:rPr>
            </w:pPr>
            <w:r>
              <w:rPr>
                <w:rFonts w:hint="eastAsia" w:ascii="仿宋_GB2312" w:hAnsi="仿宋_GB2312" w:cs="仿宋_GB2312"/>
                <w:color w:val="000000"/>
                <w:kern w:val="0"/>
                <w:sz w:val="20"/>
                <w:szCs w:val="20"/>
                <w:lang w:val="en-US" w:eastAsia="zh-CN" w:bidi="ar-SA"/>
              </w:rPr>
              <w:t>6</w:t>
            </w:r>
          </w:p>
        </w:tc>
        <w:tc>
          <w:tcPr>
            <w:tcW w:w="91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cs="仿宋_GB2312"/>
                <w:color w:val="000000"/>
                <w:kern w:val="0"/>
                <w:sz w:val="20"/>
                <w:szCs w:val="20"/>
                <w:lang w:val="en-US" w:eastAsia="zh-CN" w:bidi="ar-SA"/>
              </w:rPr>
              <w:t>6</w:t>
            </w:r>
          </w:p>
        </w:tc>
        <w:tc>
          <w:tcPr>
            <w:tcW w:w="129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r>
      <w:tr>
        <w:tblPrEx>
          <w:tblCellMar>
            <w:top w:w="0" w:type="dxa"/>
            <w:left w:w="108" w:type="dxa"/>
            <w:bottom w:w="0" w:type="dxa"/>
            <w:right w:w="108" w:type="dxa"/>
          </w:tblCellMar>
        </w:tblPrEx>
        <w:trPr>
          <w:jc w:val="center"/>
        </w:trPr>
        <w:tc>
          <w:tcPr>
            <w:tcW w:w="1158" w:type="dxa"/>
            <w:vMerge w:val="continue"/>
            <w:tcBorders>
              <w:left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1050" w:type="dxa"/>
            <w:vMerge w:val="continue"/>
            <w:tcBorders>
              <w:left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31" w:type="dxa"/>
            <w:vMerge w:val="restart"/>
            <w:tcBorders>
              <w:top w:val="single" w:color="auto" w:sz="4" w:space="0"/>
              <w:left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both"/>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可持续影响指标</w:t>
            </w:r>
          </w:p>
        </w:tc>
        <w:tc>
          <w:tcPr>
            <w:tcW w:w="127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both"/>
              <w:textAlignment w:val="auto"/>
              <w:rPr>
                <w:rFonts w:hint="eastAsia" w:ascii="仿宋_GB2312" w:hAnsi="仿宋_GB2312" w:eastAsia="仿宋_GB2312" w:cs="仿宋_GB2312"/>
                <w:color w:val="000000"/>
                <w:sz w:val="20"/>
                <w:szCs w:val="20"/>
                <w:lang w:eastAsia="zh-CN"/>
              </w:rPr>
            </w:pPr>
            <w:r>
              <w:rPr>
                <w:rFonts w:hint="eastAsia" w:ascii="仿宋_GB2312" w:hAnsi="仿宋_GB2312" w:eastAsia="仿宋_GB2312" w:cs="仿宋_GB2312"/>
                <w:color w:val="000000"/>
                <w:sz w:val="20"/>
                <w:szCs w:val="20"/>
                <w:lang w:val="en-US" w:eastAsia="zh-CN"/>
              </w:rPr>
              <w:t>实现江豚种群可持续发展</w:t>
            </w:r>
          </w:p>
        </w:tc>
        <w:tc>
          <w:tcPr>
            <w:tcW w:w="121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both"/>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lang w:val="en-US" w:eastAsia="zh-CN"/>
              </w:rPr>
              <w:t>江豚种群数量稳中向增　</w:t>
            </w:r>
          </w:p>
        </w:tc>
        <w:tc>
          <w:tcPr>
            <w:tcW w:w="121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textAlignment w:val="auto"/>
              <w:rPr>
                <w:rFonts w:hint="eastAsia" w:ascii="仿宋_GB2312" w:hAnsi="仿宋_GB2312" w:eastAsia="仿宋_GB2312" w:cs="仿宋_GB2312"/>
                <w:color w:val="000000"/>
                <w:sz w:val="20"/>
                <w:szCs w:val="20"/>
                <w:lang w:eastAsia="zh-CN"/>
              </w:rPr>
            </w:pPr>
            <w:r>
              <w:rPr>
                <w:rFonts w:hint="eastAsia" w:ascii="仿宋_GB2312" w:hAnsi="仿宋_GB2312" w:eastAsia="仿宋_GB2312" w:cs="仿宋_GB2312"/>
                <w:color w:val="000000"/>
                <w:sz w:val="20"/>
                <w:szCs w:val="20"/>
                <w:lang w:eastAsia="zh-CN"/>
              </w:rPr>
              <w:t>有所提升</w:t>
            </w:r>
          </w:p>
        </w:tc>
        <w:tc>
          <w:tcPr>
            <w:tcW w:w="69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cs="仿宋_GB2312"/>
                <w:color w:val="000000"/>
                <w:sz w:val="20"/>
                <w:szCs w:val="20"/>
                <w:lang w:val="en-US" w:eastAsia="zh-CN"/>
              </w:rPr>
              <w:t>6</w:t>
            </w:r>
          </w:p>
        </w:tc>
        <w:tc>
          <w:tcPr>
            <w:tcW w:w="91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cs="仿宋_GB2312"/>
                <w:color w:val="000000"/>
                <w:sz w:val="20"/>
                <w:szCs w:val="20"/>
                <w:lang w:val="en-US" w:eastAsia="zh-CN"/>
              </w:rPr>
              <w:t>6</w:t>
            </w:r>
          </w:p>
        </w:tc>
        <w:tc>
          <w:tcPr>
            <w:tcW w:w="129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158" w:type="dxa"/>
            <w:vMerge w:val="continue"/>
            <w:tcBorders>
              <w:left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1050" w:type="dxa"/>
            <w:vMerge w:val="continue"/>
            <w:tcBorders>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31" w:type="dxa"/>
            <w:vMerge w:val="continue"/>
            <w:tcBorders>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both"/>
              <w:textAlignment w:val="auto"/>
              <w:rPr>
                <w:rFonts w:hint="eastAsia" w:ascii="仿宋_GB2312" w:hAnsi="仿宋_GB2312" w:eastAsia="仿宋_GB2312" w:cs="仿宋_GB2312"/>
                <w:color w:val="000000"/>
                <w:sz w:val="20"/>
                <w:szCs w:val="20"/>
              </w:rPr>
            </w:pPr>
          </w:p>
        </w:tc>
        <w:tc>
          <w:tcPr>
            <w:tcW w:w="127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left"/>
              <w:textAlignment w:val="auto"/>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洞庭湖生态环境向好发展</w:t>
            </w:r>
          </w:p>
        </w:tc>
        <w:tc>
          <w:tcPr>
            <w:tcW w:w="121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both"/>
              <w:textAlignment w:val="auto"/>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eastAsia="zh-CN"/>
              </w:rPr>
              <w:t>有所改善</w:t>
            </w:r>
          </w:p>
        </w:tc>
        <w:tc>
          <w:tcPr>
            <w:tcW w:w="121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textAlignment w:val="auto"/>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eastAsia="zh-CN"/>
              </w:rPr>
              <w:t>有所改善</w:t>
            </w:r>
          </w:p>
        </w:tc>
        <w:tc>
          <w:tcPr>
            <w:tcW w:w="69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cs="仿宋_GB2312"/>
                <w:color w:val="000000"/>
                <w:sz w:val="20"/>
                <w:szCs w:val="20"/>
                <w:lang w:val="en-US" w:eastAsia="zh-CN"/>
              </w:rPr>
              <w:t>6</w:t>
            </w:r>
          </w:p>
        </w:tc>
        <w:tc>
          <w:tcPr>
            <w:tcW w:w="91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cs="仿宋_GB2312"/>
                <w:color w:val="000000"/>
                <w:sz w:val="20"/>
                <w:szCs w:val="20"/>
                <w:lang w:val="en-US" w:eastAsia="zh-CN"/>
              </w:rPr>
              <w:t>6</w:t>
            </w:r>
          </w:p>
        </w:tc>
        <w:tc>
          <w:tcPr>
            <w:tcW w:w="129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r>
      <w:tr>
        <w:tblPrEx>
          <w:tblCellMar>
            <w:top w:w="0" w:type="dxa"/>
            <w:left w:w="108" w:type="dxa"/>
            <w:bottom w:w="0" w:type="dxa"/>
            <w:right w:w="108" w:type="dxa"/>
          </w:tblCellMar>
        </w:tblPrEx>
        <w:trPr>
          <w:jc w:val="center"/>
        </w:trPr>
        <w:tc>
          <w:tcPr>
            <w:tcW w:w="1158"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both"/>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满意度</w:t>
            </w:r>
          </w:p>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both"/>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指标</w:t>
            </w:r>
          </w:p>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both"/>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（10分）</w:t>
            </w:r>
          </w:p>
        </w:tc>
        <w:tc>
          <w:tcPr>
            <w:tcW w:w="10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both"/>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服务对象满意度指标</w:t>
            </w:r>
          </w:p>
        </w:tc>
        <w:tc>
          <w:tcPr>
            <w:tcW w:w="127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ind w:left="0" w:leftChars="0" w:firstLine="0" w:firstLineChars="0"/>
              <w:jc w:val="left"/>
              <w:textAlignment w:val="auto"/>
              <w:rPr>
                <w:rFonts w:hint="eastAsia" w:ascii="仿宋" w:hAnsi="仿宋" w:eastAsia="仿宋_GB2312" w:cs="Times New Roman"/>
                <w:kern w:val="0"/>
                <w:sz w:val="20"/>
                <w:szCs w:val="20"/>
                <w:lang w:val="en-US" w:eastAsia="zh-CN" w:bidi="ar-SA"/>
              </w:rPr>
            </w:pPr>
            <w:r>
              <w:rPr>
                <w:rFonts w:hint="eastAsia" w:eastAsia="仿宋_GB2312"/>
                <w:kern w:val="0"/>
                <w:sz w:val="20"/>
                <w:szCs w:val="20"/>
              </w:rPr>
              <w:t>群众满意度</w:t>
            </w:r>
          </w:p>
        </w:tc>
        <w:tc>
          <w:tcPr>
            <w:tcW w:w="121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ind w:left="0" w:leftChars="0" w:firstLine="0" w:firstLineChars="0"/>
              <w:jc w:val="left"/>
              <w:textAlignment w:val="auto"/>
              <w:rPr>
                <w:rFonts w:hint="eastAsia" w:ascii="仿宋" w:hAnsi="仿宋" w:eastAsia="仿宋_GB2312" w:cs="Times New Roman"/>
                <w:kern w:val="0"/>
                <w:sz w:val="20"/>
                <w:szCs w:val="20"/>
                <w:lang w:val="en-US" w:eastAsia="zh-CN" w:bidi="ar-SA"/>
              </w:rPr>
            </w:pPr>
            <w:r>
              <w:rPr>
                <w:rFonts w:hint="eastAsia" w:ascii="仿宋_GB2312" w:hAnsi="仿宋_GB2312" w:eastAsia="仿宋_GB2312" w:cs="仿宋_GB2312"/>
                <w:kern w:val="0"/>
                <w:sz w:val="20"/>
                <w:szCs w:val="20"/>
              </w:rPr>
              <w:t>≥</w:t>
            </w:r>
            <w:r>
              <w:rPr>
                <w:rFonts w:hint="eastAsia" w:eastAsia="仿宋_GB2312"/>
                <w:kern w:val="0"/>
                <w:sz w:val="20"/>
                <w:szCs w:val="20"/>
              </w:rPr>
              <w:t>9</w:t>
            </w:r>
            <w:r>
              <w:rPr>
                <w:rFonts w:hint="eastAsia" w:eastAsia="仿宋_GB2312"/>
                <w:kern w:val="0"/>
                <w:sz w:val="20"/>
                <w:szCs w:val="20"/>
                <w:lang w:val="en-US" w:eastAsia="zh-CN"/>
              </w:rPr>
              <w:t>0</w:t>
            </w:r>
            <w:r>
              <w:rPr>
                <w:rFonts w:hint="eastAsia" w:eastAsia="仿宋_GB2312"/>
                <w:kern w:val="0"/>
                <w:sz w:val="20"/>
                <w:szCs w:val="20"/>
              </w:rPr>
              <w:t>%</w:t>
            </w:r>
          </w:p>
        </w:tc>
        <w:tc>
          <w:tcPr>
            <w:tcW w:w="121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kern w:val="0"/>
                <w:sz w:val="20"/>
                <w:szCs w:val="20"/>
              </w:rPr>
              <w:t>≥</w:t>
            </w:r>
            <w:r>
              <w:rPr>
                <w:rFonts w:hint="eastAsia" w:eastAsia="仿宋_GB2312"/>
                <w:kern w:val="0"/>
                <w:sz w:val="20"/>
                <w:szCs w:val="20"/>
              </w:rPr>
              <w:t>9</w:t>
            </w:r>
            <w:r>
              <w:rPr>
                <w:rFonts w:hint="eastAsia" w:eastAsia="仿宋_GB2312"/>
                <w:kern w:val="0"/>
                <w:sz w:val="20"/>
                <w:szCs w:val="20"/>
                <w:lang w:val="en-US" w:eastAsia="zh-CN"/>
              </w:rPr>
              <w:t>0</w:t>
            </w:r>
            <w:r>
              <w:rPr>
                <w:rFonts w:hint="eastAsia" w:eastAsia="仿宋_GB2312"/>
                <w:kern w:val="0"/>
                <w:sz w:val="20"/>
                <w:szCs w:val="20"/>
              </w:rPr>
              <w:t>%</w:t>
            </w:r>
          </w:p>
        </w:tc>
        <w:tc>
          <w:tcPr>
            <w:tcW w:w="69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10</w:t>
            </w:r>
          </w:p>
        </w:tc>
        <w:tc>
          <w:tcPr>
            <w:tcW w:w="91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10</w:t>
            </w:r>
          </w:p>
        </w:tc>
        <w:tc>
          <w:tcPr>
            <w:tcW w:w="129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6952" w:type="dxa"/>
            <w:gridSpan w:val="6"/>
            <w:tcBorders>
              <w:top w:val="single" w:color="auto" w:sz="4" w:space="0"/>
              <w:left w:val="single" w:color="auto" w:sz="4" w:space="0"/>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总分</w:t>
            </w:r>
          </w:p>
        </w:tc>
        <w:tc>
          <w:tcPr>
            <w:tcW w:w="69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100</w:t>
            </w:r>
          </w:p>
        </w:tc>
        <w:tc>
          <w:tcPr>
            <w:tcW w:w="91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cs="仿宋_GB2312"/>
                <w:color w:val="000000"/>
                <w:sz w:val="20"/>
                <w:szCs w:val="20"/>
                <w:lang w:val="en-US" w:eastAsia="zh-CN"/>
              </w:rPr>
              <w:t>98.75</w:t>
            </w:r>
          </w:p>
        </w:tc>
        <w:tc>
          <w:tcPr>
            <w:tcW w:w="129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bl>
    <w:p>
      <w:pPr>
        <w:adjustRightInd/>
        <w:spacing w:before="108" w:beforeLines="25" w:after="108" w:afterLines="25" w:line="500" w:lineRule="exact"/>
        <w:ind w:firstLine="0" w:firstLineChars="0"/>
        <w:jc w:val="both"/>
        <w:rPr>
          <w:rFonts w:hint="eastAsia" w:ascii="仿宋_GB2312" w:hAnsi="仿宋_GB2312" w:eastAsia="仿宋_GB2312" w:cs="仿宋_GB2312"/>
          <w:color w:val="000000"/>
          <w:kern w:val="0"/>
          <w:sz w:val="32"/>
          <w:szCs w:val="32"/>
          <w:highlight w:val="none"/>
          <w:lang w:val="en-US" w:eastAsia="zh-CN"/>
        </w:rPr>
      </w:pPr>
      <w:r>
        <w:rPr>
          <w:rFonts w:eastAsia="仿宋"/>
          <w:kern w:val="0"/>
          <w:szCs w:val="22"/>
          <w:highlight w:val="none"/>
        </w:rPr>
        <w:t xml:space="preserve"> </w:t>
      </w:r>
    </w:p>
    <w:p>
      <w:pPr>
        <w:pStyle w:val="2"/>
      </w:pP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59886344"/>
    <w:rsid w:val="000A556A"/>
    <w:rsid w:val="00131F1E"/>
    <w:rsid w:val="00190990"/>
    <w:rsid w:val="0019331D"/>
    <w:rsid w:val="001B0470"/>
    <w:rsid w:val="001D033A"/>
    <w:rsid w:val="001F2FBB"/>
    <w:rsid w:val="002B7557"/>
    <w:rsid w:val="00317E76"/>
    <w:rsid w:val="0033131A"/>
    <w:rsid w:val="003400BC"/>
    <w:rsid w:val="003F41EE"/>
    <w:rsid w:val="003F78AE"/>
    <w:rsid w:val="004125CC"/>
    <w:rsid w:val="0042488F"/>
    <w:rsid w:val="00453733"/>
    <w:rsid w:val="004B74E1"/>
    <w:rsid w:val="004C3BBF"/>
    <w:rsid w:val="00525822"/>
    <w:rsid w:val="005558A2"/>
    <w:rsid w:val="005B5158"/>
    <w:rsid w:val="005F6839"/>
    <w:rsid w:val="00633BCF"/>
    <w:rsid w:val="00650702"/>
    <w:rsid w:val="006B1768"/>
    <w:rsid w:val="007315BA"/>
    <w:rsid w:val="00765A68"/>
    <w:rsid w:val="0076608D"/>
    <w:rsid w:val="007815A1"/>
    <w:rsid w:val="00794585"/>
    <w:rsid w:val="007C23CE"/>
    <w:rsid w:val="007C3939"/>
    <w:rsid w:val="00816CE8"/>
    <w:rsid w:val="0083403F"/>
    <w:rsid w:val="00843E79"/>
    <w:rsid w:val="00847D0A"/>
    <w:rsid w:val="008B37AA"/>
    <w:rsid w:val="008F5F94"/>
    <w:rsid w:val="00983F4D"/>
    <w:rsid w:val="009F2542"/>
    <w:rsid w:val="00AA7ADE"/>
    <w:rsid w:val="00AF75AE"/>
    <w:rsid w:val="00B0115C"/>
    <w:rsid w:val="00B91C1B"/>
    <w:rsid w:val="00C818A1"/>
    <w:rsid w:val="00C97CEE"/>
    <w:rsid w:val="00D40EBC"/>
    <w:rsid w:val="00D963CE"/>
    <w:rsid w:val="00DD2A61"/>
    <w:rsid w:val="00E007C5"/>
    <w:rsid w:val="00E25870"/>
    <w:rsid w:val="00E8783D"/>
    <w:rsid w:val="00E972B9"/>
    <w:rsid w:val="00F377CE"/>
    <w:rsid w:val="00F627D3"/>
    <w:rsid w:val="01952F37"/>
    <w:rsid w:val="02F372BD"/>
    <w:rsid w:val="03F31C2B"/>
    <w:rsid w:val="044678C4"/>
    <w:rsid w:val="04F22EC6"/>
    <w:rsid w:val="055A0978"/>
    <w:rsid w:val="05A474CB"/>
    <w:rsid w:val="06BE663A"/>
    <w:rsid w:val="07177427"/>
    <w:rsid w:val="081B0ED1"/>
    <w:rsid w:val="0A1B5D70"/>
    <w:rsid w:val="0A4217FA"/>
    <w:rsid w:val="0A45717B"/>
    <w:rsid w:val="0A6510E3"/>
    <w:rsid w:val="0ABD75B5"/>
    <w:rsid w:val="0ACC08AD"/>
    <w:rsid w:val="0B173A78"/>
    <w:rsid w:val="0B89573A"/>
    <w:rsid w:val="0CBB7716"/>
    <w:rsid w:val="0D727780"/>
    <w:rsid w:val="0DDF5094"/>
    <w:rsid w:val="0E1F18C2"/>
    <w:rsid w:val="0E696A98"/>
    <w:rsid w:val="10417FBD"/>
    <w:rsid w:val="11BB68C6"/>
    <w:rsid w:val="123419D5"/>
    <w:rsid w:val="12712275"/>
    <w:rsid w:val="12B94C10"/>
    <w:rsid w:val="12F83150"/>
    <w:rsid w:val="132D66E2"/>
    <w:rsid w:val="1391774F"/>
    <w:rsid w:val="14AD49C6"/>
    <w:rsid w:val="14C121C6"/>
    <w:rsid w:val="1618737C"/>
    <w:rsid w:val="16582618"/>
    <w:rsid w:val="16A2088B"/>
    <w:rsid w:val="17000A9B"/>
    <w:rsid w:val="17CF7C43"/>
    <w:rsid w:val="17DB5FE1"/>
    <w:rsid w:val="190E2323"/>
    <w:rsid w:val="19D04008"/>
    <w:rsid w:val="19D7356C"/>
    <w:rsid w:val="1B3313FD"/>
    <w:rsid w:val="1BCF44C7"/>
    <w:rsid w:val="1C4C06A9"/>
    <w:rsid w:val="1CAD32C5"/>
    <w:rsid w:val="1DAB1536"/>
    <w:rsid w:val="1DD81B79"/>
    <w:rsid w:val="1FB2526A"/>
    <w:rsid w:val="20917002"/>
    <w:rsid w:val="20F25450"/>
    <w:rsid w:val="21136BAF"/>
    <w:rsid w:val="21516016"/>
    <w:rsid w:val="217C0550"/>
    <w:rsid w:val="21D93A9C"/>
    <w:rsid w:val="226065FB"/>
    <w:rsid w:val="232903E3"/>
    <w:rsid w:val="233A56BB"/>
    <w:rsid w:val="2428149D"/>
    <w:rsid w:val="26EE4C4B"/>
    <w:rsid w:val="280026C9"/>
    <w:rsid w:val="28A4282D"/>
    <w:rsid w:val="2CC0082E"/>
    <w:rsid w:val="2ED35D30"/>
    <w:rsid w:val="2FEC0889"/>
    <w:rsid w:val="30406D2B"/>
    <w:rsid w:val="333A27A6"/>
    <w:rsid w:val="350A1FB3"/>
    <w:rsid w:val="358A7F3D"/>
    <w:rsid w:val="358E4C72"/>
    <w:rsid w:val="35E022FF"/>
    <w:rsid w:val="363B56FC"/>
    <w:rsid w:val="36583271"/>
    <w:rsid w:val="3687704E"/>
    <w:rsid w:val="368E19FC"/>
    <w:rsid w:val="36C47158"/>
    <w:rsid w:val="372C129A"/>
    <w:rsid w:val="374408F4"/>
    <w:rsid w:val="378F7578"/>
    <w:rsid w:val="388824D1"/>
    <w:rsid w:val="39625F56"/>
    <w:rsid w:val="3ACA7048"/>
    <w:rsid w:val="3AFA71C0"/>
    <w:rsid w:val="3C3A4DDB"/>
    <w:rsid w:val="3CAC0194"/>
    <w:rsid w:val="3CFF2349"/>
    <w:rsid w:val="3DC77C6C"/>
    <w:rsid w:val="3E8E1E8D"/>
    <w:rsid w:val="3F301AF9"/>
    <w:rsid w:val="3FA50A26"/>
    <w:rsid w:val="430E6074"/>
    <w:rsid w:val="44402604"/>
    <w:rsid w:val="446E6BEC"/>
    <w:rsid w:val="459B180B"/>
    <w:rsid w:val="472639A3"/>
    <w:rsid w:val="47F41009"/>
    <w:rsid w:val="480C6A83"/>
    <w:rsid w:val="48BC4CB9"/>
    <w:rsid w:val="48F9156F"/>
    <w:rsid w:val="49EC51CF"/>
    <w:rsid w:val="49F73B36"/>
    <w:rsid w:val="4B9F384E"/>
    <w:rsid w:val="4DAF6A9C"/>
    <w:rsid w:val="4DCD6C57"/>
    <w:rsid w:val="4E2C1F4F"/>
    <w:rsid w:val="4E473C7F"/>
    <w:rsid w:val="4E8C4D86"/>
    <w:rsid w:val="4E973CA3"/>
    <w:rsid w:val="503F39A6"/>
    <w:rsid w:val="515F414B"/>
    <w:rsid w:val="51FC3021"/>
    <w:rsid w:val="521B61FC"/>
    <w:rsid w:val="53066D68"/>
    <w:rsid w:val="53304C47"/>
    <w:rsid w:val="536C4061"/>
    <w:rsid w:val="538D6E0E"/>
    <w:rsid w:val="54CC5055"/>
    <w:rsid w:val="54FB36B9"/>
    <w:rsid w:val="55D61A48"/>
    <w:rsid w:val="57BE3581"/>
    <w:rsid w:val="57BF6D20"/>
    <w:rsid w:val="58602796"/>
    <w:rsid w:val="588F1F2E"/>
    <w:rsid w:val="58E35497"/>
    <w:rsid w:val="59886344"/>
    <w:rsid w:val="59FB6512"/>
    <w:rsid w:val="5A133503"/>
    <w:rsid w:val="5AA061A5"/>
    <w:rsid w:val="5ADE77A5"/>
    <w:rsid w:val="5B1249B7"/>
    <w:rsid w:val="5B217A8D"/>
    <w:rsid w:val="5B987182"/>
    <w:rsid w:val="5C9C1B4E"/>
    <w:rsid w:val="5CBF5700"/>
    <w:rsid w:val="5DB206CB"/>
    <w:rsid w:val="5DB55261"/>
    <w:rsid w:val="5F382A85"/>
    <w:rsid w:val="60045F60"/>
    <w:rsid w:val="602B4E89"/>
    <w:rsid w:val="605C2B62"/>
    <w:rsid w:val="6093597D"/>
    <w:rsid w:val="60CD160F"/>
    <w:rsid w:val="618917ED"/>
    <w:rsid w:val="63DD667A"/>
    <w:rsid w:val="647A1265"/>
    <w:rsid w:val="653322AC"/>
    <w:rsid w:val="65D55603"/>
    <w:rsid w:val="66216EF2"/>
    <w:rsid w:val="66364CD7"/>
    <w:rsid w:val="67A46C7A"/>
    <w:rsid w:val="693A3CD8"/>
    <w:rsid w:val="694009B4"/>
    <w:rsid w:val="69C348D3"/>
    <w:rsid w:val="69FB54E1"/>
    <w:rsid w:val="6ADF6DC0"/>
    <w:rsid w:val="6B9123B6"/>
    <w:rsid w:val="6C3C13AC"/>
    <w:rsid w:val="6D14073D"/>
    <w:rsid w:val="6D56298B"/>
    <w:rsid w:val="6DBB3C6C"/>
    <w:rsid w:val="6E0F43AC"/>
    <w:rsid w:val="6E4E2789"/>
    <w:rsid w:val="6E54579E"/>
    <w:rsid w:val="6E58398A"/>
    <w:rsid w:val="70776839"/>
    <w:rsid w:val="70EC198D"/>
    <w:rsid w:val="72744007"/>
    <w:rsid w:val="72A64D84"/>
    <w:rsid w:val="73F04310"/>
    <w:rsid w:val="74EF4E87"/>
    <w:rsid w:val="75135336"/>
    <w:rsid w:val="75A24E51"/>
    <w:rsid w:val="76550110"/>
    <w:rsid w:val="77DC3227"/>
    <w:rsid w:val="79046242"/>
    <w:rsid w:val="791A28EE"/>
    <w:rsid w:val="7ABD64FF"/>
    <w:rsid w:val="7ADF4342"/>
    <w:rsid w:val="7B496505"/>
    <w:rsid w:val="7C1A0962"/>
    <w:rsid w:val="7CF93185"/>
    <w:rsid w:val="7D083780"/>
    <w:rsid w:val="7D48077E"/>
    <w:rsid w:val="7D7D4861"/>
    <w:rsid w:val="7FEB1C51"/>
    <w:rsid w:val="7FF7244E"/>
    <w:rsid w:val="DFEF884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仿宋" w:hAnsi="仿宋" w:eastAsia="宋体" w:cs="Times New Roman"/>
      <w:sz w:val="28"/>
      <w:szCs w:val="24"/>
      <w:lang w:val="en-US" w:eastAsia="zh-CN" w:bidi="ar-SA"/>
    </w:rPr>
  </w:style>
  <w:style w:type="paragraph" w:styleId="3">
    <w:name w:val="heading 3"/>
    <w:basedOn w:val="1"/>
    <w:next w:val="1"/>
    <w:qFormat/>
    <w:uiPriority w:val="0"/>
    <w:pPr>
      <w:adjustRightInd w:val="0"/>
      <w:snapToGrid w:val="0"/>
      <w:spacing w:line="579" w:lineRule="atLeast"/>
      <w:ind w:firstLine="200" w:firstLineChars="200"/>
      <w:outlineLvl w:val="2"/>
    </w:pPr>
    <w:rPr>
      <w:rFonts w:ascii="Times New Roman" w:hAnsi="Times New Roman" w:eastAsia="楷体_GB2312"/>
      <w:b/>
      <w:bCs/>
      <w:kern w:val="2"/>
      <w:sz w:val="32"/>
      <w:szCs w:val="32"/>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semiHidden/>
    <w:qFormat/>
    <w:uiPriority w:val="0"/>
    <w:rPr>
      <w:rFonts w:eastAsia="仿宋" w:cs="仿宋"/>
      <w:sz w:val="31"/>
      <w:szCs w:val="31"/>
      <w:lang w:eastAsia="en-US"/>
    </w:rPr>
  </w:style>
  <w:style w:type="paragraph" w:styleId="4">
    <w:name w:val="footer"/>
    <w:basedOn w:val="1"/>
    <w:link w:val="13"/>
    <w:qFormat/>
    <w:uiPriority w:val="0"/>
    <w:pPr>
      <w:tabs>
        <w:tab w:val="center" w:pos="4153"/>
        <w:tab w:val="right" w:pos="8306"/>
      </w:tabs>
      <w:snapToGrid w:val="0"/>
      <w:jc w:val="left"/>
    </w:pPr>
    <w:rPr>
      <w:sz w:val="18"/>
      <w:szCs w:val="18"/>
    </w:rPr>
  </w:style>
  <w:style w:type="paragraph" w:styleId="5">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widowControl/>
      <w:spacing w:before="100" w:beforeAutospacing="1" w:after="100" w:afterAutospacing="1"/>
      <w:jc w:val="left"/>
    </w:pPr>
    <w:rPr>
      <w:rFonts w:ascii="宋体" w:hAnsi="宋体" w:cs="宋体"/>
      <w:sz w:val="24"/>
    </w:rPr>
  </w:style>
  <w:style w:type="table" w:styleId="8">
    <w:name w:val="Table Grid"/>
    <w:basedOn w:val="7"/>
    <w:qFormat/>
    <w:uiPriority w:val="0"/>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paragraph" w:customStyle="1" w:styleId="10">
    <w:name w:val="列出段落1"/>
    <w:basedOn w:val="1"/>
    <w:qFormat/>
    <w:uiPriority w:val="34"/>
    <w:pPr>
      <w:ind w:firstLine="420" w:firstLineChars="200"/>
    </w:pPr>
  </w:style>
  <w:style w:type="paragraph" w:styleId="11">
    <w:name w:val="List Paragraph"/>
    <w:basedOn w:val="1"/>
    <w:qFormat/>
    <w:uiPriority w:val="99"/>
    <w:pPr>
      <w:ind w:firstLine="420" w:firstLineChars="200"/>
    </w:pPr>
    <w:rPr>
      <w:rFonts w:ascii="Calibri" w:hAnsi="Calibri"/>
      <w:szCs w:val="22"/>
    </w:rPr>
  </w:style>
  <w:style w:type="character" w:customStyle="1" w:styleId="12">
    <w:name w:val="页眉 Char"/>
    <w:basedOn w:val="9"/>
    <w:link w:val="5"/>
    <w:qFormat/>
    <w:uiPriority w:val="0"/>
    <w:rPr>
      <w:rFonts w:ascii="仿宋" w:hAnsi="仿宋" w:eastAsia="宋体" w:cs="Times New Roman"/>
      <w:sz w:val="18"/>
      <w:szCs w:val="18"/>
    </w:rPr>
  </w:style>
  <w:style w:type="character" w:customStyle="1" w:styleId="13">
    <w:name w:val="页脚 Char"/>
    <w:basedOn w:val="9"/>
    <w:link w:val="4"/>
    <w:qFormat/>
    <w:uiPriority w:val="0"/>
    <w:rPr>
      <w:rFonts w:ascii="仿宋" w:hAnsi="仿宋"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2</Pages>
  <Words>205</Words>
  <Characters>1170</Characters>
  <Lines>9</Lines>
  <Paragraphs>2</Paragraphs>
  <TotalTime>35</TotalTime>
  <ScaleCrop>false</ScaleCrop>
  <LinksUpToDate>false</LinksUpToDate>
  <CharactersWithSpaces>1373</CharactersWithSpaces>
  <Application>WPS Office_11.8.6.11021_F1E327BC-269C-435d-A152-05C5408002CA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2024-03-18T08:36:00Z</dcterms:created>
  <dc:creator>Administrator</dc:creator>
  <cp:lastModifiedBy>Administrator</cp:lastModifiedBy>
  <dcterms:modified xsi:type="dcterms:W3CDTF">2024-09-13T08:27:01Z</dcterms:modified>
  <cp:revision>74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2052-11.8.6.11021</vt:lpwstr>
  </property>
  <property fmtid="{D5CDD505-2E9C-101B-9397-08002B2CF9AE}" pid="3" name="ICV">
    <vt:lpwstr>6182D3A10D564617983F46DEE354AEAF</vt:lpwstr>
  </property>
</Properties>
</file>