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jc w:val="center"/>
        <w:rPr>
          <w:sz w:val="56"/>
          <w:szCs w:val="56"/>
        </w:rPr>
      </w:pPr>
    </w:p>
    <w:p>
      <w:pPr>
        <w:pStyle w:val="16"/>
        <w:jc w:val="center"/>
        <w:rPr>
          <w:sz w:val="56"/>
          <w:szCs w:val="56"/>
        </w:rPr>
      </w:pPr>
    </w:p>
    <w:p>
      <w:pPr>
        <w:pStyle w:val="16"/>
        <w:jc w:val="center"/>
        <w:rPr>
          <w:sz w:val="84"/>
          <w:szCs w:val="84"/>
        </w:rPr>
      </w:pPr>
    </w:p>
    <w:p>
      <w:pPr>
        <w:pStyle w:val="16"/>
        <w:jc w:val="center"/>
        <w:rPr>
          <w:sz w:val="84"/>
          <w:szCs w:val="84"/>
        </w:rPr>
      </w:pPr>
    </w:p>
    <w:p>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6"/>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岳阳市农业农村事务中心</w:t>
      </w:r>
    </w:p>
    <w:p>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6"/>
        <w:jc w:val="center"/>
        <w:rPr>
          <w:rFonts w:hint="eastAsia" w:ascii="方正小标宋_GBK" w:hAnsi="方正小标宋_GBK" w:eastAsia="方正小标宋_GBK" w:cs="方正小标宋_GBK"/>
          <w:sz w:val="56"/>
          <w:szCs w:val="56"/>
        </w:rPr>
      </w:pPr>
    </w:p>
    <w:p>
      <w:pPr>
        <w:pStyle w:val="16"/>
        <w:jc w:val="center"/>
        <w:rPr>
          <w:sz w:val="56"/>
          <w:szCs w:val="56"/>
        </w:rPr>
      </w:pPr>
    </w:p>
    <w:p>
      <w:pPr>
        <w:pStyle w:val="16"/>
        <w:jc w:val="center"/>
        <w:rPr>
          <w:sz w:val="56"/>
          <w:szCs w:val="56"/>
        </w:rPr>
      </w:pPr>
    </w:p>
    <w:p>
      <w:pPr>
        <w:pStyle w:val="16"/>
        <w:jc w:val="center"/>
        <w:rPr>
          <w:sz w:val="56"/>
          <w:szCs w:val="56"/>
        </w:rPr>
      </w:pPr>
    </w:p>
    <w:p>
      <w:pPr>
        <w:pStyle w:val="16"/>
        <w:jc w:val="center"/>
        <w:rPr>
          <w:sz w:val="32"/>
          <w:szCs w:val="32"/>
        </w:rPr>
      </w:pPr>
    </w:p>
    <w:p>
      <w:pPr>
        <w:pStyle w:val="16"/>
        <w:jc w:val="center"/>
        <w:rPr>
          <w:sz w:val="32"/>
          <w:szCs w:val="32"/>
        </w:rPr>
      </w:pPr>
    </w:p>
    <w:p>
      <w:pPr>
        <w:pStyle w:val="16"/>
        <w:spacing w:line="500" w:lineRule="exact"/>
        <w:jc w:val="both"/>
        <w:rPr>
          <w:b/>
          <w:sz w:val="36"/>
          <w:szCs w:val="28"/>
        </w:rPr>
      </w:pPr>
    </w:p>
    <w:p>
      <w:pPr>
        <w:pStyle w:val="16"/>
        <w:spacing w:line="500" w:lineRule="exact"/>
        <w:jc w:val="both"/>
        <w:rPr>
          <w:b/>
          <w:sz w:val="36"/>
          <w:szCs w:val="28"/>
        </w:rPr>
      </w:pPr>
    </w:p>
    <w:p>
      <w:pPr>
        <w:pStyle w:val="16"/>
        <w:spacing w:line="500" w:lineRule="exact"/>
        <w:jc w:val="center"/>
        <w:rPr>
          <w:b/>
          <w:sz w:val="36"/>
          <w:szCs w:val="28"/>
        </w:rPr>
      </w:pPr>
      <w:r>
        <w:rPr>
          <w:rFonts w:hint="eastAsia"/>
          <w:b/>
          <w:sz w:val="36"/>
          <w:szCs w:val="28"/>
        </w:rPr>
        <w:t>目录</w:t>
      </w:r>
    </w:p>
    <w:p>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岳阳市农业农村事务中心</w:t>
      </w:r>
      <w:r>
        <w:rPr>
          <w:rFonts w:hint="eastAsia" w:ascii="黑体" w:hAnsi="黑体" w:eastAsia="黑体" w:cs="黑体"/>
          <w:b w:val="0"/>
          <w:bCs/>
          <w:sz w:val="28"/>
          <w:szCs w:val="28"/>
        </w:rPr>
        <w:t>概况</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二、机构设置及决算单位构成</w:t>
      </w:r>
    </w:p>
    <w:p>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6"/>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6"/>
        <w:jc w:val="center"/>
        <w:rPr>
          <w:rFonts w:hint="eastAsia" w:ascii="方正小标宋_GBK" w:hAnsi="方正小标宋_GBK" w:eastAsia="方正小标宋_GBK" w:cs="方正小标宋_GBK"/>
          <w:sz w:val="84"/>
          <w:szCs w:val="84"/>
        </w:rPr>
      </w:pPr>
    </w:p>
    <w:p>
      <w:pPr>
        <w:pStyle w:val="16"/>
        <w:jc w:val="center"/>
        <w:rPr>
          <w:rFonts w:hint="eastAsia" w:ascii="方正小标宋_GBK" w:hAnsi="方正小标宋_GBK" w:eastAsia="方正小标宋_GBK" w:cs="方正小标宋_GBK"/>
          <w:sz w:val="84"/>
          <w:szCs w:val="84"/>
        </w:rPr>
      </w:pPr>
    </w:p>
    <w:p>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6"/>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岳阳市农业农村事务中心</w:t>
      </w: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概况</w:t>
      </w:r>
    </w:p>
    <w:p>
      <w:pPr>
        <w:pStyle w:val="11"/>
        <w:rPr>
          <w:rFonts w:hint="eastAsia" w:ascii="方正小标宋_GBK" w:hAnsi="方正小标宋_GBK" w:eastAsia="方正小标宋_GBK" w:cs="方正小标宋_GBK"/>
          <w:sz w:val="84"/>
          <w:szCs w:val="84"/>
        </w:rPr>
      </w:pPr>
    </w:p>
    <w:p>
      <w:pPr>
        <w:pStyle w:val="7"/>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p>
    <w:p>
      <w:pPr>
        <w:pStyle w:val="2"/>
        <w:rPr>
          <w:rFonts w:hint="eastAsia" w:ascii="方正小标宋_GBK" w:hAnsi="方正小标宋_GBK" w:eastAsia="方正小标宋_GBK" w:cs="方正小标宋_GBK"/>
          <w:sz w:val="84"/>
          <w:szCs w:val="84"/>
        </w:rPr>
      </w:pPr>
    </w:p>
    <w:p>
      <w:pPr>
        <w:pStyle w:val="2"/>
        <w:rPr>
          <w:rFonts w:hint="eastAsia" w:ascii="方正小标宋_GBK" w:hAnsi="方正小标宋_GBK" w:eastAsia="方正小标宋_GBK" w:cs="方正小标宋_GBK"/>
          <w:sz w:val="84"/>
          <w:szCs w:val="84"/>
        </w:rPr>
      </w:pPr>
    </w:p>
    <w:p>
      <w:pPr>
        <w:widowControl/>
        <w:spacing w:line="600" w:lineRule="exact"/>
        <w:ind w:firstLine="640" w:firstLineChars="200"/>
        <w:rPr>
          <w:rFonts w:hint="eastAsia" w:ascii="黑体" w:hAnsi="黑体" w:eastAsia="黑体" w:cs="黑体"/>
          <w:b w:val="0"/>
          <w:bCs/>
          <w:kern w:val="0"/>
          <w:sz w:val="32"/>
          <w:szCs w:val="32"/>
        </w:rPr>
      </w:pPr>
      <w:r>
        <w:rPr>
          <w:rFonts w:hint="eastAsia" w:ascii="黑体" w:hAnsi="黑体" w:eastAsia="黑体" w:cs="黑体"/>
          <w:b w:val="0"/>
          <w:bCs/>
          <w:kern w:val="0"/>
          <w:sz w:val="32"/>
          <w:szCs w:val="32"/>
          <w:lang w:eastAsia="zh-CN"/>
        </w:rPr>
        <w:t>一、部门</w:t>
      </w:r>
      <w:r>
        <w:rPr>
          <w:rFonts w:hint="eastAsia" w:ascii="黑体" w:hAnsi="黑体" w:eastAsia="黑体" w:cs="黑体"/>
          <w:b w:val="0"/>
          <w:bCs/>
          <w:kern w:val="0"/>
          <w:sz w:val="32"/>
          <w:szCs w:val="32"/>
        </w:rPr>
        <w:t>职责</w:t>
      </w:r>
    </w:p>
    <w:p>
      <w:pPr>
        <w:spacing w:before="156" w:beforeLines="50" w:after="156" w:afterLines="50" w:line="560" w:lineRule="exact"/>
        <w:ind w:firstLine="640" w:firstLineChars="200"/>
        <w:rPr>
          <w:rFonts w:hint="eastAsia" w:ascii="Times New Roman" w:hAnsi="Times New Roman" w:eastAsia="仿宋_GB2312" w:cs="仿宋_GB2312"/>
          <w:kern w:val="0"/>
          <w:sz w:val="32"/>
          <w:szCs w:val="32"/>
          <w:lang w:eastAsia="zh-CN"/>
        </w:rPr>
      </w:pPr>
      <w:r>
        <w:rPr>
          <w:rFonts w:hint="eastAsia" w:ascii="Times New Roman" w:hAnsi="Times New Roman" w:eastAsia="仿宋_GB2312" w:cs="仿宋_GB2312"/>
          <w:sz w:val="32"/>
          <w:szCs w:val="32"/>
        </w:rPr>
        <w:t>（一）</w:t>
      </w:r>
      <w:r>
        <w:rPr>
          <w:rFonts w:hint="eastAsia" w:ascii="Times New Roman" w:hAnsi="Times New Roman" w:eastAsia="仿宋_GB2312" w:cs="仿宋_GB2312"/>
          <w:kern w:val="0"/>
          <w:sz w:val="32"/>
          <w:szCs w:val="32"/>
        </w:rPr>
        <w:t>主要职责为：</w:t>
      </w:r>
      <w:r>
        <w:rPr>
          <w:rFonts w:hint="eastAsia" w:ascii="Times New Roman" w:hAnsi="Times New Roman" w:eastAsia="仿宋_GB2312" w:cs="仿宋_GB2312"/>
          <w:b/>
          <w:bCs/>
          <w:kern w:val="0"/>
          <w:sz w:val="32"/>
          <w:szCs w:val="32"/>
          <w:lang w:val="en-US" w:eastAsia="zh-CN"/>
        </w:rPr>
        <w:t>一是</w:t>
      </w:r>
      <w:r>
        <w:rPr>
          <w:rFonts w:hint="eastAsia" w:ascii="Times New Roman" w:hAnsi="Times New Roman" w:eastAsia="仿宋_GB2312" w:cs="仿宋_GB2312"/>
          <w:b/>
          <w:bCs/>
          <w:kern w:val="0"/>
          <w:sz w:val="32"/>
          <w:szCs w:val="32"/>
          <w:lang w:val="zh-CN" w:eastAsia="zh-CN"/>
        </w:rPr>
        <w:t>为机关提供支持保障的职能。</w:t>
      </w:r>
      <w:r>
        <w:rPr>
          <w:rFonts w:hint="eastAsia" w:ascii="Times New Roman" w:hAnsi="Times New Roman" w:eastAsia="仿宋_GB2312" w:cs="仿宋_GB2312"/>
          <w:kern w:val="0"/>
          <w:sz w:val="32"/>
          <w:szCs w:val="32"/>
          <w:lang w:val="zh-CN" w:eastAsia="zh-CN"/>
        </w:rPr>
        <w:t>主要参与拟订农业产业发展规划相关事务性工作；组织农业项目评审、农村集体产权交易、农村承包地经营权流转农村事务的行政辅助工作。负责基层农业技术推广体系和农业广播电视学校体系建设以及工作考评的事务性工作。负责土壤耕地质量、土壤肥力、水生动物疫病、渔业环境等农业生态环境监测的技术支撑工作；负责退化耕地治理、耕地质量损毁和修复鉴定的技术支撑工作；负责指导耕地质量监测网络建设事务性工作；负责养殖业结构调整、产业规划与布局、标准化生产、 规模化养殖和畜禽粪污资源化利用的技术支撑工作。负责农机社会化服务和农机装备产业化发展的技术 支撑工作。</w:t>
      </w:r>
      <w:r>
        <w:rPr>
          <w:rFonts w:hint="eastAsia" w:ascii="Times New Roman" w:hAnsi="Times New Roman" w:eastAsia="仿宋_GB2312" w:cs="仿宋_GB2312"/>
          <w:b/>
          <w:bCs/>
          <w:kern w:val="0"/>
          <w:sz w:val="32"/>
          <w:szCs w:val="32"/>
          <w:lang w:val="zh-CN" w:eastAsia="zh-CN"/>
        </w:rPr>
        <w:t>二是面向社会提供公益服务的职能。</w:t>
      </w:r>
      <w:r>
        <w:rPr>
          <w:rFonts w:hint="eastAsia" w:ascii="Times New Roman" w:hAnsi="Times New Roman" w:eastAsia="仿宋_GB2312" w:cs="仿宋_GB2312"/>
          <w:kern w:val="0"/>
          <w:sz w:val="32"/>
          <w:szCs w:val="32"/>
          <w:lang w:val="zh-CN" w:eastAsia="zh-CN"/>
        </w:rPr>
        <w:t>负责农业技术推广项目组织实施工作；负责农业新品 种、新技术、新装备的引进、试验、示范推广及先进性、适 用性和安全性评价工作。负责农产品“二品一标”申报、认证、宣传推介的事 务性工作。负责乡村振兴人才教育培训、农民职业技能鉴定、农业声像宣传、管理的事务性工作；负责组织农民体育赛事活动。</w:t>
      </w:r>
    </w:p>
    <w:p>
      <w:pPr>
        <w:widowControl/>
        <w:spacing w:line="600" w:lineRule="exact"/>
        <w:ind w:firstLine="640" w:firstLineChars="200"/>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ind w:firstLine="640" w:firstLineChars="200"/>
        <w:jc w:val="left"/>
        <w:rPr>
          <w:rFonts w:hint="eastAsia" w:ascii="仿宋_GB2312" w:hAnsi="仿宋_GB2312" w:eastAsia="仿宋_GB2312" w:cs="仿宋_GB2312"/>
          <w:sz w:val="32"/>
          <w:szCs w:val="32"/>
          <w:lang w:eastAsia="zh-CN"/>
        </w:rPr>
      </w:pPr>
      <w:bookmarkStart w:id="18" w:name="_GoBack"/>
      <w:r>
        <w:rPr>
          <w:rFonts w:hint="eastAsia" w:ascii="仿宋_GB2312" w:hAnsi="仿宋_GB2312" w:eastAsia="仿宋_GB2312" w:cs="仿宋_GB2312"/>
          <w:sz w:val="32"/>
          <w:szCs w:val="32"/>
          <w:lang w:val="zh-CN" w:eastAsia="zh-CN"/>
        </w:rPr>
        <w:t>岳阳市农业农村事务中心（市农业广播电视学校）内设</w:t>
      </w:r>
      <w:r>
        <w:rPr>
          <w:rFonts w:hint="eastAsia" w:ascii="仿宋_GB2312" w:hAnsi="仿宋_GB2312" w:eastAsia="仿宋_GB2312" w:cs="仿宋_GB2312"/>
          <w:sz w:val="32"/>
          <w:szCs w:val="32"/>
          <w:lang w:val="en-US" w:eastAsia="zh-CN"/>
        </w:rPr>
        <w:t>5个内设</w:t>
      </w:r>
      <w:r>
        <w:rPr>
          <w:rFonts w:hint="eastAsia" w:ascii="仿宋_GB2312" w:hAnsi="仿宋_GB2312" w:eastAsia="仿宋_GB2312" w:cs="仿宋_GB2312"/>
          <w:sz w:val="32"/>
          <w:szCs w:val="32"/>
          <w:lang w:val="zh-CN" w:eastAsia="zh-CN"/>
        </w:rPr>
        <w:t>机构、</w:t>
      </w:r>
      <w:r>
        <w:rPr>
          <w:rFonts w:hint="eastAsia" w:ascii="仿宋_GB2312" w:hAnsi="仿宋_GB2312" w:eastAsia="仿宋_GB2312" w:cs="仿宋_GB2312"/>
          <w:sz w:val="32"/>
          <w:szCs w:val="32"/>
          <w:lang w:val="en-US" w:eastAsia="zh-CN"/>
        </w:rPr>
        <w:t>1个分支机构</w:t>
      </w:r>
      <w:r>
        <w:rPr>
          <w:rFonts w:hint="eastAsia" w:ascii="仿宋_GB2312" w:hAnsi="仿宋_GB2312" w:eastAsia="仿宋_GB2312" w:cs="仿宋_GB2312"/>
          <w:sz w:val="32"/>
          <w:szCs w:val="32"/>
          <w:lang w:val="zh-CN" w:eastAsia="zh-CN"/>
        </w:rPr>
        <w:t>。五</w:t>
      </w:r>
      <w:r>
        <w:rPr>
          <w:rFonts w:hint="eastAsia" w:ascii="仿宋_GB2312" w:hAnsi="仿宋_GB2312" w:eastAsia="仿宋_GB2312" w:cs="仿宋_GB2312"/>
          <w:sz w:val="32"/>
          <w:szCs w:val="32"/>
          <w:lang w:val="en-US" w:eastAsia="zh-CN"/>
        </w:rPr>
        <w:t>个内设</w:t>
      </w:r>
      <w:r>
        <w:rPr>
          <w:rFonts w:hint="eastAsia" w:ascii="仿宋_GB2312" w:hAnsi="仿宋_GB2312" w:eastAsia="仿宋_GB2312" w:cs="仿宋_GB2312"/>
          <w:sz w:val="32"/>
          <w:szCs w:val="32"/>
          <w:lang w:val="zh-CN" w:eastAsia="zh-CN"/>
        </w:rPr>
        <w:t>机构：(一)综合部。负责中心日常运转，承担文电、会务、 安全、保密、人事、宣传、信访、财务、档案、政务公开管 理等工作；承担农村集体产权交易、农村承包地经营权流转 等农村事务的行政辅助工作。(二)种植业事务部。承担种植业新技术、新品种和新 模式引进、试验与示范推广的事务性工作；承担种植业项目 组织实施的事务性工作；承担野生植物保护与外来物种(植 物)监测、专业性病虫测报体系建设、农作物病虫草鼠害防 治、农药包装废弃物回收处置、耕地质量监测网络建设、退 化耕地治理的技术支撑工作；承担绿色食品、有机农产品和 地理标志农产品认证、品牌推广的事务性工作；承担农产品 质量安全追溯平台和湖南省农产品“身份证”管理平台的日 常管理工作。(三)畜牧水产事务部。承担畜禽、水产新品种、新技 术和新模式的引进、试验与示范推广工作，承担养殖业产业 发展项目组织实施的事务性工作；承担养殖业结构调整、产 业规划与布局、标准化生产、规模化养殖、畜禽粪污资源化 利用的事务性工作；协助开展养殖业生产监测、种畜禽生产 性能测定的事务性工作。(四)农机事务部。承担农机新机具、新技术和新模式 的引进、试验与示范推广等相关事务性工作；承担农机化发 展项目组织实施的事务性工作；承担农机社会化服务、农机 产品质量调查等事务性工作。(五)农业生态环境监测部(水生动物疫病防控监测部)。承担耕地质量、地力监测及土壤肥力长期定位监测工 作；承担农业面源污染普查工作；承担测土配方施肥等农业 环境相关的抽样、制样、检测、评价工作；承担水生动物疫 病、渔业环境等监测工作；承担与市检验检测中心相关业务 工作对接。设一个分支机构市农业教育培训工作站。承担涉农的业务培训、产业培 训和技术培训项目并组织实施的事务性工作；承担农民职业 技能鉴定、农业声像宣传和管理的事务性工作；承担组织农民体育赛事活动。</w:t>
      </w:r>
    </w:p>
    <w:p>
      <w:pPr>
        <w:widowControl/>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（二）决算单位构成。本单位无独立核算的下属单位，</w:t>
      </w:r>
      <w:r>
        <w:rPr>
          <w:rFonts w:hint="eastAsia" w:ascii="仿宋_GB2312" w:hAnsi="仿宋_GB2312" w:eastAsia="仿宋_GB2312" w:cs="仿宋_GB2312"/>
          <w:sz w:val="32"/>
          <w:szCs w:val="32"/>
          <w:lang w:val="en-US" w:eastAsia="zh-CN"/>
        </w:rPr>
        <w:t>2023年度部门决算汇总公开单位仅包括</w:t>
      </w:r>
      <w:r>
        <w:rPr>
          <w:rFonts w:hint="eastAsia" w:ascii="仿宋_GB2312" w:hAnsi="仿宋_GB2312" w:eastAsia="仿宋_GB2312" w:cs="仿宋_GB2312"/>
          <w:sz w:val="32"/>
          <w:szCs w:val="32"/>
          <w:lang w:eastAsia="zh-CN"/>
        </w:rPr>
        <w:t>岳阳市农业农村事务中心</w:t>
      </w:r>
      <w:r>
        <w:rPr>
          <w:rFonts w:hint="eastAsia" w:ascii="仿宋_GB2312" w:hAnsi="仿宋_GB2312" w:eastAsia="仿宋_GB2312" w:cs="仿宋_GB2312"/>
          <w:sz w:val="32"/>
          <w:szCs w:val="32"/>
          <w:lang w:val="en-US" w:eastAsia="zh-CN"/>
        </w:rPr>
        <w:t>单位本级</w:t>
      </w:r>
      <w:r>
        <w:rPr>
          <w:rFonts w:hint="eastAsia" w:ascii="仿宋_GB2312" w:hAnsi="仿宋_GB2312" w:eastAsia="仿宋_GB2312" w:cs="仿宋_GB2312"/>
          <w:sz w:val="32"/>
          <w:szCs w:val="32"/>
          <w:lang w:eastAsia="zh-CN"/>
        </w:rPr>
        <w:t>。</w:t>
      </w:r>
    </w:p>
    <w:bookmarkEnd w:id="18"/>
    <w:p>
      <w:pPr>
        <w:jc w:val="left"/>
        <w:rPr>
          <w:rFonts w:ascii="仿宋_GB2312" w:eastAsia="仿宋_GB2312" w:hAnsiTheme="minorEastAsia"/>
          <w:sz w:val="28"/>
          <w:szCs w:val="32"/>
        </w:rPr>
      </w:pPr>
    </w:p>
    <w:p/>
    <w:p>
      <w:pPr>
        <w:pStyle w:val="11"/>
      </w:pPr>
    </w:p>
    <w:p>
      <w:pPr>
        <w:pStyle w:val="7"/>
      </w:pPr>
    </w:p>
    <w:p/>
    <w:p>
      <w:pPr>
        <w:pStyle w:val="11"/>
      </w:pPr>
    </w:p>
    <w:p>
      <w:pPr>
        <w:pStyle w:val="7"/>
      </w:pPr>
    </w:p>
    <w:p/>
    <w:p>
      <w:pPr>
        <w:pStyle w:val="11"/>
      </w:pPr>
    </w:p>
    <w:p>
      <w:pPr>
        <w:pStyle w:val="7"/>
      </w:pPr>
    </w:p>
    <w:p/>
    <w:p>
      <w:pPr>
        <w:pStyle w:val="11"/>
      </w:pPr>
    </w:p>
    <w:p>
      <w:pPr>
        <w:pStyle w:val="16"/>
        <w:jc w:val="center"/>
        <w:rPr>
          <w:rFonts w:hint="eastAsia" w:ascii="方正小标宋_GBK" w:hAnsi="方正小标宋_GBK" w:eastAsia="方正小标宋_GBK" w:cs="方正小标宋_GBK"/>
          <w:sz w:val="84"/>
          <w:szCs w:val="84"/>
        </w:rPr>
      </w:pPr>
    </w:p>
    <w:p>
      <w:pPr>
        <w:pStyle w:val="16"/>
        <w:jc w:val="center"/>
        <w:rPr>
          <w:rFonts w:hint="eastAsia" w:ascii="方正小标宋_GBK" w:hAnsi="方正小标宋_GBK" w:eastAsia="方正小标宋_GBK" w:cs="方正小标宋_GBK"/>
          <w:sz w:val="84"/>
          <w:szCs w:val="84"/>
        </w:rPr>
      </w:pPr>
    </w:p>
    <w:p>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6"/>
        <w:jc w:val="center"/>
        <w:rPr>
          <w:rFonts w:hint="eastAsia" w:ascii="方正小标宋_GBK" w:hAnsi="方正小标宋_GBK" w:eastAsia="方正小标宋_GBK" w:cs="方正小标宋_GBK"/>
          <w:sz w:val="84"/>
          <w:szCs w:val="84"/>
        </w:rPr>
      </w:pPr>
    </w:p>
    <w:p>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6"/>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6"/>
        <w:jc w:val="center"/>
        <w:rPr>
          <w:rFonts w:hint="eastAsia" w:ascii="仿宋_GB2312" w:hAnsi="仿宋_GB2312" w:eastAsia="仿宋_GB2312" w:cs="仿宋_GB2312"/>
          <w:b w:val="0"/>
          <w:bCs w:val="0"/>
          <w:sz w:val="72"/>
          <w:szCs w:val="72"/>
          <w:lang w:eastAsia="zh-CN"/>
        </w:rPr>
      </w:pPr>
    </w:p>
    <w:p>
      <w:pPr>
        <w:pStyle w:val="16"/>
        <w:jc w:val="center"/>
        <w:rPr>
          <w:rFonts w:hint="eastAsia" w:ascii="仿宋_GB2312" w:hAnsi="仿宋_GB2312" w:eastAsia="仿宋_GB2312" w:cs="仿宋_GB2312"/>
          <w:b w:val="0"/>
          <w:bCs w:val="0"/>
          <w:sz w:val="72"/>
          <w:szCs w:val="72"/>
          <w:lang w:eastAsia="zh-CN"/>
        </w:rPr>
      </w:pPr>
    </w:p>
    <w:p>
      <w:pPr>
        <w:pStyle w:val="16"/>
        <w:jc w:val="center"/>
        <w:rPr>
          <w:rFonts w:hint="eastAsia" w:ascii="仿宋_GB2312" w:hAnsi="仿宋_GB2312" w:eastAsia="仿宋_GB2312" w:cs="仿宋_GB2312"/>
          <w:b w:val="0"/>
          <w:bCs w:val="0"/>
          <w:sz w:val="72"/>
          <w:szCs w:val="72"/>
          <w:lang w:eastAsia="zh-CN"/>
        </w:rPr>
      </w:pPr>
    </w:p>
    <w:p>
      <w:pPr>
        <w:pStyle w:val="16"/>
        <w:jc w:val="center"/>
        <w:rPr>
          <w:rFonts w:hint="eastAsia" w:ascii="仿宋_GB2312" w:hAnsi="仿宋_GB2312" w:eastAsia="仿宋_GB2312" w:cs="仿宋_GB2312"/>
          <w:b w:val="0"/>
          <w:bCs w:val="0"/>
          <w:sz w:val="72"/>
          <w:szCs w:val="72"/>
          <w:lang w:eastAsia="zh-CN"/>
        </w:rPr>
      </w:pPr>
    </w:p>
    <w:p>
      <w:pPr>
        <w:pStyle w:val="16"/>
        <w:jc w:val="center"/>
        <w:rPr>
          <w:rFonts w:hint="eastAsia" w:ascii="仿宋_GB2312" w:hAnsi="仿宋_GB2312" w:eastAsia="仿宋_GB2312" w:cs="仿宋_GB2312"/>
          <w:b w:val="0"/>
          <w:bCs w:val="0"/>
          <w:sz w:val="72"/>
          <w:szCs w:val="72"/>
          <w:lang w:eastAsia="zh-CN"/>
        </w:rPr>
      </w:pPr>
    </w:p>
    <w:p>
      <w:pPr>
        <w:pStyle w:val="16"/>
        <w:jc w:val="center"/>
        <w:rPr>
          <w:rFonts w:hint="eastAsia" w:ascii="仿宋_GB2312" w:hAnsi="仿宋_GB2312" w:eastAsia="仿宋_GB2312" w:cs="仿宋_GB2312"/>
          <w:b w:val="0"/>
          <w:bCs w:val="0"/>
          <w:sz w:val="72"/>
          <w:szCs w:val="72"/>
          <w:lang w:eastAsia="zh-CN"/>
        </w:rPr>
      </w:pPr>
    </w:p>
    <w:p>
      <w:pPr>
        <w:pStyle w:val="16"/>
        <w:jc w:val="center"/>
        <w:rPr>
          <w:rFonts w:hint="eastAsia" w:ascii="仿宋_GB2312" w:hAnsi="仿宋_GB2312" w:eastAsia="仿宋_GB2312" w:cs="仿宋_GB2312"/>
          <w:b w:val="0"/>
          <w:bCs w:val="0"/>
          <w:sz w:val="72"/>
          <w:szCs w:val="72"/>
          <w:lang w:eastAsia="zh-CN"/>
        </w:rPr>
      </w:pPr>
    </w:p>
    <w:p>
      <w:pPr>
        <w:pStyle w:val="16"/>
        <w:jc w:val="center"/>
        <w:rPr>
          <w:rFonts w:hint="eastAsia" w:ascii="方正小标宋_GBK" w:hAnsi="方正小标宋_GBK" w:eastAsia="方正小标宋_GBK" w:cs="方正小标宋_GBK"/>
          <w:sz w:val="72"/>
          <w:szCs w:val="72"/>
        </w:rPr>
      </w:pPr>
    </w:p>
    <w:p>
      <w:pPr>
        <w:pStyle w:val="16"/>
        <w:jc w:val="center"/>
        <w:rPr>
          <w:rFonts w:hint="eastAsia" w:ascii="方正小标宋_GBK" w:hAnsi="方正小标宋_GBK" w:eastAsia="方正小标宋_GBK" w:cs="方正小标宋_GBK"/>
          <w:sz w:val="72"/>
          <w:szCs w:val="72"/>
        </w:rPr>
      </w:pPr>
    </w:p>
    <w:p>
      <w:pPr>
        <w:pStyle w:val="16"/>
        <w:jc w:val="both"/>
        <w:rPr>
          <w:rFonts w:hint="eastAsia" w:ascii="方正小标宋_GBK" w:hAnsi="方正小标宋_GBK" w:eastAsia="方正小标宋_GBK" w:cs="方正小标宋_GBK"/>
          <w:sz w:val="72"/>
          <w:szCs w:val="72"/>
        </w:rPr>
      </w:pPr>
    </w:p>
    <w:p>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6"/>
        <w:jc w:val="center"/>
        <w:rPr>
          <w:rFonts w:hint="eastAsia" w:ascii="方正小标宋_GBK" w:hAnsi="方正小标宋_GBK" w:eastAsia="方正小标宋_GBK" w:cs="方正小标宋_GBK"/>
          <w:sz w:val="70"/>
          <w:szCs w:val="70"/>
        </w:rPr>
      </w:pPr>
    </w:p>
    <w:p>
      <w:pPr>
        <w:pStyle w:val="16"/>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bookmarkStart w:id="0" w:name="OLE_LINK12"/>
      <w:r>
        <w:rPr>
          <w:rFonts w:hint="eastAsia" w:ascii="仿宋_GB2312" w:hAnsi="仿宋_GB2312" w:eastAsia="仿宋_GB2312" w:cs="仿宋_GB2312"/>
          <w:sz w:val="32"/>
          <w:szCs w:val="32"/>
          <w:lang w:val="en-US" w:eastAsia="zh-CN"/>
        </w:rPr>
        <w:t>1315.85</w:t>
      </w:r>
      <w:bookmarkEnd w:id="0"/>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36.24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2.83</w:t>
      </w:r>
      <w:r>
        <w:rPr>
          <w:rFonts w:hint="eastAsia" w:ascii="仿宋_GB2312" w:hAnsi="仿宋_GB2312" w:eastAsia="仿宋_GB2312" w:cs="仿宋_GB2312"/>
          <w:sz w:val="32"/>
          <w:szCs w:val="32"/>
        </w:rPr>
        <w:t>%，</w:t>
      </w:r>
      <w:bookmarkStart w:id="1" w:name="OLE_LINK1"/>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单位通过“四海揽才”招录人才，纳入新进人员，导致收支增长。</w:t>
      </w:r>
    </w:p>
    <w:bookmarkEnd w:id="1"/>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1315.85</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1287.87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97.87</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27.98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2.13</w:t>
      </w:r>
      <w:r>
        <w:rPr>
          <w:rFonts w:hint="eastAsia" w:ascii="仿宋_GB2312" w:hAnsi="仿宋_GB2312" w:eastAsia="仿宋_GB2312" w:cs="仿宋_GB2312"/>
          <w:sz w:val="32"/>
          <w:szCs w:val="32"/>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bookmarkStart w:id="2" w:name="OLE_LINK14"/>
      <w:r>
        <w:rPr>
          <w:rFonts w:hint="eastAsia" w:ascii="仿宋_GB2312" w:hAnsi="仿宋_GB2312" w:eastAsia="仿宋_GB2312" w:cs="仿宋_GB2312"/>
          <w:sz w:val="32"/>
          <w:szCs w:val="32"/>
          <w:lang w:val="en-US" w:eastAsia="zh-CN"/>
        </w:rPr>
        <w:t>1315.85</w:t>
      </w:r>
      <w:bookmarkEnd w:id="2"/>
      <w:r>
        <w:rPr>
          <w:rFonts w:hint="eastAsia" w:ascii="仿宋_GB2312" w:hAnsi="仿宋_GB2312" w:eastAsia="仿宋_GB2312" w:cs="仿宋_GB2312"/>
          <w:sz w:val="32"/>
          <w:szCs w:val="32"/>
        </w:rPr>
        <w:t>万元，其中：基本支出</w:t>
      </w:r>
      <w:bookmarkStart w:id="3" w:name="OLE_LINK13"/>
      <w:r>
        <w:rPr>
          <w:rFonts w:hint="eastAsia" w:ascii="仿宋_GB2312" w:hAnsi="仿宋_GB2312" w:eastAsia="仿宋_GB2312" w:cs="仿宋_GB2312"/>
          <w:sz w:val="32"/>
          <w:szCs w:val="32"/>
          <w:lang w:val="en-US" w:eastAsia="zh-CN"/>
        </w:rPr>
        <w:t>895.45</w:t>
      </w:r>
      <w:bookmarkEnd w:id="3"/>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68.05</w:t>
      </w:r>
      <w:r>
        <w:rPr>
          <w:rFonts w:hint="eastAsia" w:ascii="仿宋_GB2312" w:hAnsi="仿宋_GB2312" w:eastAsia="仿宋_GB2312" w:cs="仿宋_GB2312"/>
          <w:sz w:val="32"/>
          <w:szCs w:val="32"/>
        </w:rPr>
        <w:t>%；项目支出</w:t>
      </w:r>
      <w:bookmarkStart w:id="4" w:name="OLE_LINK15"/>
      <w:r>
        <w:rPr>
          <w:rFonts w:hint="eastAsia" w:ascii="仿宋_GB2312" w:hAnsi="仿宋_GB2312" w:eastAsia="仿宋_GB2312" w:cs="仿宋_GB2312"/>
          <w:sz w:val="32"/>
          <w:szCs w:val="32"/>
          <w:lang w:val="en-US" w:eastAsia="zh-CN"/>
        </w:rPr>
        <w:t>420.4</w:t>
      </w:r>
      <w:bookmarkEnd w:id="4"/>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31.95</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1287.87</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110.53</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9.39</w:t>
      </w:r>
      <w:r>
        <w:rPr>
          <w:rFonts w:hint="eastAsia" w:ascii="仿宋_GB2312" w:hAnsi="仿宋_GB2312" w:eastAsia="仿宋_GB2312" w:cs="仿宋_GB2312"/>
          <w:sz w:val="32"/>
          <w:szCs w:val="32"/>
        </w:rPr>
        <w:t>%，主要是因为主要是因为</w:t>
      </w:r>
      <w:bookmarkStart w:id="5" w:name="OLE_LINK2"/>
      <w:r>
        <w:rPr>
          <w:rFonts w:hint="eastAsia" w:ascii="仿宋_GB2312" w:hAnsi="仿宋_GB2312" w:eastAsia="仿宋_GB2312" w:cs="仿宋_GB2312"/>
          <w:sz w:val="32"/>
          <w:szCs w:val="32"/>
          <w:lang w:eastAsia="zh-CN"/>
        </w:rPr>
        <w:t>单位通过“四海揽才”招录人才，纳入新进人员，导致收支增长。</w:t>
      </w:r>
    </w:p>
    <w:bookmarkEnd w:id="5"/>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1287.87</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97.87</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110.53</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9.39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单位通过“四海揽才”招录人才，纳入新进人员，导致收支增长。</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2023年度财政拨款支出</w:t>
      </w:r>
      <w:bookmarkStart w:id="6" w:name="OLE_LINK11"/>
      <w:r>
        <w:rPr>
          <w:rFonts w:hint="eastAsia" w:ascii="仿宋_GB2312" w:hAnsi="仿宋_GB2312" w:eastAsia="仿宋_GB2312" w:cs="仿宋_GB2312"/>
          <w:sz w:val="32"/>
          <w:szCs w:val="32"/>
          <w:lang w:val="en-US" w:eastAsia="zh-CN"/>
        </w:rPr>
        <w:t>1287.87</w:t>
      </w:r>
      <w:bookmarkEnd w:id="6"/>
      <w:r>
        <w:rPr>
          <w:rFonts w:hint="eastAsia" w:ascii="仿宋_GB2312" w:hAnsi="仿宋_GB2312" w:eastAsia="仿宋_GB2312" w:cs="仿宋_GB2312"/>
          <w:sz w:val="32"/>
          <w:szCs w:val="32"/>
          <w:lang w:val="en-US" w:eastAsia="zh-CN"/>
        </w:rPr>
        <w:t>万元，主要用于以下方面社会保障和就业支出80.34万元，占6.24%;卫生健康支出28.93万元，占2.25%；农林水支出1125.7万元，占87.41%，住房保障支出52.9万元，占4.1%。</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774.03</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1287.87万元，完成年初预算的166.39%，其中：</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bookmarkStart w:id="7" w:name="OLE_LINK7"/>
      <w:r>
        <w:rPr>
          <w:rFonts w:hint="eastAsia" w:ascii="仿宋_GB2312" w:hAnsi="仿宋_GB2312" w:eastAsia="仿宋_GB2312" w:cs="仿宋_GB2312"/>
          <w:sz w:val="32"/>
          <w:szCs w:val="32"/>
          <w:lang w:val="en-US" w:eastAsia="zh-CN"/>
        </w:rPr>
        <w:t>1、</w:t>
      </w:r>
      <w:bookmarkStart w:id="8" w:name="OLE_LINK3"/>
      <w:r>
        <w:rPr>
          <w:rFonts w:hint="default" w:ascii="仿宋_GB2312" w:hAnsi="仿宋_GB2312" w:eastAsia="仿宋_GB2312" w:cs="仿宋_GB2312"/>
          <w:sz w:val="32"/>
          <w:szCs w:val="32"/>
          <w:lang w:val="en-US" w:eastAsia="zh-CN"/>
        </w:rPr>
        <w:t>社会保障和就业支出（类）行政事业单位养老支出（款）机关事业单位基本养老保险缴费支出（项）</w:t>
      </w:r>
      <w:bookmarkEnd w:id="8"/>
      <w:r>
        <w:rPr>
          <w:rFonts w:hint="eastAsia" w:ascii="仿宋_GB2312" w:hAnsi="仿宋_GB2312" w:eastAsia="仿宋_GB2312" w:cs="仿宋_GB2312"/>
          <w:sz w:val="32"/>
          <w:szCs w:val="32"/>
          <w:lang w:val="en-US" w:eastAsia="zh-CN"/>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bookmarkStart w:id="9" w:name="OLE_LINK4"/>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55.05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55.05</w:t>
      </w:r>
      <w:r>
        <w:rPr>
          <w:rFonts w:hint="eastAsia" w:ascii="仿宋_GB2312" w:hAnsi="仿宋_GB2312" w:eastAsia="仿宋_GB2312" w:cs="仿宋_GB2312"/>
          <w:sz w:val="32"/>
          <w:szCs w:val="32"/>
        </w:rPr>
        <w:t>万元，完成年初预算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w:t>
      </w:r>
      <w:bookmarkStart w:id="10" w:name="OLE_LINK5"/>
      <w:r>
        <w:rPr>
          <w:rFonts w:hint="eastAsia" w:ascii="仿宋_GB2312" w:hAnsi="仿宋_GB2312" w:eastAsia="仿宋_GB2312" w:cs="仿宋_GB2312"/>
          <w:sz w:val="32"/>
          <w:szCs w:val="32"/>
          <w:lang w:val="en-US" w:eastAsia="zh-CN"/>
        </w:rPr>
        <w:t>导致决算数等于年初预算数。</w:t>
      </w:r>
      <w:bookmarkEnd w:id="9"/>
      <w:bookmarkEnd w:id="10"/>
    </w:p>
    <w:bookmarkEnd w:id="7"/>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bookmarkStart w:id="11" w:name="OLE_LINK6"/>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社会保障和就业支出（类）</w:t>
      </w:r>
      <w:r>
        <w:rPr>
          <w:rFonts w:hint="eastAsia" w:ascii="仿宋_GB2312" w:hAnsi="仿宋_GB2312" w:eastAsia="仿宋_GB2312" w:cs="仿宋_GB2312"/>
          <w:sz w:val="32"/>
          <w:szCs w:val="32"/>
          <w:lang w:val="en-US" w:eastAsia="zh-CN"/>
        </w:rPr>
        <w:t>抚恤</w:t>
      </w:r>
      <w:r>
        <w:rPr>
          <w:rFonts w:hint="default" w:ascii="仿宋_GB2312" w:hAnsi="仿宋_GB2312" w:eastAsia="仿宋_GB2312" w:cs="仿宋_GB2312"/>
          <w:sz w:val="32"/>
          <w:szCs w:val="32"/>
          <w:lang w:val="en-US" w:eastAsia="zh-CN"/>
        </w:rPr>
        <w:t>（款）</w:t>
      </w:r>
      <w:r>
        <w:rPr>
          <w:rFonts w:hint="eastAsia" w:ascii="仿宋_GB2312" w:hAnsi="仿宋_GB2312" w:eastAsia="仿宋_GB2312" w:cs="仿宋_GB2312"/>
          <w:sz w:val="32"/>
          <w:szCs w:val="32"/>
          <w:lang w:val="en-US" w:eastAsia="zh-CN"/>
        </w:rPr>
        <w:t>其他优抚支出</w:t>
      </w:r>
      <w:r>
        <w:rPr>
          <w:rFonts w:hint="default" w:ascii="仿宋_GB2312" w:hAnsi="仿宋_GB2312" w:eastAsia="仿宋_GB2312" w:cs="仿宋_GB2312"/>
          <w:sz w:val="32"/>
          <w:szCs w:val="32"/>
          <w:lang w:val="en-US" w:eastAsia="zh-CN"/>
        </w:rPr>
        <w:t>（项）</w:t>
      </w:r>
      <w:r>
        <w:rPr>
          <w:rFonts w:hint="eastAsia" w:ascii="仿宋_GB2312" w:hAnsi="仿宋_GB2312" w:eastAsia="仿宋_GB2312" w:cs="仿宋_GB2312"/>
          <w:sz w:val="32"/>
          <w:szCs w:val="32"/>
          <w:lang w:val="en-US" w:eastAsia="zh-CN"/>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4.23</w:t>
      </w:r>
      <w:r>
        <w:rPr>
          <w:rFonts w:hint="eastAsia" w:ascii="仿宋_GB2312" w:hAnsi="仿宋_GB2312" w:eastAsia="仿宋_GB2312" w:cs="仿宋_GB2312"/>
          <w:sz w:val="32"/>
          <w:szCs w:val="32"/>
        </w:rPr>
        <w:t>万元，完成年初预算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2023年，单位退休同志死亡，通过预算追加抚恤金，导致决算数大于年初预算数。</w:t>
      </w:r>
    </w:p>
    <w:bookmarkEnd w:id="11"/>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社会保障和就业支出（类）</w:t>
      </w:r>
      <w:r>
        <w:rPr>
          <w:rFonts w:hint="eastAsia" w:ascii="仿宋_GB2312" w:hAnsi="仿宋_GB2312" w:eastAsia="仿宋_GB2312" w:cs="仿宋_GB2312"/>
          <w:sz w:val="32"/>
          <w:szCs w:val="32"/>
          <w:lang w:val="en-US" w:eastAsia="zh-CN"/>
        </w:rPr>
        <w:t>其他社会保障和就业支出</w:t>
      </w:r>
      <w:r>
        <w:rPr>
          <w:rFonts w:hint="default" w:ascii="仿宋_GB2312" w:hAnsi="仿宋_GB2312" w:eastAsia="仿宋_GB2312" w:cs="仿宋_GB2312"/>
          <w:sz w:val="32"/>
          <w:szCs w:val="32"/>
          <w:lang w:val="en-US" w:eastAsia="zh-CN"/>
        </w:rPr>
        <w:t>（款）</w:t>
      </w:r>
      <w:r>
        <w:rPr>
          <w:rFonts w:hint="eastAsia" w:ascii="仿宋_GB2312" w:hAnsi="仿宋_GB2312" w:eastAsia="仿宋_GB2312" w:cs="仿宋_GB2312"/>
          <w:sz w:val="32"/>
          <w:szCs w:val="32"/>
          <w:lang w:val="en-US" w:eastAsia="zh-CN"/>
        </w:rPr>
        <w:t>其他社会保障和就业支出</w:t>
      </w:r>
      <w:r>
        <w:rPr>
          <w:rFonts w:hint="default" w:ascii="仿宋_GB2312" w:hAnsi="仿宋_GB2312" w:eastAsia="仿宋_GB2312" w:cs="仿宋_GB2312"/>
          <w:sz w:val="32"/>
          <w:szCs w:val="32"/>
          <w:lang w:val="en-US" w:eastAsia="zh-CN"/>
        </w:rPr>
        <w:t>（项）</w:t>
      </w:r>
      <w:r>
        <w:rPr>
          <w:rFonts w:hint="eastAsia" w:ascii="仿宋_GB2312" w:hAnsi="仿宋_GB2312" w:eastAsia="仿宋_GB2312" w:cs="仿宋_GB2312"/>
          <w:sz w:val="32"/>
          <w:szCs w:val="32"/>
          <w:lang w:val="en-US" w:eastAsia="zh-CN"/>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21.06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21.06</w:t>
      </w:r>
      <w:r>
        <w:rPr>
          <w:rFonts w:hint="eastAsia" w:ascii="仿宋_GB2312" w:hAnsi="仿宋_GB2312" w:eastAsia="仿宋_GB2312" w:cs="仿宋_GB2312"/>
          <w:sz w:val="32"/>
          <w:szCs w:val="32"/>
        </w:rPr>
        <w:t>万元，</w:t>
      </w:r>
      <w:bookmarkStart w:id="12" w:name="OLE_LINK8"/>
      <w:r>
        <w:rPr>
          <w:rFonts w:hint="eastAsia" w:ascii="仿宋_GB2312" w:hAnsi="仿宋_GB2312" w:eastAsia="仿宋_GB2312" w:cs="仿宋_GB2312"/>
          <w:sz w:val="32"/>
          <w:szCs w:val="32"/>
        </w:rPr>
        <w:t>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bookmarkEnd w:id="12"/>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卫生健康支出（类）行政事业单位医疗（款）事业单位医疗（项）</w:t>
      </w:r>
      <w:r>
        <w:rPr>
          <w:rFonts w:hint="eastAsia" w:ascii="仿宋_GB2312" w:hAnsi="仿宋_GB2312" w:eastAsia="仿宋_GB2312" w:cs="仿宋_GB2312"/>
          <w:sz w:val="32"/>
          <w:szCs w:val="32"/>
          <w:lang w:val="en-US" w:eastAsia="zh-CN"/>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年初预算为28.93万元，支出决算为28.93万元，完成年初预算的100%，</w:t>
      </w:r>
      <w:r>
        <w:rPr>
          <w:rFonts w:hint="eastAsia" w:ascii="仿宋_GB2312" w:hAnsi="仿宋_GB2312" w:eastAsia="仿宋_GB2312" w:cs="仿宋_GB2312"/>
          <w:sz w:val="32"/>
          <w:szCs w:val="32"/>
        </w:rPr>
        <w:t>决算数大于年初预算数的主要原因是：完成年初预算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en-US" w:eastAsia="zh-CN"/>
        </w:rPr>
        <w:t>农林水支出（类）农业农村（款）事业运行（项）</w:t>
      </w:r>
      <w:r>
        <w:rPr>
          <w:rFonts w:hint="eastAsia" w:ascii="仿宋_GB2312" w:hAnsi="仿宋_GB2312" w:eastAsia="仿宋_GB2312" w:cs="仿宋_GB2312"/>
          <w:sz w:val="32"/>
          <w:szCs w:val="32"/>
          <w:lang w:val="en-US" w:eastAsia="zh-CN"/>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616.09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591.98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96.09</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2023年，由于将项目进行细化分类，款项之间进行调整，导致决算数大于年初预算数。</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6、住房保障支出</w:t>
      </w:r>
      <w:r>
        <w:rPr>
          <w:rFonts w:hint="default" w:ascii="仿宋_GB2312" w:hAnsi="仿宋_GB2312" w:eastAsia="仿宋_GB2312" w:cs="仿宋_GB2312"/>
          <w:sz w:val="32"/>
          <w:szCs w:val="32"/>
          <w:lang w:val="en-US" w:eastAsia="zh-CN"/>
        </w:rPr>
        <w:t>（类）</w:t>
      </w:r>
      <w:r>
        <w:rPr>
          <w:rFonts w:hint="eastAsia" w:ascii="仿宋_GB2312" w:hAnsi="仿宋_GB2312" w:eastAsia="仿宋_GB2312" w:cs="仿宋_GB2312"/>
          <w:sz w:val="32"/>
          <w:szCs w:val="32"/>
          <w:lang w:val="en-US" w:eastAsia="zh-CN"/>
        </w:rPr>
        <w:t>住房改革支出</w:t>
      </w:r>
      <w:r>
        <w:rPr>
          <w:rFonts w:hint="default" w:ascii="仿宋_GB2312" w:hAnsi="仿宋_GB2312" w:eastAsia="仿宋_GB2312" w:cs="仿宋_GB2312"/>
          <w:sz w:val="32"/>
          <w:szCs w:val="32"/>
          <w:lang w:val="en-US" w:eastAsia="zh-CN"/>
        </w:rPr>
        <w:t>（款）</w:t>
      </w:r>
      <w:r>
        <w:rPr>
          <w:rFonts w:hint="eastAsia" w:ascii="仿宋_GB2312" w:hAnsi="仿宋_GB2312" w:eastAsia="仿宋_GB2312" w:cs="仿宋_GB2312"/>
          <w:sz w:val="32"/>
          <w:szCs w:val="32"/>
          <w:lang w:val="en-US" w:eastAsia="zh-CN"/>
        </w:rPr>
        <w:t>住房公积金</w:t>
      </w:r>
      <w:r>
        <w:rPr>
          <w:rFonts w:hint="default" w:ascii="仿宋_GB2312" w:hAnsi="仿宋_GB2312" w:eastAsia="仿宋_GB2312" w:cs="仿宋_GB2312"/>
          <w:sz w:val="32"/>
          <w:szCs w:val="32"/>
          <w:lang w:val="en-US" w:eastAsia="zh-CN"/>
        </w:rPr>
        <w:t>（项）。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宋体" w:hAnsi="宋体" w:eastAsia="宋体"/>
          <w:color w:val="000000"/>
          <w:kern w:val="0"/>
          <w:sz w:val="32"/>
          <w:szCs w:val="24"/>
          <w:lang w:val="en-US" w:eastAsia="zh-CN"/>
        </w:rPr>
      </w:pPr>
      <w:r>
        <w:rPr>
          <w:rFonts w:hint="eastAsia" w:ascii="仿宋_GB2312" w:hAnsi="仿宋_GB2312" w:eastAsia="仿宋_GB2312" w:cs="仿宋_GB2312"/>
          <w:sz w:val="32"/>
          <w:szCs w:val="32"/>
          <w:lang w:val="en-US" w:eastAsia="zh-CN"/>
        </w:rPr>
        <w:t>年初预算为52.9万元，支出决算为52.9万元，完成年初预算的95.2</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883.48</w:t>
      </w:r>
      <w:r>
        <w:rPr>
          <w:rFonts w:hint="eastAsia" w:ascii="仿宋_GB2312" w:hAnsi="仿宋_GB2312" w:eastAsia="仿宋_GB2312" w:cs="仿宋_GB2312"/>
          <w:sz w:val="32"/>
          <w:szCs w:val="32"/>
        </w:rPr>
        <w:t>万元，其中：</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823.43</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93.2</w:t>
      </w:r>
      <w:r>
        <w:rPr>
          <w:rFonts w:hint="eastAsia" w:ascii="仿宋_GB2312" w:hAnsi="仿宋_GB2312" w:eastAsia="仿宋_GB2312" w:cs="仿宋_GB2312"/>
          <w:sz w:val="32"/>
          <w:szCs w:val="32"/>
        </w:rPr>
        <w:t>%,主要</w:t>
      </w:r>
      <w:r>
        <w:rPr>
          <w:rFonts w:hint="eastAsia" w:ascii="Times New Roman" w:hAnsi="Times New Roman" w:eastAsia="仿宋_GB2312"/>
          <w:sz w:val="32"/>
          <w:szCs w:val="32"/>
        </w:rPr>
        <w:t>主要包括基本工资、津贴补贴、奖金、</w:t>
      </w:r>
      <w:r>
        <w:rPr>
          <w:rFonts w:hint="eastAsia" w:ascii="Times New Roman" w:hAnsi="Times New Roman" w:eastAsia="仿宋_GB2312"/>
          <w:sz w:val="32"/>
          <w:szCs w:val="32"/>
          <w:lang w:eastAsia="zh-CN"/>
        </w:rPr>
        <w:t>绩效工资、</w:t>
      </w:r>
      <w:r>
        <w:rPr>
          <w:rFonts w:hint="eastAsia" w:ascii="Times New Roman" w:hAnsi="Times New Roman" w:eastAsia="仿宋_GB2312"/>
          <w:sz w:val="32"/>
          <w:szCs w:val="32"/>
        </w:rPr>
        <w:t>伙食补助费</w:t>
      </w:r>
      <w:r>
        <w:rPr>
          <w:rFonts w:hint="eastAsia" w:ascii="Times New Roman" w:hAnsi="Times New Roman" w:eastAsia="仿宋_GB2312"/>
          <w:sz w:val="32"/>
          <w:szCs w:val="32"/>
          <w:lang w:eastAsia="zh-CN"/>
        </w:rPr>
        <w:t>、公积金、其他社会保障费、退休费。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60.05</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6.8</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主要包括办公费、印刷费、</w:t>
      </w:r>
      <w:r>
        <w:rPr>
          <w:rFonts w:hint="eastAsia" w:ascii="Times New Roman" w:hAnsi="Times New Roman" w:eastAsia="仿宋_GB2312"/>
          <w:sz w:val="32"/>
          <w:szCs w:val="32"/>
          <w:highlight w:val="none"/>
        </w:rPr>
        <w:t>咨询费、手续费</w:t>
      </w:r>
      <w:r>
        <w:rPr>
          <w:rFonts w:hint="eastAsia" w:ascii="Times New Roman" w:hAnsi="Times New Roman" w:eastAsia="仿宋_GB2312"/>
          <w:sz w:val="32"/>
          <w:szCs w:val="32"/>
          <w:highlight w:val="none"/>
          <w:lang w:eastAsia="zh-CN"/>
        </w:rPr>
        <w:t>、水费、电费、差旅费、公务接待费、劳务费、其他商品服务支出</w:t>
      </w:r>
      <w:r>
        <w:rPr>
          <w:rFonts w:hint="eastAsia" w:ascii="Times New Roman" w:hAnsi="Times New Roman" w:eastAsia="仿宋_GB2312"/>
          <w:sz w:val="32"/>
          <w:szCs w:val="32"/>
          <w:highlight w:val="none"/>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lang w:val="en-US" w:eastAsia="zh-CN"/>
        </w:rPr>
        <w:t>2023年度政府性基金预算财政拨款收入0万元；年初结转和结余0万元；支出0万元，其中基本支出0万元，项目支出0万元；年末结转和结余0万元。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2023年度国有资本经营预算财政拨款收入0万元；年初结转和结余0万；支出0万元，其中：基本支出0万元，项目支出0万元；年末结转和结余0万元。</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“三公”经费财政拨款支出预算为11万元，支出决算为0.61万元，完成预算的5.55%，决算数小于预算数的主要原因是在2023年度，</w:t>
      </w:r>
      <w:bookmarkStart w:id="13" w:name="OLE_LINK9"/>
      <w:r>
        <w:rPr>
          <w:rFonts w:hint="eastAsia" w:ascii="仿宋_GB2312" w:hAnsi="仿宋_GB2312" w:eastAsia="仿宋_GB2312" w:cs="仿宋_GB2312"/>
          <w:sz w:val="32"/>
          <w:szCs w:val="32"/>
          <w:lang w:val="en-US" w:eastAsia="zh-CN"/>
        </w:rPr>
        <w:t>市财政局提前关闭支付系统，导致支出减少</w:t>
      </w:r>
      <w:bookmarkEnd w:id="13"/>
      <w:r>
        <w:rPr>
          <w:rFonts w:hint="eastAsia" w:ascii="仿宋_GB2312" w:hAnsi="仿宋_GB2312" w:eastAsia="仿宋_GB2312" w:cs="仿宋_GB2312"/>
          <w:sz w:val="32"/>
          <w:szCs w:val="32"/>
          <w:lang w:val="en-US" w:eastAsia="zh-CN"/>
        </w:rPr>
        <w:t>，与上年相比减少0.82万元，减少57.34%,减少的主要原因是市财政局提前关闭支付系统，导致支出减少。其中：</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因公出国（境）费支出预算为0万元，支出决算为0万元，决算数等于预算数，主要原因是我单位严格按预算执行决算；与上年一致，无增减变动，主要原因是未安排因公出国（境）活动。</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公务接待费支出预算为8万元，支出决算为0.61万元，完成预算的7.6%，</w:t>
      </w:r>
      <w:bookmarkStart w:id="14" w:name="OLE_LINK18"/>
      <w:r>
        <w:rPr>
          <w:rFonts w:hint="eastAsia" w:ascii="仿宋_GB2312" w:hAnsi="仿宋_GB2312" w:eastAsia="仿宋_GB2312" w:cs="仿宋_GB2312"/>
          <w:sz w:val="32"/>
          <w:szCs w:val="32"/>
          <w:lang w:val="en-US" w:eastAsia="zh-CN"/>
        </w:rPr>
        <w:t>决算数大于预算数的主要原因是</w:t>
      </w:r>
      <w:bookmarkStart w:id="15" w:name="OLE_LINK10"/>
      <w:r>
        <w:rPr>
          <w:rFonts w:hint="eastAsia" w:ascii="仿宋_GB2312" w:hAnsi="仿宋_GB2312" w:eastAsia="仿宋_GB2312" w:cs="仿宋_GB2312"/>
          <w:sz w:val="32"/>
          <w:szCs w:val="32"/>
          <w:lang w:val="en-US" w:eastAsia="zh-CN"/>
        </w:rPr>
        <w:t>市财政局提前关闭支付系统，导致支出减少</w:t>
      </w:r>
      <w:bookmarkEnd w:id="15"/>
      <w:r>
        <w:rPr>
          <w:rFonts w:hint="eastAsia" w:ascii="仿宋_GB2312" w:hAnsi="仿宋_GB2312" w:eastAsia="仿宋_GB2312" w:cs="仿宋_GB2312"/>
          <w:sz w:val="32"/>
          <w:szCs w:val="32"/>
          <w:lang w:val="en-US" w:eastAsia="zh-CN"/>
        </w:rPr>
        <w:t>，与上年相比减少0.82万元，减少57.34%,减少的主要原因是市财政局提前关闭支付系统，导致支出减少。</w:t>
      </w:r>
    </w:p>
    <w:bookmarkEnd w:id="14"/>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公务用车购置费支出预算为0万元，支出决算为0万元，决算数等于预算数，主要原因是我单位严格按预算执行决算；与上年一致，无增减变动，主要原因是两年均未购置公务用车。 </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公务用车运行维护费支出预算为0万元，支出决算为0万元，决算数等于预算数，主要原因是我单位严格按预算执行决算；与上年一致，无增减变动，主要原因是两年均无公务用车需要运行维护。</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2023年度“三公”经费财政拨款支出决算中，公务接待费支出决算0.61万元，占100%,因公出国（境）费支出决算0万元，占0%,公务用车购置费及运行维护费支出决算0万元，占0%。其中：</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1、因公出国（境）费支出决算为0万元，全年安排因公出国（境）团组0个，累计0人次，我单位2023年度无因公出国（境）费支出。  </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2、公务接待费支出决算为0.61万元，全年共接待来访团组10个、来宾34人次，主要是因公务活动的国内公务接待发生的接待支出。</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3、公务用车购置费及运行维护费支出决算为0万元，其中：公务用车购置费0万元，当年没有购置公务用车。公务用车运行维护费0万元，截至2023年12月31日，我单位开支财政拨款的公务用车保有量为0辆。</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本级和所属单位均为事业单位，按照机关运行经费的口径，本年度机关运行经费为0。</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本单位无会议费的预算和支出决算数；本单位无培训费的预算和支出决算数；本单位无举办节庆、晚会、论坛、赛事等活动的预算和支出决算数。</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143.99</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38.39</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105.6</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143.99</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143.99</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26.66</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73.34</w:t>
      </w:r>
      <w:r>
        <w:rPr>
          <w:rFonts w:hint="eastAsia" w:ascii="仿宋_GB2312" w:hAnsi="仿宋_GB2312" w:eastAsia="仿宋_GB2312" w:cs="仿宋_GB2312"/>
          <w:color w:val="auto"/>
          <w:sz w:val="32"/>
          <w:szCs w:val="32"/>
        </w:rPr>
        <w:t>%。</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i w:val="0"/>
          <w:iCs/>
          <w:color w:val="FF0000"/>
          <w:sz w:val="32"/>
          <w:szCs w:val="32"/>
          <w:lang w:val="en-US" w:eastAsia="zh-CN"/>
        </w:rPr>
      </w:pPr>
      <w:r>
        <w:rPr>
          <w:rFonts w:hint="eastAsia" w:ascii="仿宋_GB2312" w:hAnsi="仿宋_GB2312" w:eastAsia="仿宋_GB2312" w:cs="仿宋_GB2312"/>
          <w:sz w:val="32"/>
          <w:szCs w:val="32"/>
          <w:lang w:val="en-US" w:eastAsia="zh-CN"/>
        </w:rPr>
        <w:t>截至2023年12月31日，本单位共有车辆0辆，其中，</w:t>
      </w:r>
      <w:r>
        <w:rPr>
          <w:rFonts w:hint="eastAsia" w:ascii="仿宋_GB2312" w:hAnsi="仿宋_GB2312" w:eastAsia="仿宋_GB2312" w:cs="仿宋_GB2312"/>
          <w:sz w:val="32"/>
          <w:szCs w:val="32"/>
          <w:lang w:eastAsia="zh-CN"/>
        </w:rPr>
        <w:t>副部（省）级及以上领导用车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w:t>
      </w:r>
      <w:r>
        <w:rPr>
          <w:rFonts w:hint="eastAsia" w:ascii="仿宋_GB2312" w:hAnsi="仿宋_GB2312" w:eastAsia="仿宋_GB2312" w:cs="仿宋_GB2312"/>
          <w:sz w:val="32"/>
          <w:szCs w:val="32"/>
          <w:lang w:eastAsia="zh-CN"/>
        </w:rPr>
        <w:t>负责人</w:t>
      </w:r>
      <w:r>
        <w:rPr>
          <w:rFonts w:hint="eastAsia" w:ascii="仿宋_GB2312" w:hAnsi="仿宋_GB2312" w:eastAsia="仿宋_GB2312" w:cs="仿宋_GB2312"/>
          <w:sz w:val="32"/>
          <w:szCs w:val="32"/>
        </w:rPr>
        <w:t>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机要通信用车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辆、应急保障用车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辆、执法执勤用车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辆、特种专业技术用车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离退休干部服务用车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辆、其他用车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辆；单位价值100万元以上设备</w:t>
      </w:r>
      <w:r>
        <w:rPr>
          <w:rFonts w:hint="eastAsia" w:ascii="仿宋_GB2312" w:hAnsi="仿宋_GB2312" w:eastAsia="仿宋_GB2312" w:cs="仿宋_GB2312"/>
          <w:sz w:val="32"/>
          <w:szCs w:val="32"/>
          <w:lang w:eastAsia="zh-CN"/>
        </w:rPr>
        <w:t>（不含车辆）</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台（套）</w:t>
      </w:r>
      <w:r>
        <w:rPr>
          <w:rFonts w:hint="eastAsia" w:ascii="仿宋_GB2312" w:hAnsi="仿宋_GB2312" w:eastAsia="仿宋_GB2312" w:cs="仿宋_GB2312"/>
          <w:sz w:val="32"/>
          <w:szCs w:val="32"/>
          <w:lang w:eastAsia="zh-CN"/>
        </w:rPr>
        <w:t>。</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w:t>
      </w:r>
      <w:r>
        <w:rPr>
          <w:rFonts w:hint="eastAsia" w:ascii="仿宋_GB2312" w:hAnsi="仿宋_GB2312" w:eastAsia="仿宋_GB2312" w:cs="仿宋_GB2312"/>
          <w:sz w:val="32"/>
          <w:szCs w:val="32"/>
          <w:lang w:val="en-US" w:eastAsia="zh-CN"/>
        </w:rPr>
        <w:t>1287.87</w:t>
      </w:r>
      <w:r>
        <w:rPr>
          <w:rFonts w:hint="eastAsia" w:ascii="仿宋_GB2312" w:hAnsi="仿宋_GB2312" w:eastAsia="仿宋_GB2312" w:cs="仿宋_GB2312"/>
          <w:b w:val="0"/>
          <w:bCs w:val="0"/>
          <w:color w:val="000000"/>
          <w:kern w:val="0"/>
          <w:sz w:val="32"/>
          <w:szCs w:val="32"/>
          <w:lang w:val="en-US" w:eastAsia="zh-CN" w:bidi="ar-SA"/>
        </w:rPr>
        <w:t>万元，政府性基金预算支出0万元，国有资本经营预算支出0万元。从评价情况来看，整体支出绩效评价中，2023年整体支出</w:t>
      </w:r>
      <w:r>
        <w:rPr>
          <w:rFonts w:hint="eastAsia" w:ascii="仿宋_GB2312" w:hAnsi="仿宋_GB2312" w:eastAsia="仿宋_GB2312" w:cs="仿宋_GB2312"/>
          <w:sz w:val="32"/>
          <w:szCs w:val="32"/>
          <w:lang w:val="en-US" w:eastAsia="zh-CN"/>
        </w:rPr>
        <w:t>1315.85</w:t>
      </w:r>
      <w:r>
        <w:rPr>
          <w:rFonts w:hint="eastAsia" w:ascii="仿宋_GB2312" w:hAnsi="仿宋_GB2312" w:eastAsia="仿宋_GB2312" w:cs="仿宋_GB2312"/>
          <w:b w:val="0"/>
          <w:bCs w:val="0"/>
          <w:color w:val="000000"/>
          <w:kern w:val="0"/>
          <w:sz w:val="32"/>
          <w:szCs w:val="32"/>
          <w:lang w:val="en-US" w:eastAsia="zh-CN" w:bidi="ar-SA"/>
        </w:rPr>
        <w:t>万元，其中：基本支出</w:t>
      </w:r>
      <w:r>
        <w:rPr>
          <w:rFonts w:hint="eastAsia" w:ascii="仿宋_GB2312" w:hAnsi="仿宋_GB2312" w:eastAsia="仿宋_GB2312" w:cs="仿宋_GB2312"/>
          <w:sz w:val="32"/>
          <w:szCs w:val="32"/>
          <w:lang w:val="en-US" w:eastAsia="zh-CN"/>
        </w:rPr>
        <w:t>895.45</w:t>
      </w:r>
      <w:r>
        <w:rPr>
          <w:rFonts w:hint="eastAsia" w:ascii="仿宋_GB2312" w:hAnsi="仿宋_GB2312" w:eastAsia="仿宋_GB2312" w:cs="仿宋_GB2312"/>
          <w:b w:val="0"/>
          <w:bCs w:val="0"/>
          <w:color w:val="000000"/>
          <w:kern w:val="0"/>
          <w:sz w:val="32"/>
          <w:szCs w:val="32"/>
          <w:lang w:val="en-US" w:eastAsia="zh-CN" w:bidi="ar-SA"/>
        </w:rPr>
        <w:t>万元，项目支出420.4万元，本单位整体支出绩效自评综合评分98分，评价结果等次为优。</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15万元，占一般公共预算项目支出总额的3.71%。组织对政府性基金预算项目支出开展绩效自评，项目0个，共涉及资金0万元，占政府性基金预算项目支出总额的0%。组织对国有资本经营预算项目支出开展绩效自评，项目00个，共涉及资金0万元，占国有资本经营预算项目支出总额的0%。从评价情况来看，项目绩效自评得分98分，评价结果等次为优。</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根据年初设定的绩效目标，绩效自评得分为97分。全年预算数为774.03 万元，执行数为1315.85万元，完成预算的170%。绩效目标完成情况：</w:t>
      </w:r>
      <w:bookmarkStart w:id="16" w:name="OLE_LINK16"/>
      <w:bookmarkStart w:id="17" w:name="OLE_LINK17"/>
      <w:r>
        <w:rPr>
          <w:rFonts w:hint="eastAsia" w:ascii="仿宋_GB2312" w:hAnsi="仿宋_GB2312" w:eastAsia="仿宋_GB2312" w:cs="仿宋_GB2312"/>
          <w:b w:val="0"/>
          <w:bCs w:val="0"/>
          <w:sz w:val="32"/>
          <w:szCs w:val="32"/>
          <w:lang w:val="en-US" w:eastAsia="zh-CN"/>
        </w:rPr>
        <w:t>一是根据年初设定目标，严格按标准实施，完成绩效目标；二是按绩效目标管理要求，严格设定绩效目标可行性，按要求完成绩效目标。</w:t>
      </w:r>
      <w:bookmarkEnd w:id="16"/>
      <w:bookmarkEnd w:id="17"/>
    </w:p>
    <w:p>
      <w:pPr>
        <w:pStyle w:val="16"/>
        <w:keepNext w:val="0"/>
        <w:keepLines w:val="0"/>
        <w:pageBreakBefore w:val="0"/>
        <w:widowControl w:val="0"/>
        <w:numPr>
          <w:ilvl w:val="0"/>
          <w:numId w:val="1"/>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存在的问题及原因分析</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val="en-US" w:eastAsia="zh-CN"/>
        </w:rPr>
        <w:t>发现的主要问题及原因：一是存在项目目标设定过于理想化，有些指标达不到设定要求；下一步改进措施：一是结合实际要求设定绩效目标管理，进一步优化管理要求，使单位绩效目标合理化、精细化，达到绩效目标管理要求。</w:t>
      </w:r>
    </w:p>
    <w:p>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jc w:val="left"/>
        <w:textAlignment w:val="auto"/>
        <w:rPr>
          <w:rFonts w:hint="eastAsia" w:ascii="楷体" w:hAnsi="楷体" w:eastAsia="楷体" w:cs="楷体"/>
          <w:b/>
          <w:bCs/>
          <w:sz w:val="32"/>
          <w:szCs w:val="32"/>
        </w:rPr>
      </w:pPr>
    </w:p>
    <w:p>
      <w:pPr>
        <w:pStyle w:val="16"/>
        <w:jc w:val="center"/>
        <w:rPr>
          <w:sz w:val="72"/>
          <w:szCs w:val="72"/>
        </w:rPr>
      </w:pPr>
    </w:p>
    <w:p>
      <w:pPr>
        <w:pStyle w:val="16"/>
        <w:jc w:val="center"/>
        <w:rPr>
          <w:rFonts w:hint="eastAsia" w:ascii="方正小标宋_GBK" w:hAnsi="方正小标宋_GBK" w:eastAsia="方正小标宋_GBK" w:cs="方正小标宋_GBK"/>
          <w:sz w:val="70"/>
          <w:szCs w:val="70"/>
          <w:lang w:eastAsia="zh-CN"/>
        </w:rPr>
      </w:pPr>
    </w:p>
    <w:p>
      <w:pPr>
        <w:pStyle w:val="16"/>
        <w:jc w:val="center"/>
        <w:rPr>
          <w:rFonts w:hint="eastAsia" w:ascii="方正小标宋_GBK" w:hAnsi="方正小标宋_GBK" w:eastAsia="方正小标宋_GBK" w:cs="方正小标宋_GBK"/>
          <w:sz w:val="70"/>
          <w:szCs w:val="70"/>
          <w:lang w:eastAsia="zh-CN"/>
        </w:rPr>
      </w:pPr>
    </w:p>
    <w:p>
      <w:pPr>
        <w:pStyle w:val="16"/>
        <w:jc w:val="center"/>
        <w:rPr>
          <w:rFonts w:hint="eastAsia" w:ascii="方正小标宋_GBK" w:hAnsi="方正小标宋_GBK" w:eastAsia="方正小标宋_GBK" w:cs="方正小标宋_GBK"/>
          <w:sz w:val="72"/>
          <w:szCs w:val="72"/>
        </w:rPr>
      </w:pPr>
    </w:p>
    <w:p>
      <w:pPr>
        <w:pStyle w:val="16"/>
        <w:jc w:val="center"/>
        <w:rPr>
          <w:rFonts w:hint="eastAsia" w:ascii="方正小标宋_GBK" w:hAnsi="方正小标宋_GBK" w:eastAsia="方正小标宋_GBK" w:cs="方正小标宋_GBK"/>
          <w:sz w:val="72"/>
          <w:szCs w:val="72"/>
        </w:rPr>
      </w:pPr>
    </w:p>
    <w:p>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6"/>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11"/>
      </w:pPr>
    </w:p>
    <w:p>
      <w:pPr>
        <w:pStyle w:val="7"/>
      </w:pPr>
    </w:p>
    <w:p/>
    <w:p>
      <w:pPr>
        <w:pStyle w:val="11"/>
      </w:pPr>
    </w:p>
    <w:p>
      <w:pPr>
        <w:pStyle w:val="7"/>
      </w:pPr>
    </w:p>
    <w:p/>
    <w:p>
      <w:pPr>
        <w:pStyle w:val="11"/>
      </w:pPr>
    </w:p>
    <w:p>
      <w:pPr>
        <w:pStyle w:val="7"/>
      </w:pPr>
    </w:p>
    <w:p/>
    <w:p>
      <w:pPr>
        <w:pStyle w:val="11"/>
      </w:pPr>
    </w:p>
    <w:p>
      <w:pPr>
        <w:pStyle w:val="7"/>
      </w:pPr>
    </w:p>
    <w:p/>
    <w:p>
      <w:pPr>
        <w:pStyle w:val="11"/>
      </w:pPr>
    </w:p>
    <w:p>
      <w:pPr>
        <w:pStyle w:val="7"/>
      </w:pPr>
    </w:p>
    <w:p/>
    <w:p>
      <w:pPr>
        <w:pStyle w:val="11"/>
      </w:pPr>
    </w:p>
    <w:p>
      <w:pPr>
        <w:pStyle w:val="7"/>
      </w:pPr>
    </w:p>
    <w:p/>
    <w:p>
      <w:pPr>
        <w:pStyle w:val="11"/>
      </w:pPr>
    </w:p>
    <w:p/>
    <w:p>
      <w:pPr>
        <w:pStyle w:val="11"/>
      </w:pP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财政拨款收入：指本级财政当年拨付的资金。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其他收入：指除上述</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等以外的收入。</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使用非财政拨款结余：指事业单位在当年的</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财政拨款结转和结余资金</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其他收入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不足以安排当年支出情况下，使用以前年度积累的使用非财政拨款结余弥补收支差额的资金（事业单位当年收支相抵后按国家规定提取、用于弥补以后年度收支差额的非财政拨款结余）。</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年初结转和结余：指以前年度尚未完成、结转到本年按有关规定继续使用的资金。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年末结转和结余资金：指本年度或以前年度预算安排、因客观条件发生变化无法按原计划实施，需要延迟到以后年度按有关规定继续使用的资金。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科学技术支出（类）：是指用于科学技术方面的支出，包括保障机构正常运转、完成日常和特定的工作任务或事业发展目标的支出。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卫生健康支出（类）：是指用于医疗卫生与计划生育方面的支出，包括保障机构正常运转、完成日常和特定的工作任务或事业发展目标的支出。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节能环保支出（类）：是指用于节能环保支出，包括保障机构正常运转、完成日常和特定的工作任务或事业发展目标的支出。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农林水支出（类）：是指用于农林水事务支出，包括保障机构正常运转、完成日常和特定的工作任务或事业发展目标的支出。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资源勘探工业信息等支出（类）：是指用于资源勘探、制造业、建筑业、工业信息等方面支出，包括保障机构正常运转、完成日常和特定的工作任务或事业发展目标的支出。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自然资源海洋气象等支出（类）：是指用于自然资源、海洋、测绘、气象等公益服务事业方面的支出，包括保障机构正常运转、完成日常和特定的工作任务或事业发展目标的支出。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住房保障支出（类）：是指用于住房方面的支出，包括保障机构正常运转、完成日常和特定的工作任务或事业发展目标的支出。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其他支出（类）：是指用于反映除上述项目以外其他不能划分到具体功能科目中的支出项目，包括保障机构正常运转、完成日常和特定的工作任务或事业发展目标的支出。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基本支出：指保障机构正常运转、完成支日常工作任务而发生的人员支出和公用支出。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项目支出：指在基本支出之外为完成特定行政任务和事业发展目标所发生的支出。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三公</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工资福利支出：反映单位开支的在职职工和编制外长期聘用人员的各类劳动报酬，以及为上述人员缴纳的各项社会保险费等。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津贴补贴：反映经国家批准建立的机关事业单位艰苦边远地区津贴、机关工作人员地区附加津贴、机关工作人员岗位津贴、事业单位工作人员特殊岗位津贴补贴等。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奖金：反映机关工作人员年终一次性奖金。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伙食补助费：反映单位发给职工的伙食补助费，如误餐补助等。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绩效工资：反映事业单位工作人员的绩效工资。</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机关事业单位基本养老保险缴费：反映机关事业单位缴纳的基本养老保险费。由单位代扣的工作人员基本养老保险缴费，不在此科目反映。</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职工基本医疗保险缴费：反映单位为职工缴纳的基本医疗保险费。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其他社会保障缴费：反映单位为职工缴纳的基本医疗、失业、工伤、生育等社会保险费，残疾人就业保障金，军队（含武警）为军人缴纳的伤亡、退役医疗等社会保险费。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住房公积金：反映行政事业单位按人力资源和社会保障部、财政部规定的基本工资和津贴补贴以及规定比例为职工缴纳的住房公积金。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医疗费：反映未参加医疗保险单位的医疗经费和单位按规定为职工支出的其他医疗费用。</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商品和服务支出：反映单位购买商品和服务的支出（不包括用于购置固定资产的支出、战略性和应急储备支出）。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办公费：反映单位购买按财务会计制度规定不符合固定资产确认标准的日常办公用品、书报杂志等支出。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印刷费：反映单位的印刷费支出。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水费：反映单位支付的水费、污水处理费等支出。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电费：反映单位的电费支出。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邮电费：反映单位开支的信函、包裹、货物等物品的邮寄费及电话费、电报费、传真费、网络通讯费等。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物业管理费：反映单位开支的办公用房以及未实行职工住宅物业服务改革的在职职工和离退休人员宿舍等的物业管理费，包括综合治理、绿化、卫生等方面的支出。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差旅费：反映单位工作人员出差发生的城市间交通费、住宿费、伙食补贴费和市内交通费。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维修(护)费：反映单位日常开支的固定资产（不包括车船等交通工具）修理和维护费用，网络信息系统运行与维护费用，以及按规定提取的修购基金。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租赁费：反映租赁办公用房、宿舍、专用通讯网以及其他设备等方面的费用。</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会议费：反映会议中按规定开支的住宿费、伙食费、会议室租金、交通费、文件印刷费、医药费等。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培训费：反映除因公出国（境）培训费以外的各类培训支出。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公务接待费：反映单位按规定开支的各类公务接待（含外宾接待）费用。</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专用燃料费：反映用作业务工作设备的车、船设施等的油料支出。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劳务费：反映支付给单位和个人的劳务费用，如临时聘用人员、钟点工工资，稿费、翻译费，评审费等。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委托业务费：反映因委托外单位办理业务而支付的委托业务费。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工会经费：反映单位按规定提取的工会经费。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福利费：反映单位按规定提取的福利费。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公务用车运行维护费：反映单位按规定保留的公务用车燃料费、维修费、过桥过路费、保险费、安全奖励费用等支出。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其他交通费用：反映单位除公务用车运行维护费以外的其他交通费用。如公务交通补贴，租车费用、出租车费用，飞机、船舶等的燃料费、维修费、保险费等。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税金及附加费用：反映单位提供劳务或销售产品应负担的税金及附加费用，包括营业税、消费税、城市维护建设税、资源税和教育附加等。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其他商品和服务支出：反映上述科目未包括的日常公用支出。如行政赔偿费和诉讼费、国内组织的会员费、来访费、广告宣传、其他劳务费及离休人员特需费、公用经费等。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对个人和家庭的补助：反映政府用于对个人和家庭的补助支出。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离休费：反映行政事业单位和军队移交政府安置的离休人员的离休费、护理费和其他补贴。</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退休费：反映行政事业单位和军队移交政府安置的退休人员的退休费和其他补贴。</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抚恤金：反映按规定开支的烈士遗属、牺牲病故人员遗属的一次性和定期抚恤金，伤残人员的抚恤金，离退休人员等其他人员的各项抚恤金。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奖励金：反映政府各部门的奖励支出，如对个体私营经济的奖励、计划生育目标责任奖励、独生子女父母奖励等。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其他对个人和家庭的补助支出：反映未包括在上述科目的对个人和家庭的补助支出，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办公设备购置：反映用于购置并按财务会计制度规定纳入固定资产核算范围的办公家具和办公设备的支出，以及按规定提取的修购基金。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公务用车购置：反映公务用车车辆购置支出（含车辆购置税）。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pPr>
        <w:pStyle w:val="7"/>
      </w:pPr>
    </w:p>
    <w:p/>
    <w:p>
      <w:pPr>
        <w:pStyle w:val="11"/>
      </w:pPr>
    </w:p>
    <w:p>
      <w:pPr>
        <w:pStyle w:val="7"/>
      </w:pPr>
    </w:p>
    <w:p/>
    <w:p>
      <w:pPr>
        <w:pStyle w:val="11"/>
      </w:pPr>
    </w:p>
    <w:p>
      <w:pPr>
        <w:pStyle w:val="7"/>
      </w:pPr>
    </w:p>
    <w:p/>
    <w:p>
      <w:pPr>
        <w:pStyle w:val="11"/>
      </w:pPr>
    </w:p>
    <w:p>
      <w:pPr>
        <w:pStyle w:val="7"/>
      </w:pPr>
    </w:p>
    <w:p/>
    <w:p>
      <w:pPr>
        <w:pStyle w:val="11"/>
      </w:pPr>
    </w:p>
    <w:p>
      <w:pPr>
        <w:pStyle w:val="7"/>
      </w:pPr>
    </w:p>
    <w:p/>
    <w:p>
      <w:pPr>
        <w:pStyle w:val="11"/>
      </w:pPr>
    </w:p>
    <w:p>
      <w:pPr>
        <w:pStyle w:val="7"/>
      </w:pPr>
    </w:p>
    <w:p>
      <w:pPr>
        <w:pStyle w:val="16"/>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6"/>
        <w:jc w:val="both"/>
        <w:rPr>
          <w:rFonts w:hint="eastAsia" w:ascii="方正小标宋_GBK" w:hAnsi="方正小标宋_GBK" w:eastAsia="方正小标宋_GBK" w:cs="方正小标宋_GBK"/>
          <w:sz w:val="70"/>
          <w:szCs w:val="70"/>
          <w:lang w:eastAsia="zh-CN"/>
        </w:rPr>
      </w:pPr>
    </w:p>
    <w:p>
      <w:pPr>
        <w:pStyle w:val="16"/>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auto"/>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7B36C4"/>
    <w:multiLevelType w:val="singleLevel"/>
    <w:tmpl w:val="717B36C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D42194E"/>
    <w:rsid w:val="0FA72DD8"/>
    <w:rsid w:val="12280E57"/>
    <w:rsid w:val="12583BA5"/>
    <w:rsid w:val="13BA5B9C"/>
    <w:rsid w:val="1672596C"/>
    <w:rsid w:val="193B5472"/>
    <w:rsid w:val="1A1E34E6"/>
    <w:rsid w:val="1B550FE4"/>
    <w:rsid w:val="1D97DEFF"/>
    <w:rsid w:val="1DFF72E5"/>
    <w:rsid w:val="1EFC6F07"/>
    <w:rsid w:val="20EC288F"/>
    <w:rsid w:val="22AC03C2"/>
    <w:rsid w:val="234A3673"/>
    <w:rsid w:val="24053DA7"/>
    <w:rsid w:val="2A5A628C"/>
    <w:rsid w:val="2FDF85B8"/>
    <w:rsid w:val="2FFFEE04"/>
    <w:rsid w:val="31C95635"/>
    <w:rsid w:val="31EF007A"/>
    <w:rsid w:val="33734861"/>
    <w:rsid w:val="34BC1492"/>
    <w:rsid w:val="34DF85B0"/>
    <w:rsid w:val="38527D74"/>
    <w:rsid w:val="3A546240"/>
    <w:rsid w:val="3B8F36BC"/>
    <w:rsid w:val="3BEF3A63"/>
    <w:rsid w:val="420E40C8"/>
    <w:rsid w:val="433F4729"/>
    <w:rsid w:val="464623D8"/>
    <w:rsid w:val="49131272"/>
    <w:rsid w:val="491FF225"/>
    <w:rsid w:val="4E8A5957"/>
    <w:rsid w:val="4FFD214C"/>
    <w:rsid w:val="5352765A"/>
    <w:rsid w:val="53776EFD"/>
    <w:rsid w:val="538B5B9E"/>
    <w:rsid w:val="56A935F3"/>
    <w:rsid w:val="57701069"/>
    <w:rsid w:val="5777D4F5"/>
    <w:rsid w:val="59DD8326"/>
    <w:rsid w:val="5AE752A5"/>
    <w:rsid w:val="5B052E61"/>
    <w:rsid w:val="5C990CF9"/>
    <w:rsid w:val="5DEF592A"/>
    <w:rsid w:val="5E972D3D"/>
    <w:rsid w:val="5F6B6599"/>
    <w:rsid w:val="5FC6BB1E"/>
    <w:rsid w:val="5FF720F1"/>
    <w:rsid w:val="67FF5C0B"/>
    <w:rsid w:val="6A302FC4"/>
    <w:rsid w:val="6A4A3B6E"/>
    <w:rsid w:val="6BAA4A2F"/>
    <w:rsid w:val="6EA66996"/>
    <w:rsid w:val="6EFC0924"/>
    <w:rsid w:val="6FB74722"/>
    <w:rsid w:val="6FEF8B7E"/>
    <w:rsid w:val="71A6591B"/>
    <w:rsid w:val="737D59BA"/>
    <w:rsid w:val="737F32B1"/>
    <w:rsid w:val="75C31342"/>
    <w:rsid w:val="77C37683"/>
    <w:rsid w:val="79FF515B"/>
    <w:rsid w:val="7E9E1962"/>
    <w:rsid w:val="7E9E4F48"/>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1"/>
    <w:qFormat/>
    <w:uiPriority w:val="0"/>
    <w:pPr>
      <w:keepNext/>
      <w:keepLines/>
      <w:jc w:val="center"/>
      <w:outlineLvl w:val="1"/>
    </w:pPr>
    <w:rPr>
      <w:rFonts w:eastAsia="楷体_GB2312"/>
      <w:bCs/>
      <w:szCs w:val="32"/>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w:basedOn w:val="3"/>
    <w:qFormat/>
    <w:uiPriority w:val="0"/>
    <w:pPr>
      <w:spacing w:line="500" w:lineRule="exact"/>
      <w:ind w:firstLine="420"/>
    </w:pPr>
    <w:rPr>
      <w:rFonts w:ascii="Calibri" w:hAnsi="Calibri" w:eastAsia="宋体" w:cs="Times New Roman"/>
      <w:szCs w:val="20"/>
    </w:rPr>
  </w:style>
  <w:style w:type="paragraph" w:styleId="3">
    <w:name w:val="Body Text"/>
    <w:basedOn w:val="1"/>
    <w:next w:val="1"/>
    <w:qFormat/>
    <w:uiPriority w:val="0"/>
    <w:rPr>
      <w:rFonts w:ascii="仿宋" w:hAnsi="仿宋" w:eastAsia="仿宋" w:cs="仿宋"/>
      <w:sz w:val="28"/>
      <w:szCs w:val="28"/>
      <w:lang w:val="zh-CN" w:bidi="zh-CN"/>
    </w:rPr>
  </w:style>
  <w:style w:type="paragraph" w:styleId="5">
    <w:name w:val="toa heading"/>
    <w:basedOn w:val="1"/>
    <w:next w:val="1"/>
    <w:qFormat/>
    <w:uiPriority w:val="99"/>
    <w:pPr>
      <w:spacing w:before="120" w:after="200" w:line="276" w:lineRule="auto"/>
    </w:pPr>
    <w:rPr>
      <w:rFonts w:ascii="Arial" w:hAnsi="Arial"/>
      <w:sz w:val="24"/>
    </w:rPr>
  </w:style>
  <w:style w:type="paragraph" w:styleId="6">
    <w:name w:val="Body Text Indent"/>
    <w:basedOn w:val="1"/>
    <w:next w:val="7"/>
    <w:unhideWhenUsed/>
    <w:qFormat/>
    <w:uiPriority w:val="99"/>
    <w:pPr>
      <w:widowControl/>
      <w:spacing w:after="120"/>
      <w:ind w:left="420" w:leftChars="200"/>
      <w:jc w:val="left"/>
    </w:pPr>
    <w:rPr>
      <w:rFonts w:ascii="宋体" w:hAnsi="宋体" w:eastAsia="宋体" w:cs="宋体"/>
      <w:kern w:val="0"/>
      <w:sz w:val="24"/>
    </w:rPr>
  </w:style>
  <w:style w:type="paragraph" w:styleId="7">
    <w:name w:val="Body Text First Indent 2"/>
    <w:basedOn w:val="6"/>
    <w:next w:val="1"/>
    <w:unhideWhenUsed/>
    <w:qFormat/>
    <w:uiPriority w:val="99"/>
    <w:pPr>
      <w:ind w:firstLine="420" w:firstLineChars="200"/>
    </w:pPr>
  </w:style>
  <w:style w:type="paragraph" w:styleId="8">
    <w:name w:val="Balloon Text"/>
    <w:basedOn w:val="1"/>
    <w:link w:val="18"/>
    <w:semiHidden/>
    <w:unhideWhenUsed/>
    <w:qFormat/>
    <w:uiPriority w:val="99"/>
    <w:rPr>
      <w:sz w:val="18"/>
      <w:szCs w:val="18"/>
    </w:rPr>
  </w:style>
  <w:style w:type="paragraph" w:styleId="9">
    <w:name w:val="footer"/>
    <w:basedOn w:val="1"/>
    <w:link w:val="15"/>
    <w:unhideWhenUsed/>
    <w:qFormat/>
    <w:uiPriority w:val="99"/>
    <w:pPr>
      <w:tabs>
        <w:tab w:val="center" w:pos="4153"/>
        <w:tab w:val="right" w:pos="8306"/>
      </w:tabs>
      <w:snapToGrid w:val="0"/>
      <w:jc w:val="left"/>
    </w:pPr>
    <w:rPr>
      <w:sz w:val="18"/>
      <w:szCs w:val="18"/>
    </w:rPr>
  </w:style>
  <w:style w:type="paragraph" w:styleId="10">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next w:val="7"/>
    <w:semiHidden/>
    <w:qFormat/>
    <w:uiPriority w:val="0"/>
    <w:pPr>
      <w:snapToGrid w:val="0"/>
      <w:jc w:val="left"/>
    </w:pPr>
    <w:rPr>
      <w:sz w:val="18"/>
      <w:szCs w:val="18"/>
    </w:rPr>
  </w:style>
  <w:style w:type="character" w:customStyle="1" w:styleId="14">
    <w:name w:val="页眉 Char"/>
    <w:basedOn w:val="12"/>
    <w:link w:val="10"/>
    <w:qFormat/>
    <w:uiPriority w:val="99"/>
    <w:rPr>
      <w:sz w:val="18"/>
      <w:szCs w:val="18"/>
    </w:rPr>
  </w:style>
  <w:style w:type="character" w:customStyle="1" w:styleId="15">
    <w:name w:val="页脚 Char"/>
    <w:basedOn w:val="12"/>
    <w:link w:val="9"/>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2"/>
    <w:link w:val="8"/>
    <w:semiHidden/>
    <w:qFormat/>
    <w:uiPriority w:val="99"/>
    <w:rPr>
      <w:sz w:val="18"/>
      <w:szCs w:val="18"/>
    </w:rPr>
  </w:style>
  <w:style w:type="character" w:customStyle="1" w:styleId="19">
    <w:name w:val="font01"/>
    <w:basedOn w:val="12"/>
    <w:qFormat/>
    <w:uiPriority w:val="0"/>
    <w:rPr>
      <w:rFonts w:hint="eastAsia" w:ascii="宋体" w:hAnsi="宋体" w:eastAsia="宋体" w:cs="宋体"/>
      <w:color w:val="000000"/>
      <w:sz w:val="22"/>
      <w:szCs w:val="22"/>
      <w:u w:val="none"/>
    </w:rPr>
  </w:style>
  <w:style w:type="character" w:customStyle="1" w:styleId="20">
    <w:name w:val="font21"/>
    <w:basedOn w:val="12"/>
    <w:qFormat/>
    <w:uiPriority w:val="0"/>
    <w:rPr>
      <w:rFonts w:hint="eastAsia" w:ascii="宋体" w:hAnsi="宋体" w:eastAsia="宋体" w:cs="宋体"/>
      <w:color w:val="000000"/>
      <w:sz w:val="24"/>
      <w:szCs w:val="24"/>
      <w:u w:val="none"/>
    </w:rPr>
  </w:style>
  <w:style w:type="character" w:customStyle="1" w:styleId="21">
    <w:name w:val="font1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1</TotalTime>
  <ScaleCrop>false</ScaleCrop>
  <LinksUpToDate>false</LinksUpToDate>
  <CharactersWithSpaces>9008</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仙贝麻麻</cp:lastModifiedBy>
  <cp:lastPrinted>2024-08-08T10:20:00Z</cp:lastPrinted>
  <dcterms:modified xsi:type="dcterms:W3CDTF">2024-09-19T08:00:23Z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5F53980974EA4ABB8F5755350AB77AB7</vt:lpwstr>
  </property>
</Properties>
</file>