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jc w:val="center"/>
        <w:rPr>
          <w:sz w:val="56"/>
          <w:szCs w:val="56"/>
        </w:rPr>
      </w:pPr>
    </w:p>
    <w:p>
      <w:pPr>
        <w:pStyle w:val="13"/>
        <w:jc w:val="center"/>
        <w:rPr>
          <w:sz w:val="56"/>
          <w:szCs w:val="56"/>
        </w:rPr>
      </w:pPr>
    </w:p>
    <w:p>
      <w:pPr>
        <w:pStyle w:val="13"/>
        <w:jc w:val="center"/>
        <w:rPr>
          <w:sz w:val="84"/>
          <w:szCs w:val="84"/>
        </w:rPr>
      </w:pPr>
    </w:p>
    <w:p>
      <w:pPr>
        <w:pStyle w:val="13"/>
        <w:jc w:val="center"/>
        <w:rPr>
          <w:sz w:val="84"/>
          <w:szCs w:val="84"/>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w:t>
      </w:r>
    </w:p>
    <w:p>
      <w:pPr>
        <w:pStyle w:val="13"/>
        <w:jc w:val="center"/>
        <w:rPr>
          <w:rFonts w:hint="eastAsia" w:ascii="方正小标宋_GBK" w:hAnsi="方正小标宋_GBK" w:eastAsia="方正小标宋_GBK" w:cs="方正小标宋_GBK"/>
          <w:sz w:val="72"/>
          <w:szCs w:val="72"/>
          <w:lang w:eastAsia="zh-CN"/>
        </w:rPr>
      </w:pPr>
      <w:r>
        <w:rPr>
          <w:rFonts w:hint="eastAsia" w:ascii="方正小标宋_GBK" w:hAnsi="方正小标宋_GBK" w:eastAsia="方正小标宋_GBK" w:cs="方正小标宋_GBK"/>
          <w:sz w:val="72"/>
          <w:szCs w:val="72"/>
          <w:lang w:eastAsia="zh-CN"/>
        </w:rPr>
        <w:t>岳阳市农业综合行政执法支队</w:t>
      </w: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部门决算</w:t>
      </w:r>
    </w:p>
    <w:p>
      <w:pPr>
        <w:pStyle w:val="13"/>
        <w:jc w:val="center"/>
        <w:rPr>
          <w:rFonts w:hint="eastAsia" w:ascii="方正小标宋_GBK" w:hAnsi="方正小标宋_GBK" w:eastAsia="方正小标宋_GBK" w:cs="方正小标宋_GBK"/>
          <w:sz w:val="56"/>
          <w:szCs w:val="56"/>
        </w:rPr>
      </w:pPr>
    </w:p>
    <w:p>
      <w:pPr>
        <w:pStyle w:val="13"/>
        <w:jc w:val="center"/>
        <w:rPr>
          <w:sz w:val="56"/>
          <w:szCs w:val="56"/>
        </w:rPr>
      </w:pPr>
    </w:p>
    <w:p>
      <w:pPr>
        <w:pStyle w:val="13"/>
        <w:jc w:val="center"/>
        <w:rPr>
          <w:sz w:val="56"/>
          <w:szCs w:val="56"/>
        </w:rPr>
      </w:pPr>
    </w:p>
    <w:p>
      <w:pPr>
        <w:pStyle w:val="13"/>
        <w:jc w:val="center"/>
        <w:rPr>
          <w:sz w:val="56"/>
          <w:szCs w:val="56"/>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center"/>
        <w:rPr>
          <w:sz w:val="32"/>
          <w:szCs w:val="32"/>
        </w:rPr>
      </w:pPr>
    </w:p>
    <w:p>
      <w:pPr>
        <w:pStyle w:val="13"/>
        <w:jc w:val="both"/>
        <w:rPr>
          <w:sz w:val="32"/>
          <w:szCs w:val="32"/>
        </w:rPr>
      </w:pPr>
    </w:p>
    <w:p>
      <w:pPr>
        <w:pStyle w:val="13"/>
        <w:spacing w:line="500" w:lineRule="exact"/>
        <w:jc w:val="center"/>
        <w:rPr>
          <w:b/>
          <w:sz w:val="36"/>
          <w:szCs w:val="28"/>
        </w:rPr>
      </w:pPr>
      <w:r>
        <w:rPr>
          <w:rFonts w:hint="eastAsia"/>
          <w:b/>
          <w:sz w:val="36"/>
          <w:szCs w:val="28"/>
        </w:rPr>
        <w:t>目录</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val="en-US" w:eastAsia="zh-CN"/>
        </w:rPr>
        <w:t>岳阳市农业综合行政执法</w:t>
      </w:r>
      <w:bookmarkStart w:id="0" w:name="_GoBack"/>
      <w:bookmarkEnd w:id="0"/>
      <w:r>
        <w:rPr>
          <w:rFonts w:hint="eastAsia" w:hAnsi="黑体" w:cs="黑体"/>
          <w:b w:val="0"/>
          <w:bCs/>
          <w:sz w:val="28"/>
          <w:szCs w:val="28"/>
          <w:lang w:val="en-US" w:eastAsia="zh-CN"/>
        </w:rPr>
        <w:t>支队</w:t>
      </w:r>
      <w:r>
        <w:rPr>
          <w:rFonts w:hint="eastAsia" w:ascii="黑体" w:hAnsi="黑体" w:eastAsia="黑体" w:cs="黑体"/>
          <w:b w:val="0"/>
          <w:bCs/>
          <w:sz w:val="28"/>
          <w:szCs w:val="28"/>
        </w:rPr>
        <w:t>概况</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3"/>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3"/>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3"/>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3"/>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both"/>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第一部分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岳阳市农业行政执法支队</w:t>
      </w: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4"/>
        <w:ind w:left="0" w:leftChars="0" w:firstLine="0" w:firstLineChars="0"/>
        <w:rPr>
          <w:rFonts w:hint="eastAsia" w:ascii="方正小标宋_GBK" w:hAnsi="方正小标宋_GBK" w:eastAsia="方正小标宋_GBK" w:cs="方正小标宋_GBK"/>
          <w:sz w:val="84"/>
          <w:szCs w:val="84"/>
        </w:rPr>
      </w:pPr>
    </w:p>
    <w:p>
      <w:pPr>
        <w:pStyle w:val="2"/>
        <w:rPr>
          <w:rFonts w:hint="eastAsia"/>
          <w:sz w:val="32"/>
          <w:szCs w:val="32"/>
        </w:rPr>
      </w:pPr>
    </w:p>
    <w:p>
      <w:pPr>
        <w:pStyle w:val="2"/>
        <w:rPr>
          <w:rFonts w:hint="eastAsia"/>
          <w:sz w:val="32"/>
          <w:szCs w:val="32"/>
        </w:rPr>
      </w:pPr>
    </w:p>
    <w:p>
      <w:pPr>
        <w:pStyle w:val="2"/>
        <w:rPr>
          <w:rFonts w:hint="eastAsia"/>
          <w:sz w:val="32"/>
          <w:szCs w:val="32"/>
        </w:rPr>
      </w:pPr>
    </w:p>
    <w:p>
      <w:pPr>
        <w:pStyle w:val="14"/>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根据岳编发〔2020〕5号，我单位主要职责如下：</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（一）贯彻执行国家有关农业农村方面的法律、法规、规章和政策规定；代拟全市农业综合行政执法工作方面的规范性文件、总体规划和年度计划，并组织实施。</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（二）依法行使法律、法规、规章赋予的农业行政处罚权以及与行政处罚相关的行政检查、行政强制权等行政执法职能，具体承担岳阳经济技术开发区、城陵矶新港区、南湖新区范围内农业综合行政执法工作。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（三）负责全市农业重大复杂违法案件和跨县(市、区）违法案件的查处；组织或配合农业联合执法行动；依法查处上级交办、相关部门移交、下级移送及群众投诉举报的违法案件。</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（四）负责对县（市、区）农业综合行政执法工作进行指导、协调、监督和考核。</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（五）负责农业行政执法和刑事司法工作衔接，移送涉嫌犯罪案件。</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（六）指导全市农业投入品市场诚信体系建设工作；负责组织全市农业综合行政执法方面法律法规宣传和培训工作。</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val="en-US" w:eastAsia="zh-CN" w:bidi="ar-SA"/>
        </w:rPr>
        <w:t>（七）承担上级交办的其他工作。</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bCs/>
          <w:color w:val="auto"/>
          <w:kern w:val="0"/>
          <w:sz w:val="32"/>
          <w:szCs w:val="32"/>
        </w:rPr>
        <w:t>（一）内设机构设置。</w:t>
      </w:r>
      <w:r>
        <w:rPr>
          <w:rFonts w:hint="eastAsia" w:ascii="仿宋_GB2312" w:hAnsi="仿宋_GB2312" w:eastAsia="仿宋_GB2312" w:cs="仿宋_GB2312"/>
          <w:color w:val="auto"/>
          <w:kern w:val="0"/>
          <w:sz w:val="32"/>
          <w:szCs w:val="32"/>
          <w:lang w:eastAsia="zh-CN"/>
        </w:rPr>
        <w:t>岳阳市农业综合行政执法支队</w:t>
      </w:r>
      <w:r>
        <w:rPr>
          <w:rFonts w:hint="eastAsia" w:ascii="仿宋_GB2312" w:hAnsi="仿宋_GB2312" w:eastAsia="仿宋_GB2312" w:cs="仿宋_GB2312"/>
          <w:color w:val="auto"/>
          <w:kern w:val="0"/>
          <w:sz w:val="32"/>
          <w:szCs w:val="32"/>
        </w:rPr>
        <w:t>单位内设机构包括：</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（1）三个副科级内设机构：综合科、党委办、政策宣教科。</w:t>
      </w:r>
    </w:p>
    <w:p>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color w:val="auto"/>
          <w:kern w:val="0"/>
          <w:sz w:val="32"/>
          <w:szCs w:val="32"/>
        </w:rPr>
      </w:pPr>
      <w:r>
        <w:rPr>
          <w:rFonts w:hint="eastAsia" w:ascii="仿宋_GB2312" w:hAnsi="仿宋_GB2312" w:eastAsia="仿宋_GB2312" w:cs="仿宋_GB2312"/>
          <w:color w:val="000000"/>
          <w:kern w:val="0"/>
          <w:sz w:val="32"/>
          <w:szCs w:val="32"/>
          <w:lang w:val="en-US" w:eastAsia="zh-CN" w:bidi="ar-SA"/>
        </w:rPr>
        <w:t>（2）六个正科</w:t>
      </w:r>
      <w:r>
        <w:rPr>
          <w:rFonts w:hint="eastAsia" w:ascii="仿宋_GB2312" w:hAnsi="仿宋_GB2312" w:eastAsia="仿宋_GB2312" w:cs="仿宋_GB2312"/>
          <w:color w:val="auto"/>
          <w:kern w:val="0"/>
          <w:sz w:val="32"/>
          <w:szCs w:val="32"/>
          <w:lang w:eastAsia="zh-CN"/>
        </w:rPr>
        <w:t>级执法大队：政策宣传与法制大队、直属一大队（农业投入品、农业资源与环境保护和农村宅基地执法大队）、直属二大队（渔政执法大队）、直属三大队（农产品质量安全执法大队）、直属四大队（畜牧业执法大队）、直属五大队（农机执法大队）。</w:t>
      </w:r>
    </w:p>
    <w:p>
      <w:pPr>
        <w:ind w:firstLine="640" w:firstLineChars="200"/>
        <w:jc w:val="left"/>
        <w:rPr>
          <w:rFonts w:ascii="仿宋_GB2312" w:eastAsia="仿宋_GB2312" w:hAnsiTheme="minorEastAsia"/>
          <w:sz w:val="28"/>
          <w:szCs w:val="32"/>
        </w:rPr>
      </w:pPr>
      <w:r>
        <w:rPr>
          <w:rFonts w:hint="eastAsia" w:ascii="仿宋_GB2312" w:hAnsi="仿宋_GB2312" w:eastAsia="仿宋_GB2312" w:cs="仿宋_GB2312"/>
          <w:bCs/>
          <w:kern w:val="0"/>
          <w:sz w:val="32"/>
          <w:szCs w:val="32"/>
        </w:rPr>
        <w:t>（二）决算单位构成。</w:t>
      </w:r>
      <w:r>
        <w:rPr>
          <w:rFonts w:hint="eastAsia" w:ascii="仿宋_GB2312" w:hAnsi="仿宋_GB2312" w:eastAsia="仿宋_GB2312" w:cs="仿宋_GB2312"/>
          <w:kern w:val="0"/>
          <w:sz w:val="32"/>
          <w:szCs w:val="32"/>
          <w:lang w:eastAsia="zh-CN"/>
        </w:rPr>
        <w:t>本单位无独立核算的下属单位，</w:t>
      </w:r>
      <w:r>
        <w:rPr>
          <w:rFonts w:hint="eastAsia" w:ascii="仿宋_GB2312" w:hAnsi="仿宋_GB2312" w:eastAsia="仿宋_GB2312" w:cs="仿宋_GB2312"/>
          <w:kern w:val="0"/>
          <w:sz w:val="32"/>
          <w:szCs w:val="32"/>
          <w:lang w:val="en-US" w:eastAsia="zh-CN"/>
        </w:rPr>
        <w:t>2023年度部门决算汇总公开单位仅包括</w:t>
      </w:r>
      <w:r>
        <w:rPr>
          <w:rFonts w:hint="eastAsia" w:ascii="仿宋_GB2312" w:hAnsi="仿宋_GB2312" w:eastAsia="仿宋_GB2312" w:cs="仿宋_GB2312"/>
          <w:kern w:val="0"/>
          <w:sz w:val="32"/>
          <w:szCs w:val="32"/>
          <w:lang w:eastAsia="zh-CN"/>
        </w:rPr>
        <w:t>岳阳市农业综合行政执法支队单位本级。</w:t>
      </w:r>
    </w:p>
    <w:p/>
    <w:p>
      <w:pPr>
        <w:pStyle w:val="2"/>
      </w:pPr>
    </w:p>
    <w:p>
      <w:pPr>
        <w:pStyle w:val="4"/>
      </w:pPr>
    </w:p>
    <w:p/>
    <w:p>
      <w:pPr>
        <w:pStyle w:val="2"/>
      </w:pPr>
    </w:p>
    <w:p>
      <w:pPr>
        <w:pStyle w:val="4"/>
      </w:pPr>
    </w:p>
    <w:p/>
    <w:p>
      <w:pPr>
        <w:pStyle w:val="2"/>
      </w:pPr>
    </w:p>
    <w:p>
      <w:pPr>
        <w:pStyle w:val="4"/>
      </w:pPr>
    </w:p>
    <w:p/>
    <w:p>
      <w:pPr>
        <w:pStyle w:val="2"/>
      </w:pPr>
    </w:p>
    <w:p>
      <w:pPr>
        <w:pStyle w:val="4"/>
      </w:pPr>
    </w:p>
    <w:p/>
    <w:p>
      <w:pPr>
        <w:pStyle w:val="2"/>
      </w:pPr>
    </w:p>
    <w:p>
      <w:pPr>
        <w:pStyle w:val="4"/>
      </w:pPr>
    </w:p>
    <w:p/>
    <w:p>
      <w:pPr>
        <w:pStyle w:val="2"/>
      </w:pPr>
    </w:p>
    <w:p>
      <w:pPr>
        <w:pStyle w:val="4"/>
      </w:pPr>
    </w:p>
    <w:p/>
    <w:p>
      <w:pPr>
        <w:pStyle w:val="2"/>
      </w:pPr>
    </w:p>
    <w:p>
      <w:pPr>
        <w:pStyle w:val="4"/>
      </w:pPr>
    </w:p>
    <w:p/>
    <w:p>
      <w:pPr>
        <w:pStyle w:val="2"/>
      </w:pPr>
    </w:p>
    <w:p>
      <w:pPr>
        <w:pStyle w:val="4"/>
      </w:pPr>
    </w:p>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3"/>
        <w:jc w:val="center"/>
        <w:rPr>
          <w:rFonts w:hint="eastAsia" w:ascii="方正小标宋_GBK" w:hAnsi="方正小标宋_GBK" w:eastAsia="方正小标宋_GBK" w:cs="方正小标宋_GBK"/>
          <w:sz w:val="84"/>
          <w:szCs w:val="84"/>
        </w:rPr>
      </w:pPr>
    </w:p>
    <w:p>
      <w:pPr>
        <w:pStyle w:val="13"/>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3"/>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仿宋_GB2312" w:hAnsi="仿宋_GB2312" w:eastAsia="仿宋_GB2312" w:cs="仿宋_GB2312"/>
          <w:b w:val="0"/>
          <w:bCs w:val="0"/>
          <w:sz w:val="72"/>
          <w:szCs w:val="72"/>
          <w:lang w:eastAsia="zh-CN"/>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202</w:t>
      </w:r>
      <w:r>
        <w:rPr>
          <w:rFonts w:hint="eastAsia" w:ascii="方正小标宋_GBK" w:hAnsi="方正小标宋_GBK" w:eastAsia="方正小标宋_GBK" w:cs="方正小标宋_GBK"/>
          <w:sz w:val="72"/>
          <w:szCs w:val="72"/>
          <w:lang w:val="en-US" w:eastAsia="zh-CN"/>
        </w:rPr>
        <w:t>3</w:t>
      </w:r>
      <w:r>
        <w:rPr>
          <w:rFonts w:hint="eastAsia" w:ascii="方正小标宋_GBK" w:hAnsi="方正小标宋_GBK" w:eastAsia="方正小标宋_GBK" w:cs="方正小标宋_GBK"/>
          <w:sz w:val="72"/>
          <w:szCs w:val="72"/>
        </w:rPr>
        <w:t>年度部门决算情况说明</w:t>
      </w: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center"/>
        <w:rPr>
          <w:rFonts w:hint="eastAsia" w:ascii="方正小标宋_GBK" w:hAnsi="方正小标宋_GBK" w:eastAsia="方正小标宋_GBK" w:cs="方正小标宋_GBK"/>
          <w:sz w:val="70"/>
          <w:szCs w:val="70"/>
        </w:rPr>
      </w:pPr>
    </w:p>
    <w:p>
      <w:pPr>
        <w:pStyle w:val="13"/>
        <w:jc w:val="both"/>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1373.89</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671.03</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32.81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eastAsia="zh-CN"/>
        </w:rPr>
        <w:t>岳阳市东洞庭湖江豚自然保护区建设项目已完结。</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1373.85</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1373.85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1373.89</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839.98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61.14</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533.91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38.86</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3"/>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color w:val="FF0000"/>
          <w:sz w:val="32"/>
          <w:szCs w:val="32"/>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1373.85</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478.92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25.85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eastAsia="zh-CN"/>
        </w:rPr>
        <w:t>岳阳市东洞庭湖江豚自然保护区建设项目已完结。</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1373.85</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99.99</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478.92</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25.85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主要是因为</w:t>
      </w:r>
      <w:r>
        <w:rPr>
          <w:rFonts w:hint="eastAsia" w:ascii="仿宋_GB2312" w:hAnsi="仿宋_GB2312" w:eastAsia="仿宋_GB2312" w:cs="仿宋_GB2312"/>
          <w:color w:val="auto"/>
          <w:sz w:val="32"/>
          <w:szCs w:val="32"/>
          <w:lang w:eastAsia="zh-CN"/>
        </w:rPr>
        <w:t>岳阳市东洞庭湖江豚自然保护区建设项目已完结。</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1373.85</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155.49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11.31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38.26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2.80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1133.04</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82.47</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住房保障支出</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47.06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3.42</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761.50</w:t>
      </w:r>
      <w:r>
        <w:rPr>
          <w:rFonts w:hint="eastAsia" w:ascii="仿宋_GB2312" w:hAnsi="仿宋_GB2312" w:eastAsia="仿宋_GB2312" w:cs="仿宋_GB2312"/>
          <w:sz w:val="32"/>
          <w:szCs w:val="32"/>
        </w:rPr>
        <w:t>万元，支出决算数</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sz w:val="32"/>
          <w:szCs w:val="32"/>
          <w:lang w:val="en-US" w:eastAsia="zh-CN"/>
        </w:rPr>
        <w:t>1373.85</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180.41</w:t>
      </w:r>
      <w:r>
        <w:rPr>
          <w:rFonts w:hint="eastAsia" w:ascii="仿宋_GB2312" w:hAnsi="仿宋_GB2312" w:eastAsia="仿宋_GB2312" w:cs="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事业单位离退休</w:t>
      </w:r>
      <w:r>
        <w:rPr>
          <w:rFonts w:hint="eastAsia" w:ascii="仿宋_GB2312" w:hAnsi="仿宋_GB2312" w:eastAsia="仿宋_GB2312" w:cs="仿宋_GB2312"/>
          <w:sz w:val="32"/>
          <w:szCs w:val="32"/>
        </w:rPr>
        <w:t>（项）。</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114.24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105.31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92.18</w:t>
      </w:r>
      <w:r>
        <w:rPr>
          <w:rFonts w:hint="eastAsia" w:ascii="仿宋_GB2312" w:hAnsi="仿宋_GB2312" w:eastAsia="仿宋_GB2312" w:cs="仿宋_GB2312"/>
          <w:sz w:val="32"/>
          <w:szCs w:val="32"/>
        </w:rPr>
        <w:t>%，决算数小于年初预算数的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val="en-US" w:eastAsia="zh-CN"/>
        </w:rPr>
        <w:t>2023年离退休职工奖年终励性绩效减少。</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机关事业单位基本养老保险缴费支出</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48.67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48.67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eastAsia="zh-CN"/>
        </w:rPr>
        <w:t>我单位严格按照预算数执行。</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抚恤</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其他优抚支出</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0.07</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优抚对象离世财政补发最后一个月生活补贴。</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其他社会保障和就业支出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其他社会保障和就业支出</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1.49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96.64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color w:val="auto"/>
          <w:sz w:val="32"/>
          <w:szCs w:val="32"/>
        </w:rPr>
        <w:t>的主要原因是：</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sz w:val="32"/>
          <w:szCs w:val="32"/>
          <w:lang w:val="en-US" w:eastAsia="zh-CN"/>
        </w:rPr>
        <w:t>年退休一人工伤保险相应减少。</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行政事业单位医疗</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事业单位医疗</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38.26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38.26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eastAsia="zh-CN"/>
        </w:rPr>
        <w:t>我单位严格按照预算数执行。</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事业运行</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511.77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507.24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99.11</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val="en-US" w:eastAsia="zh-CN"/>
        </w:rPr>
        <w:t>2023</w:t>
      </w:r>
      <w:r>
        <w:rPr>
          <w:rFonts w:hint="eastAsia" w:ascii="仿宋_GB2312" w:hAnsi="仿宋_GB2312" w:eastAsia="仿宋_GB2312" w:cs="仿宋_GB2312"/>
          <w:sz w:val="32"/>
          <w:szCs w:val="32"/>
          <w:lang w:val="en-US" w:eastAsia="zh-CN"/>
        </w:rPr>
        <w:t>年退休一人相应工资减少。</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农业生产发展</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w:t>
      </w:r>
      <w:r>
        <w:rPr>
          <w:rFonts w:hint="eastAsia" w:ascii="仿宋_GB2312" w:hAnsi="仿宋_GB2312" w:eastAsia="仿宋_GB2312" w:cs="仿宋_GB2312"/>
          <w:color w:val="auto"/>
          <w:sz w:val="32"/>
          <w:szCs w:val="32"/>
        </w:rPr>
        <w:t>的主要原因是：</w:t>
      </w:r>
      <w:r>
        <w:rPr>
          <w:rFonts w:hint="eastAsia" w:ascii="仿宋_GB2312" w:hAnsi="仿宋_GB2312" w:eastAsia="仿宋_GB2312" w:cs="仿宋_GB2312"/>
          <w:color w:val="auto"/>
          <w:sz w:val="32"/>
          <w:szCs w:val="32"/>
          <w:lang w:eastAsia="zh-CN"/>
        </w:rPr>
        <w:t>财政追加现代农业发展项目经费。</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农业资源保护修复与利用</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45.00</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w:t>
      </w:r>
      <w:r>
        <w:rPr>
          <w:rFonts w:hint="eastAsia" w:ascii="仿宋_GB2312" w:hAnsi="仿宋_GB2312" w:eastAsia="仿宋_GB2312" w:cs="仿宋_GB2312"/>
          <w:color w:val="auto"/>
          <w:sz w:val="32"/>
          <w:szCs w:val="32"/>
        </w:rPr>
        <w:t>初预算数的主要原因是：</w:t>
      </w:r>
      <w:r>
        <w:rPr>
          <w:rFonts w:hint="eastAsia" w:ascii="仿宋_GB2312" w:hAnsi="仿宋_GB2312" w:eastAsia="仿宋_GB2312" w:cs="仿宋_GB2312"/>
          <w:color w:val="auto"/>
          <w:sz w:val="32"/>
          <w:szCs w:val="32"/>
          <w:lang w:eastAsia="zh-CN"/>
        </w:rPr>
        <w:t>中央财政转移支付渔业资源增殖放流资金。</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渔业发展</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149.52</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eastAsia="zh-CN"/>
        </w:rPr>
        <w:t>中央财政转移支付成品油价格调整对渔业的补助。</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农林水支出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农业农村</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其他农业农村支出</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426.28</w:t>
      </w:r>
      <w:r>
        <w:rPr>
          <w:rFonts w:hint="eastAsia" w:ascii="仿宋_GB2312" w:hAnsi="仿宋_GB2312" w:eastAsia="仿宋_GB2312" w:cs="仿宋_GB2312"/>
          <w:sz w:val="32"/>
          <w:szCs w:val="32"/>
        </w:rPr>
        <w:t>万元，决算数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eastAsia="zh-CN"/>
        </w:rPr>
        <w:t>农业执法及禁捕专项、农业综合执法经费等专项经费未在财政拨款支出年初预算数中体现。</w:t>
      </w:r>
    </w:p>
    <w:p>
      <w:pPr>
        <w:pStyle w:val="13"/>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住房保障支出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住房改革支出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住房公积金</w:t>
      </w:r>
      <w:r>
        <w:rPr>
          <w:rFonts w:hint="eastAsia" w:ascii="仿宋_GB2312" w:hAnsi="仿宋_GB2312" w:eastAsia="仿宋_GB2312" w:cs="仿宋_GB2312"/>
          <w:sz w:val="32"/>
          <w:szCs w:val="32"/>
        </w:rPr>
        <w:t>（项）。</w:t>
      </w:r>
    </w:p>
    <w:p>
      <w:pPr>
        <w:pStyle w:val="13"/>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47.06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47.06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sz w:val="32"/>
          <w:szCs w:val="32"/>
          <w:lang w:eastAsia="zh-CN"/>
        </w:rPr>
        <w:t>我单位严格按照预算数执行。</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839.93</w:t>
      </w:r>
      <w:r>
        <w:rPr>
          <w:rFonts w:hint="eastAsia" w:ascii="仿宋_GB2312" w:hAnsi="仿宋_GB2312" w:eastAsia="仿宋_GB2312" w:cs="仿宋_GB2312"/>
          <w:sz w:val="32"/>
          <w:szCs w:val="32"/>
        </w:rPr>
        <w:t>万元，其中：</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770.69</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91.76</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eastAsia="zh-CN"/>
        </w:rPr>
        <w:t>、绩效工资、 机关事业单位基本养老保险缴费、 职工基本医疗保险缴费、 其他社会保障缴费、住房公积金、离休费、退休费、医疗费补助、其他对个人和家庭的补助。</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69.24</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8.24</w:t>
      </w:r>
      <w:r>
        <w:rPr>
          <w:rFonts w:hint="eastAsia" w:ascii="仿宋_GB2312" w:hAnsi="仿宋_GB2312" w:eastAsia="仿宋_GB2312" w:cs="仿宋_GB2312"/>
          <w:sz w:val="32"/>
          <w:szCs w:val="32"/>
        </w:rPr>
        <w:t>%，主要包括办公费、水费</w:t>
      </w:r>
      <w:r>
        <w:rPr>
          <w:rFonts w:hint="eastAsia" w:ascii="仿宋_GB2312" w:hAnsi="仿宋_GB2312" w:eastAsia="仿宋_GB2312" w:cs="仿宋_GB2312"/>
          <w:sz w:val="32"/>
          <w:szCs w:val="32"/>
          <w:lang w:eastAsia="zh-CN"/>
        </w:rPr>
        <w:t>、电费、物业管理费、会议费、公务接待费、工会经费、福利费、公务用车运行维护费、其他交通费用、其他商品和服务支出</w:t>
      </w:r>
      <w:r>
        <w:rPr>
          <w:rFonts w:hint="eastAsia" w:ascii="仿宋_GB2312" w:hAnsi="仿宋_GB2312" w:eastAsia="仿宋_GB2312" w:cs="仿宋_GB2312"/>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default" w:ascii="黑体" w:hAnsi="黑体" w:eastAsia="黑体" w:cs="黑体"/>
          <w:b w:val="0"/>
          <w:bCs/>
          <w:sz w:val="32"/>
          <w:szCs w:val="32"/>
          <w:lang w:val="en-US"/>
        </w:rPr>
      </w:pPr>
      <w:r>
        <w:rPr>
          <w:rFonts w:hint="eastAsia" w:ascii="仿宋_GB2312" w:hAnsi="仿宋_GB2312" w:eastAsia="仿宋_GB2312" w:cs="仿宋_GB2312"/>
          <w:color w:val="000000"/>
          <w:kern w:val="0"/>
          <w:sz w:val="32"/>
          <w:szCs w:val="32"/>
          <w:lang w:val="en-US" w:eastAsia="zh-CN" w:bidi="ar-SA"/>
        </w:rPr>
        <w:t>2023年度国有资本经营预算财政拨款收入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color w:val="000000"/>
          <w:kern w:val="0"/>
          <w:sz w:val="32"/>
          <w:szCs w:val="32"/>
          <w:lang w:val="en-US" w:eastAsia="zh-CN" w:bidi="ar-SA"/>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color w:val="000000"/>
          <w:kern w:val="0"/>
          <w:sz w:val="32"/>
          <w:szCs w:val="32"/>
          <w:lang w:val="en-US" w:eastAsia="zh-CN" w:bidi="ar-SA"/>
        </w:rPr>
        <w:t>万；支出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color w:val="000000"/>
          <w:kern w:val="0"/>
          <w:sz w:val="32"/>
          <w:szCs w:val="32"/>
          <w:lang w:val="en-US" w:eastAsia="zh-CN" w:bidi="ar-SA"/>
        </w:rPr>
        <w:t>万元，其中：基本支出0万元，项目支出0万元；年末结转和结余0万元。</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29.64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29.64</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我单位严格控制三公经费支出，</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21.1</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247</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：我单位因行政执法车辆已达报废年限，经相关部门批准置换新车一台。</w:t>
      </w:r>
      <w:r>
        <w:rPr>
          <w:rFonts w:hint="eastAsia" w:ascii="仿宋_GB2312" w:hAnsi="仿宋_GB2312" w:eastAsia="仿宋_GB2312" w:cs="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因公出国（境）费支出预算为0万元，支出决算为0万元，决算数等于预算数，主要原因是我单位严格按预算执行决算；与上年一致，无增减变动，主要原因是未安排因公出国（境）活动。</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2.66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2.66</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b w:val="0"/>
          <w:bCs/>
          <w:color w:val="auto"/>
          <w:kern w:val="0"/>
          <w:sz w:val="32"/>
          <w:szCs w:val="32"/>
          <w:lang w:val="en-US" w:eastAsia="zh-CN" w:bidi="ar-SA"/>
        </w:rPr>
        <w:t>严格执行中央八项规定</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0.32</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13.67</w:t>
      </w:r>
      <w:r>
        <w:rPr>
          <w:rFonts w:hint="eastAsia" w:ascii="仿宋_GB2312" w:hAnsi="仿宋_GB2312" w:eastAsia="仿宋_GB2312" w:cs="仿宋_GB2312"/>
          <w:sz w:val="32"/>
          <w:szCs w:val="32"/>
        </w:rPr>
        <w:t>%,增长的</w:t>
      </w:r>
      <w:r>
        <w:rPr>
          <w:rFonts w:hint="eastAsia" w:ascii="仿宋_GB2312" w:hAnsi="仿宋_GB2312" w:eastAsia="仿宋_GB2312" w:cs="仿宋_GB2312"/>
          <w:color w:val="auto"/>
          <w:sz w:val="32"/>
          <w:szCs w:val="32"/>
        </w:rPr>
        <w:t>主要原因是</w:t>
      </w:r>
      <w:r>
        <w:rPr>
          <w:rFonts w:hint="eastAsia" w:ascii="仿宋_GB2312" w:hAnsi="仿宋_GB2312" w:eastAsia="仿宋_GB2312" w:cs="仿宋_GB2312"/>
          <w:color w:val="auto"/>
          <w:sz w:val="32"/>
          <w:szCs w:val="32"/>
          <w:lang w:eastAsia="zh-CN"/>
        </w:rPr>
        <w:t>益阳相关执法单位赴岳学习交流</w:t>
      </w:r>
      <w:r>
        <w:rPr>
          <w:rFonts w:hint="eastAsia" w:ascii="仿宋_GB2312" w:hAnsi="仿宋_GB2312" w:eastAsia="仿宋_GB2312" w:cs="仿宋_GB2312"/>
          <w:color w:val="auto"/>
          <w:sz w:val="32"/>
          <w:szCs w:val="32"/>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公务用车购置费支出预算为</w:t>
      </w:r>
      <w:r>
        <w:rPr>
          <w:rFonts w:hint="eastAsia" w:ascii="仿宋_GB2312" w:hAnsi="仿宋_GB2312" w:eastAsia="仿宋_GB2312" w:cs="仿宋_GB2312"/>
          <w:sz w:val="32"/>
          <w:szCs w:val="32"/>
          <w:lang w:val="en-US" w:eastAsia="zh-CN"/>
        </w:rPr>
        <w:t>17.98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17.98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17.98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%,增长的</w:t>
      </w:r>
      <w:r>
        <w:rPr>
          <w:rFonts w:hint="eastAsia" w:ascii="仿宋_GB2312" w:hAnsi="仿宋_GB2312" w:eastAsia="仿宋_GB2312" w:cs="仿宋_GB2312"/>
          <w:sz w:val="32"/>
          <w:szCs w:val="32"/>
          <w:lang w:eastAsia="zh-CN"/>
        </w:rPr>
        <w:t>主要原因是我单位因行政执法车辆已达报废年限，经相关部门批准置换新车一台。</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b w:val="0"/>
          <w:bCs/>
          <w:color w:val="000000" w:themeColor="text1"/>
          <w:kern w:val="0"/>
          <w:sz w:val="32"/>
          <w:szCs w:val="32"/>
          <w:lang w:val="en-US" w:eastAsia="zh-CN" w:bidi="ar-SA"/>
          <w14:textFill>
            <w14:solidFill>
              <w14:schemeClr w14:val="tx1"/>
            </w14:solidFill>
          </w14:textFill>
        </w:rPr>
        <w:t>我单位严格按预算执行决算</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2.8</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45.16</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我单位一台公务用车以前年度预算下达至局机关。</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2.66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8.97</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26.98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91.03</w:t>
      </w:r>
      <w:r>
        <w:rPr>
          <w:rFonts w:hint="eastAsia" w:ascii="仿宋_GB2312" w:hAnsi="仿宋_GB2312" w:eastAsia="仿宋_GB2312" w:cs="仿宋_GB2312"/>
          <w:sz w:val="32"/>
          <w:szCs w:val="32"/>
        </w:rPr>
        <w:t>%。其中：</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b w:val="0"/>
          <w:bCs/>
          <w:color w:val="auto"/>
          <w:kern w:val="0"/>
          <w:sz w:val="32"/>
          <w:szCs w:val="32"/>
          <w:lang w:val="en-US" w:eastAsia="zh-CN" w:bidi="ar-SA"/>
        </w:rPr>
        <w:t>因公出国（境）费支出决算为0万元，全年安排因公出国（境）团组0个，累计0人次，我单位2023年度无因公出国（境）费支出。</w:t>
      </w:r>
    </w:p>
    <w:p>
      <w:pPr>
        <w:pStyle w:val="13"/>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2.66</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41</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191</w:t>
      </w:r>
      <w:r>
        <w:rPr>
          <w:rFonts w:hint="eastAsia" w:ascii="仿宋_GB2312" w:hAnsi="仿宋_GB2312" w:eastAsia="仿宋_GB2312" w:cs="仿宋_GB2312"/>
          <w:sz w:val="32"/>
          <w:szCs w:val="32"/>
        </w:rPr>
        <w:t>人次，主要是</w:t>
      </w:r>
      <w:r>
        <w:rPr>
          <w:rFonts w:hint="eastAsia" w:ascii="仿宋_GB2312" w:hAnsi="仿宋_GB2312" w:eastAsia="仿宋_GB2312" w:cs="仿宋_GB2312"/>
          <w:sz w:val="32"/>
          <w:szCs w:val="32"/>
          <w:lang w:eastAsia="zh-CN"/>
        </w:rPr>
        <w:t>省厅、其他市州、各县市区调研，行政执法学习交流</w:t>
      </w:r>
      <w:r>
        <w:rPr>
          <w:rFonts w:hint="eastAsia" w:ascii="仿宋_GB2312" w:hAnsi="仿宋_GB2312" w:eastAsia="仿宋_GB2312" w:cs="仿宋_GB2312"/>
          <w:sz w:val="32"/>
          <w:szCs w:val="32"/>
        </w:rPr>
        <w:t>发生的接待支出。</w:t>
      </w:r>
    </w:p>
    <w:p>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26.98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17.98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岳阳市农业综合执法支队单位本级</w:t>
      </w:r>
      <w:r>
        <w:rPr>
          <w:rFonts w:hint="eastAsia" w:ascii="仿宋_GB2312" w:hAnsi="仿宋_GB2312" w:eastAsia="仿宋_GB2312" w:cs="仿宋_GB2312"/>
          <w:sz w:val="32"/>
          <w:szCs w:val="32"/>
        </w:rPr>
        <w:t>更新公务用车</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万元，主要是</w:t>
      </w:r>
      <w:r>
        <w:rPr>
          <w:rFonts w:hint="eastAsia" w:ascii="Times New Roman" w:hAnsi="Times New Roman" w:eastAsia="仿宋_GB2312"/>
          <w:sz w:val="32"/>
          <w:szCs w:val="32"/>
          <w:lang w:eastAsia="zh-CN"/>
        </w:rPr>
        <w:t>油料费、过路过桥费、维修费、洗车费</w:t>
      </w:r>
      <w:r>
        <w:rPr>
          <w:rFonts w:hint="eastAsia" w:ascii="仿宋_GB2312" w:hAnsi="仿宋_GB2312" w:eastAsia="仿宋_GB2312" w:cs="仿宋_GB2312"/>
          <w:sz w:val="32"/>
          <w:szCs w:val="32"/>
        </w:rPr>
        <w:t>支出，截止202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辆。</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lang w:eastAsia="zh-CN"/>
        </w:rPr>
        <w:t>十</w:t>
      </w:r>
      <w:r>
        <w:rPr>
          <w:rFonts w:hint="eastAsia" w:ascii="黑体" w:hAnsi="黑体" w:eastAsia="黑体" w:cs="黑体"/>
          <w:b w:val="0"/>
          <w:bCs/>
          <w:color w:val="auto"/>
          <w:sz w:val="32"/>
          <w:szCs w:val="32"/>
        </w:rPr>
        <w:t>、关于机关运行经费支出说明</w:t>
      </w:r>
    </w:p>
    <w:p>
      <w:pPr>
        <w:pStyle w:val="13"/>
        <w:ind w:firstLine="640" w:firstLineChars="200"/>
        <w:rPr>
          <w:rFonts w:ascii="Times New Roman" w:hAnsi="Times New Roman" w:eastAsia="仿宋_GB2312"/>
          <w:sz w:val="32"/>
          <w:szCs w:val="32"/>
        </w:rPr>
      </w:pPr>
      <w:r>
        <w:rPr>
          <w:rFonts w:hint="eastAsia" w:ascii="仿宋_GB2312" w:hAnsi="仿宋_GB2312" w:eastAsia="仿宋_GB2312" w:cs="仿宋_GB2312"/>
          <w:i w:val="0"/>
          <w:iCs/>
          <w:color w:val="auto"/>
          <w:sz w:val="32"/>
          <w:szCs w:val="32"/>
          <w:lang w:val="en-US" w:eastAsia="zh-CN"/>
        </w:rPr>
        <w:t>本级和所属单位均为事业单位，按照机关运行经费的口径，本年度机关运行经费为0。</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3"/>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年度，会议费年初预算2万元，支出决算为1.81万元，完成年初预算的90.50%。</w:t>
      </w:r>
      <w:r>
        <w:rPr>
          <w:rFonts w:hint="eastAsia" w:ascii="仿宋_GB2312" w:hAnsi="仿宋_GB2312" w:eastAsia="仿宋_GB2312" w:cs="仿宋_GB2312"/>
          <w:color w:val="auto"/>
          <w:sz w:val="32"/>
          <w:szCs w:val="32"/>
          <w:lang w:val="en-US" w:eastAsia="zh-CN"/>
        </w:rPr>
        <w:t>用于召开《岳阳市禁捕执法、农产品质量安全执法工作部署会》、《岳阳市中心城区禁捕水域码头、渡口、船舶生产秩序管理工作会议》、《全市农业综合行政执法工作会议》会议，</w:t>
      </w:r>
      <w:r>
        <w:rPr>
          <w:rFonts w:hint="eastAsia" w:ascii="仿宋_GB2312" w:hAnsi="仿宋_GB2312" w:eastAsia="仿宋_GB2312" w:cs="仿宋_GB2312"/>
          <w:color w:val="auto"/>
          <w:sz w:val="32"/>
          <w:szCs w:val="32"/>
        </w:rPr>
        <w:t>人数</w:t>
      </w:r>
      <w:r>
        <w:rPr>
          <w:rFonts w:hint="eastAsia" w:ascii="仿宋_GB2312" w:hAnsi="仿宋_GB2312" w:eastAsia="仿宋_GB2312" w:cs="仿宋_GB2312"/>
          <w:color w:val="auto"/>
          <w:sz w:val="32"/>
          <w:szCs w:val="32"/>
          <w:lang w:val="en-US" w:eastAsia="zh-CN"/>
        </w:rPr>
        <w:t>200</w:t>
      </w:r>
      <w:r>
        <w:rPr>
          <w:rFonts w:hint="eastAsia" w:ascii="仿宋_GB2312" w:hAnsi="仿宋_GB2312" w:eastAsia="仿宋_GB2312" w:cs="仿宋_GB2312"/>
          <w:color w:val="auto"/>
          <w:sz w:val="32"/>
          <w:szCs w:val="32"/>
        </w:rPr>
        <w:t>人，内容为</w:t>
      </w:r>
      <w:r>
        <w:rPr>
          <w:rFonts w:hint="eastAsia" w:ascii="仿宋_GB2312" w:hAnsi="仿宋_GB2312" w:eastAsia="仿宋_GB2312" w:cs="仿宋_GB2312"/>
          <w:color w:val="auto"/>
          <w:sz w:val="32"/>
          <w:szCs w:val="32"/>
          <w:lang w:eastAsia="zh-CN"/>
        </w:rPr>
        <w:t>岳阳市禁捕执法、农产品质量安全执法工作部署，中心城区禁捕水域码头、渡口、船舶生产制度管理，农业综合行政执法工作部署会等。</w:t>
      </w:r>
    </w:p>
    <w:p>
      <w:pPr>
        <w:widowControl w:val="0"/>
        <w:autoSpaceDE w:val="0"/>
        <w:autoSpaceDN w:val="0"/>
        <w:adjustRightInd w:val="0"/>
        <w:ind w:firstLine="640" w:firstLineChars="200"/>
        <w:rPr>
          <w:rFonts w:hint="eastAsia" w:ascii="仿宋_GB2312" w:hAnsi="仿宋_GB2312" w:eastAsia="仿宋_GB2312" w:cs="仿宋_GB2312"/>
          <w:b w:val="0"/>
          <w:bCs w:val="0"/>
          <w:color w:val="auto"/>
          <w:kern w:val="0"/>
          <w:sz w:val="32"/>
          <w:szCs w:val="32"/>
          <w:lang w:val="en-US" w:eastAsia="zh-CN" w:bidi="ar-SA"/>
        </w:rPr>
      </w:pPr>
      <w:r>
        <w:rPr>
          <w:rFonts w:hint="eastAsia" w:ascii="仿宋_GB2312" w:hAnsi="仿宋_GB2312" w:eastAsia="仿宋_GB2312" w:cs="仿宋_GB2312"/>
          <w:b w:val="0"/>
          <w:bCs w:val="0"/>
          <w:i w:val="0"/>
          <w:iCs w:val="0"/>
          <w:color w:val="auto"/>
          <w:kern w:val="0"/>
          <w:sz w:val="32"/>
          <w:szCs w:val="32"/>
          <w:lang w:val="en-US" w:eastAsia="zh-CN" w:bidi="ar-SA"/>
        </w:rPr>
        <w:t>本单位无培训费的预算和支出决算数</w:t>
      </w:r>
      <w:r>
        <w:rPr>
          <w:rFonts w:hint="eastAsia" w:ascii="仿宋_GB2312" w:hAnsi="仿宋_GB2312" w:eastAsia="仿宋_GB2312" w:cs="仿宋_GB2312"/>
          <w:b w:val="0"/>
          <w:bCs w:val="0"/>
          <w:color w:val="auto"/>
          <w:kern w:val="0"/>
          <w:sz w:val="32"/>
          <w:szCs w:val="32"/>
          <w:lang w:val="en-US" w:eastAsia="zh-CN" w:bidi="ar-SA"/>
        </w:rPr>
        <w:t>。</w:t>
      </w:r>
    </w:p>
    <w:p>
      <w:pPr>
        <w:widowControl w:val="0"/>
        <w:autoSpaceDE w:val="0"/>
        <w:autoSpaceDN w:val="0"/>
        <w:adjustRightInd w:val="0"/>
        <w:ind w:firstLine="640" w:firstLineChars="200"/>
        <w:rPr>
          <w:rFonts w:hint="eastAsia" w:ascii="仿宋_GB2312" w:hAnsi="仿宋_GB2312" w:eastAsia="仿宋_GB2312" w:cs="仿宋_GB2312"/>
          <w:b w:val="0"/>
          <w:bCs w:val="0"/>
          <w:i/>
          <w:color w:val="auto"/>
          <w:kern w:val="0"/>
          <w:sz w:val="32"/>
          <w:szCs w:val="32"/>
          <w:lang w:val="en-US" w:eastAsia="zh-CN" w:bidi="ar-SA"/>
        </w:rPr>
      </w:pPr>
      <w:r>
        <w:rPr>
          <w:rFonts w:hint="eastAsia" w:ascii="仿宋_GB2312" w:hAnsi="仿宋_GB2312" w:eastAsia="仿宋_GB2312" w:cs="仿宋_GB2312"/>
          <w:b w:val="0"/>
          <w:bCs w:val="0"/>
          <w:i w:val="0"/>
          <w:iCs w:val="0"/>
          <w:color w:val="auto"/>
          <w:kern w:val="0"/>
          <w:sz w:val="32"/>
          <w:szCs w:val="32"/>
          <w:lang w:val="en-US" w:eastAsia="zh-CN" w:bidi="ar-SA"/>
        </w:rPr>
        <w:t>本单位无举办节庆、晚会、论坛、赛事等活动的预算和支出决算数</w:t>
      </w:r>
      <w:r>
        <w:rPr>
          <w:rFonts w:hint="eastAsia" w:ascii="仿宋_GB2312" w:hAnsi="仿宋_GB2312" w:eastAsia="仿宋_GB2312" w:cs="仿宋_GB2312"/>
          <w:b w:val="0"/>
          <w:bCs w:val="0"/>
          <w:color w:val="auto"/>
          <w:kern w:val="0"/>
          <w:sz w:val="32"/>
          <w:szCs w:val="32"/>
          <w:lang w:val="en-US" w:eastAsia="zh-CN" w:bidi="ar-SA"/>
        </w:rPr>
        <w:t>。</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3"/>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313</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97.17</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74.19</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141.64</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313</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313</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1373.85万元，政府性基金预算支出0万元，国有资本经营预算支出0万元。从评价情况来看，整体支出绩效评价中，2023年整体支出1373.89万元，其中：基本支出839.98万元，项目支出533.91万元，本单位整体支出绩效自评综合评分99分，评价结果等次为优。</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511.12万元，占一般公共预算项目支出总额的95.73%。组织对政府性基金预算项目支出开展绩效自评，项目0个，共涉及资金0万元，由于政府性基金预算项目支出总额为0，故无法计算占政府性基金预算项目支出总额的比重。组织对国有资本经营预算项目支出开展绩效自评，项目0个，共涉及资金0万元，由于国有资本经营预算项目支出总额为0，故无法计算占国有资本经营预算项目支出总额的比重。从评价情况来看，项目绩效自评得分99分，评价结果等次为优。</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根据年初设定的绩效目标，绩效自评得分为99分。全年预算数为1373.85万元，执行数为1373.89 万元，完成预算的100%。绩效目标完成情况：</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一是</w:t>
      </w:r>
      <w:r>
        <w:rPr>
          <w:rFonts w:hint="eastAsia" w:ascii="Times New Roman" w:hAnsi="Times New Roman" w:eastAsia="仿宋_GB2312" w:cs="黑体"/>
          <w:color w:val="000000"/>
          <w:kern w:val="0"/>
          <w:sz w:val="32"/>
          <w:szCs w:val="32"/>
          <w:lang w:val="en-US" w:eastAsia="zh-CN" w:bidi="ar-SA"/>
        </w:rPr>
        <w:t>严格预算支出管理。在支出预算编制上，根据“总量控制、计划管理”的要求从严控制工作经费一般性支出，压缩公务费开支，严格控制“三公”经费，严格按资产配置标准和审批开展政府采购，按照预算科目和专项项目资金有关规定使用财政资金，保障部门整体支出的规范化、制度化；</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lang w:val="en-US" w:eastAsia="zh-CN"/>
        </w:rPr>
      </w:pP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Times New Roman" w:hAnsi="Times New Roman" w:eastAsia="仿宋_GB2312" w:cs="黑体"/>
          <w:color w:val="000000"/>
          <w:kern w:val="0"/>
          <w:sz w:val="32"/>
          <w:szCs w:val="32"/>
          <w:lang w:val="en-US" w:eastAsia="zh-CN" w:bidi="ar-SA"/>
        </w:rPr>
        <w:t>加强财务管理。按照国家法律法规，制定了单位财务、接待、执法船舶管理、车辆使用等内部控制制度，并按照制度管理和执行，防范风险，保证财政资金安全和高效运行。</w:t>
      </w:r>
    </w:p>
    <w:p>
      <w:pPr>
        <w:autoSpaceDE w:val="0"/>
        <w:spacing w:line="560" w:lineRule="exact"/>
        <w:ind w:firstLine="640" w:firstLineChars="200"/>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三是</w:t>
      </w:r>
      <w:r>
        <w:rPr>
          <w:rFonts w:hint="eastAsia" w:ascii="仿宋_GB2312" w:hAnsi="仿宋_GB2312" w:eastAsia="仿宋_GB2312" w:cs="仿宋_GB2312"/>
          <w:b w:val="0"/>
          <w:bCs w:val="0"/>
          <w:sz w:val="32"/>
          <w:szCs w:val="32"/>
        </w:rPr>
        <w:t>聚焦主责主业，护航“三农”高质量发展。支队以“湘剑”护农行动为主线，组织开展了农资打假暨“稳粮保供”专项行动、“十年禁渔”集中整治、农产品质量安全执法、生猪屠宰和肉类市场整治、拖拉机安全顽瘴痼疾专项整治等执法行动。全市共出动执法人员115642人次，检查生产经营场所19363个次，行政处罚普通程序立案907起、简易程序2760起，罚款399.98万元、没收违法所得20.77万元、没收违法财务货值20.31万元，移送公安机关案件68起。支队突出大案要案办理，全年立案59起，移送公安机关案件7起，严厉打击各类违法行为，确保了农产品质量安全和农业生产安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1、深入开展农资打假暨“稳粮保供”专项行动。支队高度重视农资打假工作。坚持早谋划、早部署、早启动，全年常态化开展农资打假。</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强力推进“十年禁渔”执法监管。实行集中整治工作专班常态化运行。“十年禁渔”是一项前所未有的工作，单靠某一个部门是无法抓好抓实这一项工作的。经报请市禁捕退捕领导小组同意，我市“十年禁渔”集中整治工作专班实行常态化运行。专班由支队负责日常工作，我们每周将执法开展情况、督查督办情况、典型经验做法形成工作简报呈送市级主要领导、各县市区及市禁捕成员单位，通过层层传导压力，强力推进禁捕执法监管。</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3、扎实开展农产品质量安全执法行动。两次联合市食品药品环境侦察支队、市市场监督管理局、楼区农业农村局，经开区等执法人员开展中心城区生猪屠宰和肉类经营环节违法行为联合执法行动，确保广大市民“舌尖上的安全”。</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4、积极创新拓展执法工作。积极推进执法事项下沉，委托乡镇执法。去年我市在各县市区将禁钓执法事项，委托有承接能力的乡镇政府行使，取得了明显的成效。今年继续试点将部分农机简易程序执法权委托给乡镇行使，进一步化解了县市区大队执法力量不足。</w:t>
      </w:r>
    </w:p>
    <w:p>
      <w:pPr>
        <w:pStyle w:val="13"/>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keepNext w:val="0"/>
        <w:keepLines w:val="0"/>
        <w:pageBreakBefore w:val="0"/>
        <w:widowControl/>
        <w:kinsoku/>
        <w:wordWrap/>
        <w:overflowPunct/>
        <w:topLinePunct w:val="0"/>
        <w:autoSpaceDE/>
        <w:autoSpaceDN/>
        <w:bidi w:val="0"/>
        <w:adjustRightInd/>
        <w:snapToGrid/>
        <w:spacing w:line="600" w:lineRule="exact"/>
        <w:ind w:firstLine="640" w:firstLineChars="200"/>
        <w:rPr>
          <w:rFonts w:hint="eastAsia" w:ascii="Times New Roman" w:hAnsi="Times New Roman" w:eastAsia="仿宋_GB2312" w:cs="黑体"/>
          <w:color w:val="000000"/>
          <w:kern w:val="0"/>
          <w:sz w:val="32"/>
          <w:szCs w:val="32"/>
          <w:lang w:val="en-US" w:eastAsia="zh-CN" w:bidi="ar-SA"/>
        </w:rPr>
      </w:pPr>
      <w:r>
        <w:rPr>
          <w:rFonts w:hint="eastAsia" w:ascii="仿宋_GB2312" w:hAnsi="仿宋_GB2312" w:eastAsia="仿宋_GB2312" w:cs="仿宋_GB2312"/>
          <w:b w:val="0"/>
          <w:bCs w:val="0"/>
          <w:sz w:val="32"/>
          <w:szCs w:val="32"/>
          <w:lang w:val="en-US" w:eastAsia="zh-CN"/>
        </w:rPr>
        <w:t>存在的主要问题及原因：一是预算编制及执行有偏差。年初编制预算时由于部门公共项目资金及上级转移支付资金未明确，未纳年初部门预算编制，而实际执行中，这部分资金都是年中追加的，导致预算编制数及实际执行数存在较大的偏差，专项支出指标有互</w:t>
      </w:r>
      <w:r>
        <w:rPr>
          <w:rFonts w:hint="eastAsia" w:ascii="Times New Roman" w:hAnsi="Times New Roman" w:eastAsia="仿宋_GB2312" w:cs="黑体"/>
          <w:color w:val="000000"/>
          <w:kern w:val="0"/>
          <w:sz w:val="32"/>
          <w:szCs w:val="32"/>
          <w:lang w:val="en-US" w:eastAsia="zh-CN" w:bidi="ar-SA"/>
        </w:rPr>
        <w:t>相调剂情况；二是绩效目标设置不够明晰。通过绩效自评发现部门整体支出绩效目标设置不够明晰、不够细化，与单位业务工作联系不够紧密，绩效目标设置缺乏清晰性及可衡量性，定性目标为多，定量目标相对少，项目实施验收后难以明显评估成效；三是政府采购预算编制不够精准。</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color w:val="000000"/>
          <w:kern w:val="0"/>
          <w:sz w:val="32"/>
          <w:szCs w:val="32"/>
          <w:lang w:val="en-US" w:eastAsia="zh-CN" w:bidi="ar-SA"/>
        </w:rPr>
        <w:t>下一步改进措施：</w:t>
      </w:r>
      <w:r>
        <w:rPr>
          <w:rFonts w:hint="eastAsia" w:ascii="仿宋_GB2312" w:hAnsi="仿宋_GB2312" w:eastAsia="仿宋_GB2312" w:cs="仿宋_GB2312"/>
          <w:b w:val="0"/>
          <w:bCs w:val="0"/>
          <w:sz w:val="32"/>
          <w:szCs w:val="32"/>
          <w:lang w:val="en-US" w:eastAsia="zh-CN"/>
        </w:rPr>
        <w:t>一是严格按照要求编制和执行降低偏差率；二是进一步细化绩效目标，加强与单位业务工作联系，争取设置更清晰及可衡量的目标值；三是根据近三年的政府采购指标以及下一年度的工作目标，科学合理编制政府采购预算。</w:t>
      </w:r>
    </w:p>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绩效管理工作开展顺利，部门决算中项目绩效自评结果为优，部门评价项目绩效评价结果为优，以部门为主体开展的重点绩效评价结果为优。</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3"/>
        <w:jc w:val="both"/>
        <w:rPr>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4"/>
      </w:pPr>
    </w:p>
    <w:p/>
    <w:p>
      <w:pPr>
        <w:pStyle w:val="2"/>
      </w:pPr>
    </w:p>
    <w:p>
      <w:pPr>
        <w:pStyle w:val="4"/>
      </w:pPr>
    </w:p>
    <w:p/>
    <w:p>
      <w:pPr>
        <w:pStyle w:val="2"/>
      </w:pPr>
    </w:p>
    <w:p>
      <w:pPr>
        <w:pStyle w:val="4"/>
      </w:pP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4"/>
      </w:pPr>
    </w:p>
    <w:p/>
    <w:p>
      <w:pPr>
        <w:pStyle w:val="2"/>
      </w:pPr>
    </w:p>
    <w:p>
      <w:pPr>
        <w:pStyle w:val="2"/>
      </w:pPr>
    </w:p>
    <w:p/>
    <w:p>
      <w:pPr>
        <w:pStyle w:val="2"/>
      </w:pPr>
    </w:p>
    <w:p>
      <w:pPr>
        <w:pStyle w:val="4"/>
      </w:pP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财政拨款收入：指本级财政当年拨付的资金。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其他收入：指除上述</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等以外的收入。</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使用非财政拨款结余：指事业单位在当年的</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财政拨款结转和结余资金</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上级补助收入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事业收入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经营收入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附属单位上缴收入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其他收入</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不足以安排当年支出情况下，使用以前年度积累的使用非财政拨款结余弥补收支差额的资金（事业单位当年收支相抵后按国家规定提取、用于弥补以后年度收支差额的非财政拨款结余）。</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年初结转和结余：指以前年度尚未完成、结转到本年按有关规定继续使用的资金。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年末结转和结余资金：指本年度或以前年度预算安排、因客观条件发生变化无法按原计划实施，需要延迟到以后年度按有关规定继续使用的资金。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科学技术支出（类）：是指用于科学技术方面的支出，包括保障机构正常运转、完成日常和特定的工作任务或事业发展目标的支出。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卫生健康支出（类）：是指用于医疗卫生与计划生育方面的支出，包括保障机构正常运转、完成日常和特定的工作任务或事业发展目标的支出。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节能环保支出（类）：是指用于节能环保支出，包括保障机构正常运转、完成日常和特定的工作任务或事业发展目标的支出。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农林水支出（类）：是指用于农林水事务支出，包括保障机构正常运转、完成日常和特定的工作任务或事业发展目标的支出。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资源勘探工业信息等支出（类）：是指用于资源勘探、制造业、建筑业、工业信息等方面支出，包括保障机构正常运转、完成日常和特定的工作任务或事业发展目标的支出。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自然资源海洋气象等支出（类）：是指用于自然资源、海洋、测绘、气象等公益服务事业方面的支出，包括保障机构正常运转、完成日常和特定的工作任务或事业发展目标的支出。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住房保障支出（类）：是指用于住房方面的支出，包括保障机构正常运转、完成日常和特定的工作任务或事业发展目标的支出。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其他支出（类）：是指用于反映除上述项目以外其他不能划分到具体功能科目中的支出项目，包括保障机构正常运转、完成日常和特定的工作任务或事业发展目标的支出。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基本支出：指保障机构正常运转、完成支日常工作任务而发生的人员支出和公用支出。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项目支出：指在基本支出之外为完成特定行政任务和事业发展目标所发生的支出。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三公</w:t>
      </w:r>
      <w:r>
        <w:rPr>
          <w:rFonts w:hint="default"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val="en-US" w:eastAsia="zh-CN"/>
        </w:rPr>
        <w:t>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工资福利支出：反映单位开支的在职职工和编制外长期聘用人员的各类劳动报酬，以及为上述人员缴纳的各项社会保险费等。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津贴补贴：反映经国家批准建立的机关事业单位艰苦边远地区津贴、机关工作人员地区附加津贴、机关工作人员岗位津贴、事业单位工作人员特殊岗位津贴补贴等。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奖金：反映机关工作人员年终一次性奖金。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伙食补助费：反映单位发给职工的伙食补助费，如误餐补助等。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绩效工资：反映事业单位工作人员的绩效工资。</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机关事业单位基本养老保险缴费：反映机关事业单位缴纳的基本养老保险费。由单位代扣的工作人员基本养老保险缴费，不在此科目反映。</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职工基本医疗保险缴费：反映单位为职工缴纳的基本医疗保险费。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其他社会保障缴费：反映单位为职工缴纳的基本医疗、失业、工伤、生育等社会保险费，残疾人就业保障金，军队（含武警）为军人缴纳的伤亡、退役医疗等社会保险费。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住房公积金：反映行政事业单位按人力资源和社会保障部、财政部规定的基本工资和津贴补贴以及规定比例为职工缴纳的住房公积金。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医疗费：反映未参加医疗保险单位的医疗经费和单位按规定为职工支出的其他医疗费用。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商品和服务支出：反映单位购买商品和服务的支出（不包括用于购置固定资产的支出、战略性和应急储备支出）。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办公费：反映单位购买按财务会计制度规定不符合固定资产确认标准的日常办公用品、书报杂志等支出。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印刷费：反映单位的印刷费支出。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水费：反映单位支付的水费、污水处理费等支出。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电费：反映单位的电费支出。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邮电费：反映单位开支的信函、包裹、货物等物品的邮寄费及电话费、电报费、传真费、网络通讯费等。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物业管理费：反映单位开支的办公用房以及未实行职工住宅物业服务改革的在职职工和离退休人员宿舍等的物业管理费，包括综合治理、绿化、卫生等方面的支出。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差旅费：反映单位工作人员出差发生的城市间交通费、住宿费、伙食补贴费和市内交通费。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维修(护)费：反映单位日常开支的固定资产（不包括车船等交通工具）修理和维护费用，网络信息系统运行与维护费用，以及按规定提取的修购基金。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租赁费：反映租赁办公用房、宿舍、专用通讯网以及其他设备等方面的费用。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会议费：反映会议中按规定开支的住宿费、伙食费、会议室租金、交通费、文件印刷费、医药费等。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培训费：反映除因公出国（境）培训费以外的各类培训支出。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公务接待费：反映单位按规定开支的各类公务接待（含外宾接待）费用。</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材料费：反映单位购买日常专用材料的支出。具体包括药品及医疗耗材，农用材料，兽医用品，实验室用品，专用服装，消耗性体育用品，专用工具和仪器，艺术部门专用材料和用品，广播电视台发射台发射机的电力、材料等方面的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专用燃料费：反映用作业务工作设备的车、船设施等的油料支出。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劳务费：反映支付给单位和个人的劳务费用，如临时聘用人员、钟点工工资，稿费、翻译费，评审费等。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委托业务费：反映因委托外单位办理业务而支付的委托业务费。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工会经费：反映单位按规定提取的工会经费。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福利费：反映单位按规定提取的福利费。</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公务用车运行维护费：反映单位按规定保留的公务用车燃料费、维修费、过桥过路费、保险费、安全奖励费用等支出。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其他交通费用：反映单位除公务用车运行维护费以外的其他交通费用。如公务交通补贴，租车费用、出租车费用，飞机、船舶等的燃料费、维修费、保险费等。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税金及附加费用：反映单位提供劳务或销售产品应负担的税金及附加费用，包括营业税、消费税、城市维护建设税、资源税和教育附加等。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其他商品和服务支出：反映上述科目未包括的日常公用支出。如行政赔偿费和诉讼费、国内组织的会员费、来访费、广告宣传、其他劳务费及离休人员特需费、公用经费等。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对个人和家庭的补助：反映政府用于对个人和家庭的补助支出。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离休费：反映行政事业单位和军队移交政府安置的离休人员的离休费、护理费和其他补贴。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退休费：反映行政事业单位和军队移交政府安置的退休人员的退休费和其他补贴。</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抚恤金：反映按规定开支的烈士遗属、牺牲病故人员遗属的一次性和定期抚恤金，伤残人员的抚恤金，离退休人员等其他人员的各项抚恤金。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奖励金：反映政府各部门的奖励支出，如对个体私营经济的奖励、计划生育目标责任奖励、独生子女父母奖励等。</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其他对个人和家庭的补助支出：反映未包括在上述科目的对个人和家庭的补助支出，</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办公设备购置：反映用于购置并按财务会计制度规定纳入固定资产核算范围的办公家具和办公设备的支出，以及按规定提取的修购基金。</w:t>
      </w:r>
    </w:p>
    <w:p>
      <w:pPr>
        <w:pStyle w:val="13"/>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公务用车购置：反映公务用车车辆购置支出（含车辆购置税）。</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4"/>
      </w:pPr>
    </w:p>
    <w:p/>
    <w:p>
      <w:pPr>
        <w:pStyle w:val="2"/>
      </w:pPr>
    </w:p>
    <w:p>
      <w:pPr>
        <w:pStyle w:val="13"/>
        <w:jc w:val="both"/>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2"/>
          <w:szCs w:val="72"/>
        </w:rPr>
      </w:pPr>
    </w:p>
    <w:p>
      <w:pPr>
        <w:pStyle w:val="13"/>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3"/>
        <w:jc w:val="both"/>
        <w:rPr>
          <w:rFonts w:hint="eastAsia" w:ascii="方正小标宋_GBK" w:hAnsi="方正小标宋_GBK" w:eastAsia="方正小标宋_GBK" w:cs="方正小标宋_GBK"/>
          <w:sz w:val="70"/>
          <w:szCs w:val="70"/>
          <w:lang w:eastAsia="zh-CN"/>
        </w:rPr>
      </w:pPr>
    </w:p>
    <w:p>
      <w:pPr>
        <w:pStyle w:val="13"/>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527054"/>
    <w:multiLevelType w:val="singleLevel"/>
    <w:tmpl w:val="F1527054"/>
    <w:lvl w:ilvl="0" w:tentative="0">
      <w:start w:val="2"/>
      <w:numFmt w:val="decimal"/>
      <w:suff w:val="nothing"/>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0OGI2ZmNlODc1OWFkMDY5ZTYwNDcyZmM0YmI2NT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A441A5A"/>
    <w:rsid w:val="0D40014F"/>
    <w:rsid w:val="12583BA5"/>
    <w:rsid w:val="13BA5B9C"/>
    <w:rsid w:val="1568166B"/>
    <w:rsid w:val="1951509D"/>
    <w:rsid w:val="1D97DEFF"/>
    <w:rsid w:val="1DFF72E5"/>
    <w:rsid w:val="1EFC6F07"/>
    <w:rsid w:val="22AC03C2"/>
    <w:rsid w:val="2A2C7B07"/>
    <w:rsid w:val="2FDF85B8"/>
    <w:rsid w:val="2FFFEE04"/>
    <w:rsid w:val="31C95635"/>
    <w:rsid w:val="34DF85B0"/>
    <w:rsid w:val="3B8F36BC"/>
    <w:rsid w:val="3C7E335B"/>
    <w:rsid w:val="42EE5D75"/>
    <w:rsid w:val="43197769"/>
    <w:rsid w:val="491FF225"/>
    <w:rsid w:val="4FFD214C"/>
    <w:rsid w:val="527252B8"/>
    <w:rsid w:val="5352765A"/>
    <w:rsid w:val="56F74E2A"/>
    <w:rsid w:val="5777D4F5"/>
    <w:rsid w:val="57D6407D"/>
    <w:rsid w:val="589A2D70"/>
    <w:rsid w:val="59DD8326"/>
    <w:rsid w:val="5DEF592A"/>
    <w:rsid w:val="5FC6BB1E"/>
    <w:rsid w:val="5FF4761C"/>
    <w:rsid w:val="5FF720F1"/>
    <w:rsid w:val="6166423A"/>
    <w:rsid w:val="620F705D"/>
    <w:rsid w:val="626A1B08"/>
    <w:rsid w:val="67FF5C0B"/>
    <w:rsid w:val="6BAA4A2F"/>
    <w:rsid w:val="6EFC0924"/>
    <w:rsid w:val="6FB74722"/>
    <w:rsid w:val="6FEF8B7E"/>
    <w:rsid w:val="71A6591B"/>
    <w:rsid w:val="733D4ADC"/>
    <w:rsid w:val="737D59BA"/>
    <w:rsid w:val="737F32B1"/>
    <w:rsid w:val="77C37683"/>
    <w:rsid w:val="78301EFB"/>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semiHidden/>
    <w:qFormat/>
    <w:uiPriority w:val="0"/>
    <w:pPr>
      <w:snapToGrid w:val="0"/>
      <w:jc w:val="left"/>
    </w:pPr>
    <w:rPr>
      <w:sz w:val="18"/>
      <w:szCs w:val="18"/>
    </w:rPr>
  </w:style>
  <w:style w:type="paragraph" w:styleId="3">
    <w:name w:val="Body Text Indent"/>
    <w:basedOn w:val="1"/>
    <w:next w:val="4"/>
    <w:unhideWhenUsed/>
    <w:qFormat/>
    <w:uiPriority w:val="99"/>
    <w:pPr>
      <w:widowControl/>
      <w:spacing w:after="120"/>
      <w:ind w:left="420" w:leftChars="200"/>
      <w:jc w:val="left"/>
    </w:pPr>
    <w:rPr>
      <w:rFonts w:ascii="宋体" w:hAnsi="宋体" w:eastAsia="宋体" w:cs="宋体"/>
      <w:kern w:val="0"/>
      <w:sz w:val="24"/>
    </w:rPr>
  </w:style>
  <w:style w:type="paragraph" w:styleId="4">
    <w:name w:val="Body Text First Indent 2"/>
    <w:basedOn w:val="3"/>
    <w:next w:val="1"/>
    <w:unhideWhenUsed/>
    <w:qFormat/>
    <w:uiPriority w:val="99"/>
    <w:pPr>
      <w:ind w:firstLine="420" w:firstLineChars="200"/>
    </w:pPr>
  </w:style>
  <w:style w:type="paragraph" w:styleId="5">
    <w:name w:val="Balloon Text"/>
    <w:basedOn w:val="1"/>
    <w:link w:val="15"/>
    <w:semiHidden/>
    <w:unhideWhenUsed/>
    <w:qFormat/>
    <w:uiPriority w:val="99"/>
    <w:rPr>
      <w:sz w:val="18"/>
      <w:szCs w:val="1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customStyle="1" w:styleId="11">
    <w:name w:val="页眉 Char"/>
    <w:basedOn w:val="9"/>
    <w:link w:val="7"/>
    <w:qFormat/>
    <w:uiPriority w:val="99"/>
    <w:rPr>
      <w:sz w:val="18"/>
      <w:szCs w:val="18"/>
    </w:rPr>
  </w:style>
  <w:style w:type="character" w:customStyle="1" w:styleId="12">
    <w:name w:val="页脚 Char"/>
    <w:basedOn w:val="9"/>
    <w:link w:val="6"/>
    <w:qFormat/>
    <w:uiPriority w:val="99"/>
    <w:rPr>
      <w:sz w:val="18"/>
      <w:szCs w:val="18"/>
    </w:rPr>
  </w:style>
  <w:style w:type="paragraph" w:customStyle="1" w:styleId="13">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9"/>
    <w:link w:val="5"/>
    <w:semiHidden/>
    <w:qFormat/>
    <w:uiPriority w:val="99"/>
    <w:rPr>
      <w:sz w:val="18"/>
      <w:szCs w:val="18"/>
    </w:rPr>
  </w:style>
  <w:style w:type="character" w:customStyle="1" w:styleId="16">
    <w:name w:val="font01"/>
    <w:basedOn w:val="9"/>
    <w:qFormat/>
    <w:uiPriority w:val="0"/>
    <w:rPr>
      <w:rFonts w:hint="eastAsia" w:ascii="宋体" w:hAnsi="宋体" w:eastAsia="宋体" w:cs="宋体"/>
      <w:color w:val="000000"/>
      <w:sz w:val="22"/>
      <w:szCs w:val="22"/>
      <w:u w:val="none"/>
    </w:rPr>
  </w:style>
  <w:style w:type="character" w:customStyle="1" w:styleId="17">
    <w:name w:val="font21"/>
    <w:basedOn w:val="9"/>
    <w:qFormat/>
    <w:uiPriority w:val="0"/>
    <w:rPr>
      <w:rFonts w:hint="eastAsia" w:ascii="宋体" w:hAnsi="宋体" w:eastAsia="宋体" w:cs="宋体"/>
      <w:color w:val="000000"/>
      <w:sz w:val="24"/>
      <w:szCs w:val="24"/>
      <w:u w:val="none"/>
    </w:rPr>
  </w:style>
  <w:style w:type="character" w:customStyle="1" w:styleId="18">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19</Pages>
  <Words>7138</Words>
  <Characters>7747</Characters>
  <Lines>63</Lines>
  <Paragraphs>18</Paragraphs>
  <TotalTime>0</TotalTime>
  <ScaleCrop>false</ScaleCrop>
  <LinksUpToDate>false</LinksUpToDate>
  <CharactersWithSpaces>7763</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仙贝麻麻</cp:lastModifiedBy>
  <cp:lastPrinted>2024-08-08T10:20:00Z</cp:lastPrinted>
  <dcterms:modified xsi:type="dcterms:W3CDTF">2024-09-19T08:16:26Z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98623D6660B449428EB8E073C6C952EA</vt:lpwstr>
  </property>
</Properties>
</file>